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191"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PROSPECTUS SUPPLEMENT NO. 6</w:t>
      </w:r>
    </w:p>
    <w:p>
      <w:pPr>
        <w:spacing w:after="0" w:line="204"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124460</wp:posOffset>
            </wp:positionV>
            <wp:extent cx="1892935" cy="580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2935" cy="580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Sema4 Holdings Corp.</w:t>
      </w:r>
    </w:p>
    <w:p>
      <w:pPr>
        <w:spacing w:after="0" w:line="221"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229,657,978 Shares of Common Stock</w:t>
      </w:r>
    </w:p>
    <w:p>
      <w:pPr>
        <w:spacing w:after="0" w:line="235"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7,236,667 Warrants to Purchase Shares of Common Stock</w:t>
      </w:r>
    </w:p>
    <w:p>
      <w:pPr>
        <w:spacing w:after="0" w:line="235"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21,994,972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2266950</wp:posOffset>
            </wp:positionH>
            <wp:positionV relativeFrom="paragraph">
              <wp:posOffset>194310</wp:posOffset>
            </wp:positionV>
            <wp:extent cx="1017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both"/>
        <w:ind w:firstLine="318"/>
        <w:spacing w:after="0" w:line="272" w:lineRule="auto"/>
        <w:rPr>
          <w:sz w:val="20"/>
          <w:szCs w:val="20"/>
          <w:color w:val="auto"/>
        </w:rPr>
      </w:pPr>
      <w:r>
        <w:rPr>
          <w:rFonts w:ascii="Arial" w:cs="Arial" w:eastAsia="Arial" w:hAnsi="Arial"/>
          <w:sz w:val="18"/>
          <w:szCs w:val="18"/>
          <w:color w:val="auto"/>
        </w:rPr>
        <w:t>This prospectus supplement supplements the prospectus dated March 28, 2022 (the “Prospectus”), which forms a part of our registration statement on Form S-1 (No. 333-258467). This prospectus supplement is being filed to update and supplement the information in the Prospectus with the information contained in our quarterly report on Form 10-Q, filed with the Securities and Exchange Commission (the “SEC”) on August 15, 2022. Accordingly, we have attached the quarterly report on Form 10-Q to this prospectus supplement.</w:t>
      </w:r>
    </w:p>
    <w:p>
      <w:pPr>
        <w:spacing w:after="0" w:line="200" w:lineRule="exact"/>
        <w:rPr>
          <w:sz w:val="24"/>
          <w:szCs w:val="24"/>
          <w:color w:val="auto"/>
        </w:rPr>
      </w:pPr>
    </w:p>
    <w:p>
      <w:pPr>
        <w:spacing w:after="0" w:line="332" w:lineRule="exact"/>
        <w:rPr>
          <w:sz w:val="24"/>
          <w:szCs w:val="24"/>
          <w:color w:val="auto"/>
        </w:rPr>
      </w:pPr>
    </w:p>
    <w:p>
      <w:pPr>
        <w:jc w:val="both"/>
        <w:ind w:firstLine="318"/>
        <w:spacing w:after="0" w:line="305" w:lineRule="auto"/>
        <w:rPr>
          <w:sz w:val="20"/>
          <w:szCs w:val="20"/>
          <w:color w:val="auto"/>
        </w:rPr>
      </w:pPr>
      <w:r>
        <w:rPr>
          <w:rFonts w:ascii="Arial" w:cs="Arial" w:eastAsia="Arial" w:hAnsi="Arial"/>
          <w:sz w:val="17"/>
          <w:szCs w:val="17"/>
          <w:color w:val="auto"/>
        </w:rPr>
        <w:t>The Prospectus and this prospectus supplement relate to the offer and sale from time to time by the selling securityholders named in this prospectus (the “Selling Securityholders”) of (A) up to 229,657,978 shares of our Class A common stock, par value $0.0001 per share (“Class A common stock” or “common stock”), consisting of (i) up to 29,125,620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“Former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Former Sponsor and certain of the other Initial Stockholders (as defined in the Prospectus).</w:t>
      </w:r>
    </w:p>
    <w:p>
      <w:pPr>
        <w:spacing w:after="0" w:line="123" w:lineRule="exact"/>
        <w:rPr>
          <w:sz w:val="24"/>
          <w:szCs w:val="24"/>
          <w:color w:val="auto"/>
        </w:rPr>
      </w:pPr>
    </w:p>
    <w:p>
      <w:pPr>
        <w:jc w:val="both"/>
        <w:ind w:firstLine="318"/>
        <w:spacing w:after="0" w:line="315"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ectPr>
          <w:pgSz w:w="11900" w:h="16838" w:orient="portrait"/>
          <w:cols w:equalWidth="0" w:num="1">
            <w:col w:w="11240"/>
          </w:cols>
          <w:pgMar w:left="320" w:top="1035" w:right="339" w:bottom="1440" w:gutter="0" w:footer="0" w:header="0"/>
        </w:sectPr>
      </w:pPr>
    </w:p>
    <w:bookmarkStart w:id="1" w:name="page2"/>
    <w:bookmarkEnd w:id="1"/>
    <w:p>
      <w:pPr>
        <w:jc w:val="both"/>
        <w:ind w:right="20" w:firstLine="318"/>
        <w:spacing w:after="0" w:line="29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 “SMFR” and “SMFRW”, respectively. On August 11, 2022, the last reported sales price of our common stock was $2.17 per share and the last reported sales price of our public warrants was $0.42 per warrant.</w:t>
      </w:r>
    </w:p>
    <w:p>
      <w:pPr>
        <w:spacing w:after="0" w:line="143" w:lineRule="exact"/>
        <w:rPr>
          <w:sz w:val="20"/>
          <w:szCs w:val="20"/>
          <w:color w:val="auto"/>
        </w:rPr>
      </w:pPr>
    </w:p>
    <w:p>
      <w:pPr>
        <w:jc w:val="both"/>
        <w:ind w:right="20" w:firstLine="318"/>
        <w:spacing w:after="0" w:line="28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49" w:lineRule="exact"/>
        <w:rPr>
          <w:sz w:val="20"/>
          <w:szCs w:val="20"/>
          <w:color w:val="auto"/>
        </w:rPr>
      </w:pPr>
    </w:p>
    <w:p>
      <w:pPr>
        <w:jc w:val="both"/>
        <w:ind w:right="20" w:firstLine="318"/>
        <w:spacing w:after="0" w:line="295"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40" w:lineRule="exact"/>
        <w:rPr>
          <w:sz w:val="20"/>
          <w:szCs w:val="20"/>
          <w:color w:val="auto"/>
        </w:rPr>
      </w:pPr>
    </w:p>
    <w:p>
      <w:pPr>
        <w:jc w:val="both"/>
        <w:ind w:right="40" w:firstLine="318"/>
        <w:spacing w:after="0" w:line="295"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9 of the Prospectus to read about factors you should consider before buying our securities.</w:t>
      </w:r>
    </w:p>
    <w:p>
      <w:pPr>
        <w:spacing w:after="0" w:line="134" w:lineRule="exact"/>
        <w:rPr>
          <w:sz w:val="20"/>
          <w:szCs w:val="20"/>
          <w:color w:val="auto"/>
        </w:rPr>
      </w:pPr>
    </w:p>
    <w:p>
      <w:pPr>
        <w:jc w:val="both"/>
        <w:ind w:right="20" w:firstLine="318"/>
        <w:spacing w:after="0" w:line="30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date of this prospectus supplement is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182880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7"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Washington, D.C. 20549</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9" w:lineRule="exact"/>
        <w:rPr>
          <w:sz w:val="20"/>
          <w:szCs w:val="20"/>
          <w:color w:val="auto"/>
        </w:rPr>
      </w:pPr>
    </w:p>
    <w:p>
      <w:pPr>
        <w:ind w:left="480" w:right="480" w:hanging="456"/>
        <w:spacing w:after="0" w:line="192" w:lineRule="auto"/>
        <w:tabs>
          <w:tab w:leader="none" w:pos="480" w:val="left"/>
        </w:tabs>
        <w:numPr>
          <w:ilvl w:val="0"/>
          <w:numId w:val="1"/>
        </w:numPr>
        <w:rPr>
          <w:rFonts w:ascii="Arial" w:cs="Arial" w:eastAsia="Arial" w:hAnsi="Arial"/>
          <w:sz w:val="35"/>
          <w:szCs w:val="35"/>
          <w:color w:val="auto"/>
          <w:vertAlign w:val="superscript"/>
        </w:rPr>
      </w:pPr>
      <w:r>
        <w:rPr>
          <w:rFonts w:ascii="Arial" w:cs="Arial" w:eastAsia="Arial" w:hAnsi="Arial"/>
          <w:sz w:val="21"/>
          <w:szCs w:val="21"/>
          <w:b w:val="1"/>
          <w:bCs w:val="1"/>
          <w:color w:val="auto"/>
        </w:rPr>
        <w:t>QUARTERLY REPORT PURSUANT TO SECTION 13 OR 15(d) OF THE SECURITIES EXCHANGE ACT OF 1934</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60"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OR</w:t>
      </w:r>
    </w:p>
    <w:p>
      <w:pPr>
        <w:spacing w:after="0" w:line="205" w:lineRule="exact"/>
        <w:rPr>
          <w:sz w:val="20"/>
          <w:szCs w:val="20"/>
          <w:color w:val="auto"/>
        </w:rPr>
      </w:pPr>
    </w:p>
    <w:p>
      <w:pPr>
        <w:ind w:left="480" w:right="460" w:hanging="456"/>
        <w:spacing w:after="0" w:line="209" w:lineRule="auto"/>
        <w:tabs>
          <w:tab w:leader="none" w:pos="480" w:val="left"/>
        </w:tabs>
        <w:numPr>
          <w:ilvl w:val="0"/>
          <w:numId w:val="2"/>
        </w:numPr>
        <w:rPr>
          <w:rFonts w:ascii="MS PGothic" w:cs="MS PGothic" w:eastAsia="MS PGothic" w:hAnsi="MS PGothic"/>
          <w:sz w:val="35"/>
          <w:szCs w:val="35"/>
          <w:color w:val="auto"/>
          <w:vertAlign w:val="superscript"/>
        </w:rPr>
      </w:pPr>
      <w:r>
        <w:rPr>
          <w:rFonts w:ascii="Arial" w:cs="Arial" w:eastAsia="Arial" w:hAnsi="Arial"/>
          <w:sz w:val="21"/>
          <w:szCs w:val="21"/>
          <w:b w:val="1"/>
          <w:bCs w:val="1"/>
          <w:color w:val="auto"/>
        </w:rPr>
        <w:t>TRANSITION REPORT PURSUANT TO SECTION 13 OR 15(d) OF THE SECURITIES EXCHANGE ACT OF 1934</w:t>
      </w:r>
    </w:p>
    <w:p>
      <w:pPr>
        <w:spacing w:after="0" w:line="9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6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001-39482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115570</wp:posOffset>
            </wp:positionV>
            <wp:extent cx="1892935" cy="572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2935"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1560" w:type="dxa"/>
        <w:tblCellMar>
          <w:top w:w="0" w:type="dxa"/>
          <w:left w:w="0" w:type="dxa"/>
          <w:bottom w:w="0" w:type="dxa"/>
          <w:right w:w="0" w:type="dxa"/>
        </w:tblCellMar>
      </w:tblPr>
      <w:tr>
        <w:trPr>
          <w:trHeight w:val="368"/>
        </w:trPr>
        <w:tc>
          <w:tcPr>
            <w:tcW w:w="6000" w:type="dxa"/>
            <w:vAlign w:val="bottom"/>
          </w:tcPr>
          <w:p>
            <w:pPr>
              <w:ind w:left="2700"/>
              <w:spacing w:after="0"/>
              <w:rPr>
                <w:sz w:val="20"/>
                <w:szCs w:val="20"/>
                <w:color w:val="auto"/>
              </w:rPr>
            </w:pPr>
            <w:r>
              <w:rPr>
                <w:rFonts w:ascii="Arial" w:cs="Arial" w:eastAsia="Arial" w:hAnsi="Arial"/>
                <w:sz w:val="28"/>
                <w:szCs w:val="28"/>
                <w:b w:val="1"/>
                <w:bCs w:val="1"/>
                <w:color w:val="auto"/>
              </w:rPr>
              <w:t>Sema4 Holdings Corp.</w:t>
            </w:r>
          </w:p>
        </w:tc>
        <w:tc>
          <w:tcPr>
            <w:tcW w:w="1880" w:type="dxa"/>
            <w:vAlign w:val="bottom"/>
          </w:tcPr>
          <w:p>
            <w:pPr>
              <w:spacing w:after="0"/>
              <w:rPr>
                <w:sz w:val="24"/>
                <w:szCs w:val="24"/>
                <w:color w:val="auto"/>
              </w:rPr>
            </w:pPr>
          </w:p>
        </w:tc>
      </w:tr>
      <w:tr>
        <w:trPr>
          <w:trHeight w:val="417"/>
        </w:trPr>
        <w:tc>
          <w:tcPr>
            <w:tcW w:w="7880" w:type="dxa"/>
            <w:vAlign w:val="bottom"/>
            <w:gridSpan w:val="2"/>
          </w:tcPr>
          <w:p>
            <w:pPr>
              <w:jc w:val="right"/>
              <w:ind w:right="1232"/>
              <w:spacing w:after="0"/>
              <w:rPr>
                <w:sz w:val="20"/>
                <w:szCs w:val="20"/>
                <w:color w:val="auto"/>
              </w:rPr>
            </w:pPr>
            <w:r>
              <w:rPr>
                <w:rFonts w:ascii="Arial" w:cs="Arial" w:eastAsia="Arial" w:hAnsi="Arial"/>
                <w:sz w:val="21"/>
                <w:szCs w:val="21"/>
                <w:b w:val="1"/>
                <w:bCs w:val="1"/>
                <w:color w:val="auto"/>
              </w:rPr>
              <w:t>(Exact name of registrant as specified in its charter)</w:t>
            </w:r>
          </w:p>
        </w:tc>
      </w:tr>
      <w:tr>
        <w:trPr>
          <w:trHeight w:val="399"/>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91"/>
              </w:rPr>
              <w:t>Delaware</w:t>
            </w:r>
          </w:p>
        </w:tc>
        <w:tc>
          <w:tcPr>
            <w:tcW w:w="1880" w:type="dxa"/>
            <w:vAlign w:val="bottom"/>
          </w:tcPr>
          <w:p>
            <w:pPr>
              <w:jc w:val="right"/>
              <w:ind w:right="172"/>
              <w:spacing w:after="0"/>
              <w:rPr>
                <w:sz w:val="20"/>
                <w:szCs w:val="20"/>
                <w:color w:val="auto"/>
              </w:rPr>
            </w:pPr>
            <w:r>
              <w:rPr>
                <w:rFonts w:ascii="Arial" w:cs="Arial" w:eastAsia="Arial" w:hAnsi="Arial"/>
                <w:sz w:val="18"/>
                <w:szCs w:val="18"/>
                <w:b w:val="1"/>
                <w:bCs w:val="1"/>
                <w:color w:val="auto"/>
              </w:rPr>
              <w:t>85-1966622</w:t>
            </w:r>
          </w:p>
        </w:tc>
      </w:tr>
      <w:tr>
        <w:trPr>
          <w:trHeight w:val="227"/>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0"/>
              </w:rPr>
              <w:t>(State or other jurisdiction of</w:t>
            </w:r>
          </w:p>
        </w:tc>
        <w:tc>
          <w:tcPr>
            <w:tcW w:w="1880" w:type="dxa"/>
            <w:vAlign w:val="bottom"/>
          </w:tcPr>
          <w:p>
            <w:pPr>
              <w:jc w:val="center"/>
              <w:ind w:left="472"/>
              <w:spacing w:after="0"/>
              <w:rPr>
                <w:sz w:val="20"/>
                <w:szCs w:val="20"/>
                <w:color w:val="auto"/>
              </w:rPr>
            </w:pPr>
            <w:r>
              <w:rPr>
                <w:rFonts w:ascii="Arial" w:cs="Arial" w:eastAsia="Arial" w:hAnsi="Arial"/>
                <w:sz w:val="18"/>
                <w:szCs w:val="18"/>
                <w:color w:val="auto"/>
                <w:w w:val="90"/>
              </w:rPr>
              <w:t>(I.R.S. Employer</w:t>
            </w:r>
          </w:p>
        </w:tc>
      </w:tr>
      <w:tr>
        <w:trPr>
          <w:trHeight w:val="223"/>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0"/>
              </w:rPr>
              <w:t>incorporation or organization)</w:t>
            </w:r>
          </w:p>
        </w:tc>
        <w:tc>
          <w:tcPr>
            <w:tcW w:w="1880" w:type="dxa"/>
            <w:vAlign w:val="bottom"/>
          </w:tcPr>
          <w:p>
            <w:pPr>
              <w:jc w:val="center"/>
              <w:ind w:left="472"/>
              <w:spacing w:after="0"/>
              <w:rPr>
                <w:sz w:val="20"/>
                <w:szCs w:val="20"/>
                <w:color w:val="auto"/>
              </w:rPr>
            </w:pPr>
            <w:r>
              <w:rPr>
                <w:rFonts w:ascii="Arial" w:cs="Arial" w:eastAsia="Arial" w:hAnsi="Arial"/>
                <w:sz w:val="18"/>
                <w:szCs w:val="18"/>
                <w:color w:val="auto"/>
                <w:w w:val="94"/>
              </w:rPr>
              <w:t>Identification No.)</w:t>
            </w:r>
          </w:p>
        </w:tc>
      </w:tr>
      <w:tr>
        <w:trPr>
          <w:trHeight w:val="274"/>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89"/>
              </w:rPr>
              <w:t>333 Ludlow Street, North Tower, 8th Floor</w:t>
            </w:r>
          </w:p>
        </w:tc>
        <w:tc>
          <w:tcPr>
            <w:tcW w:w="1880" w:type="dxa"/>
            <w:vAlign w:val="bottom"/>
          </w:tcPr>
          <w:p>
            <w:pPr>
              <w:spacing w:after="0"/>
              <w:rPr>
                <w:sz w:val="23"/>
                <w:szCs w:val="23"/>
                <w:color w:val="auto"/>
              </w:rPr>
            </w:pPr>
          </w:p>
        </w:tc>
      </w:tr>
      <w:tr>
        <w:trPr>
          <w:trHeight w:val="229"/>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89"/>
              </w:rPr>
              <w:t>Stamford, Connecticut</w:t>
            </w:r>
          </w:p>
        </w:tc>
        <w:tc>
          <w:tcPr>
            <w:tcW w:w="1880" w:type="dxa"/>
            <w:vAlign w:val="bottom"/>
          </w:tcPr>
          <w:p>
            <w:pPr>
              <w:jc w:val="center"/>
              <w:ind w:left="472"/>
              <w:spacing w:after="0"/>
              <w:rPr>
                <w:sz w:val="20"/>
                <w:szCs w:val="20"/>
                <w:color w:val="auto"/>
              </w:rPr>
            </w:pPr>
            <w:r>
              <w:rPr>
                <w:rFonts w:ascii="Arial" w:cs="Arial" w:eastAsia="Arial" w:hAnsi="Arial"/>
                <w:sz w:val="18"/>
                <w:szCs w:val="18"/>
                <w:b w:val="1"/>
                <w:bCs w:val="1"/>
                <w:color w:val="auto"/>
                <w:w w:val="87"/>
              </w:rPr>
              <w:t>06902</w:t>
            </w:r>
          </w:p>
        </w:tc>
      </w:tr>
      <w:tr>
        <w:trPr>
          <w:trHeight w:val="252"/>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1"/>
              </w:rPr>
              <w:t>(Address of Principal Executive Offices)</w:t>
            </w:r>
          </w:p>
        </w:tc>
        <w:tc>
          <w:tcPr>
            <w:tcW w:w="1880" w:type="dxa"/>
            <w:vAlign w:val="bottom"/>
          </w:tcPr>
          <w:p>
            <w:pPr>
              <w:jc w:val="center"/>
              <w:ind w:left="452"/>
              <w:spacing w:after="0"/>
              <w:rPr>
                <w:sz w:val="20"/>
                <w:szCs w:val="20"/>
                <w:color w:val="auto"/>
              </w:rPr>
            </w:pPr>
            <w:r>
              <w:rPr>
                <w:rFonts w:ascii="Arial" w:cs="Arial" w:eastAsia="Arial" w:hAnsi="Arial"/>
                <w:sz w:val="18"/>
                <w:szCs w:val="18"/>
                <w:color w:val="auto"/>
                <w:w w:val="91"/>
              </w:rPr>
              <w:t>(Zip Code)</w:t>
            </w:r>
          </w:p>
        </w:tc>
      </w:tr>
    </w:tbl>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(800) 298-6470</w:t>
      </w:r>
    </w:p>
    <w:p>
      <w:pPr>
        <w:spacing w:after="0" w:line="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8"/>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r>
        <w:trPr>
          <w:trHeight w:val="250"/>
        </w:trPr>
        <w:tc>
          <w:tcPr>
            <w:tcW w:w="462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Class A common stock, par value $0.0001 per share</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SMFR</w:t>
            </w:r>
          </w:p>
        </w:tc>
        <w:tc>
          <w:tcPr>
            <w:tcW w:w="4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The Nasdaq Global Select Market</w:t>
            </w:r>
          </w:p>
        </w:tc>
      </w:tr>
      <w:tr>
        <w:trPr>
          <w:trHeight w:val="187"/>
        </w:trPr>
        <w:tc>
          <w:tcPr>
            <w:tcW w:w="4620" w:type="dxa"/>
            <w:vAlign w:val="bottom"/>
            <w:tcBorders>
              <w:top w:val="single" w:sz="8" w:color="auto"/>
              <w:left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6"/>
              </w:rPr>
              <w:t>Warrants to purchase one share of Class A common stock,</w:t>
            </w:r>
          </w:p>
        </w:tc>
        <w:tc>
          <w:tcPr>
            <w:tcW w:w="188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9"/>
              </w:rPr>
              <w:t>SMFRW</w:t>
            </w:r>
          </w:p>
        </w:tc>
        <w:tc>
          <w:tcPr>
            <w:tcW w:w="476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0"/>
              </w:rPr>
              <w:t>The Nasdaq Global Select Market</w:t>
            </w:r>
          </w:p>
        </w:tc>
      </w:tr>
      <w:tr>
        <w:trPr>
          <w:trHeight w:val="229"/>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each at an exercise price of $11.50 per share</w:t>
            </w:r>
          </w:p>
        </w:tc>
        <w:tc>
          <w:tcPr>
            <w:tcW w:w="1880" w:type="dxa"/>
            <w:vAlign w:val="bottom"/>
            <w:tcBorders>
              <w:right w:val="single" w:sz="8" w:color="auto"/>
            </w:tcBorders>
          </w:tcPr>
          <w:p>
            <w:pPr>
              <w:spacing w:after="0"/>
              <w:rPr>
                <w:sz w:val="19"/>
                <w:szCs w:val="19"/>
                <w:color w:val="auto"/>
              </w:rPr>
            </w:pPr>
          </w:p>
        </w:tc>
        <w:tc>
          <w:tcPr>
            <w:tcW w:w="4760" w:type="dxa"/>
            <w:vAlign w:val="bottom"/>
            <w:tcBorders>
              <w:right w:val="single" w:sz="8" w:color="auto"/>
            </w:tcBorders>
          </w:tcPr>
          <w:p>
            <w:pPr>
              <w:spacing w:after="0"/>
              <w:rPr>
                <w:sz w:val="19"/>
                <w:szCs w:val="19"/>
                <w:color w:val="auto"/>
              </w:rPr>
            </w:pPr>
          </w:p>
        </w:tc>
      </w:tr>
      <w:tr>
        <w:trPr>
          <w:trHeight w:val="28"/>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935" w:right="319" w:bottom="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o</w:t>
            </w:r>
          </w:p>
        </w:tc>
        <w:tc>
          <w:tcPr>
            <w:tcW w:w="472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120"/>
              <w:spacing w:after="0"/>
              <w:rPr>
                <w:sz w:val="20"/>
                <w:szCs w:val="20"/>
                <w:color w:val="auto"/>
              </w:rPr>
            </w:pPr>
            <w:r>
              <w:rPr>
                <w:rFonts w:ascii="Arial" w:cs="Arial" w:eastAsia="Arial" w:hAnsi="Arial"/>
                <w:sz w:val="18"/>
                <w:szCs w:val="18"/>
                <w:color w:val="auto"/>
                <w:w w:val="79"/>
              </w:rPr>
              <w:t>o</w:t>
            </w:r>
          </w:p>
        </w:tc>
      </w:tr>
      <w:tr>
        <w:trPr>
          <w:trHeight w:val="252"/>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x</w:t>
            </w:r>
          </w:p>
        </w:tc>
        <w:tc>
          <w:tcPr>
            <w:tcW w:w="472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r>
        <w:trPr>
          <w:trHeight w:val="252"/>
        </w:trPr>
        <w:tc>
          <w:tcPr>
            <w:tcW w:w="23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72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bl>
    <w:p>
      <w:pPr>
        <w:spacing w:after="0" w:line="2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outstanding 380,641,510 shares of Class A common stock as of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170815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20" w:type="dxa"/>
            <w:vAlign w:val="bottom"/>
            <w:gridSpan w:val="7"/>
          </w:tcPr>
          <w:p>
            <w:pPr>
              <w:ind w:left="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ind w:left="64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Explanatory Note</w:t>
            </w:r>
          </w:p>
        </w:tc>
        <w:tc>
          <w:tcPr>
            <w:tcW w:w="8740" w:type="dxa"/>
            <w:vAlign w:val="bottom"/>
            <w:gridSpan w:val="16"/>
          </w:tcPr>
          <w:p>
            <w:pPr>
              <w:spacing w:after="0"/>
              <w:rPr>
                <w:sz w:val="18"/>
                <w:szCs w:val="18"/>
                <w:color w:val="auto"/>
              </w:rPr>
            </w:pP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2"/>
        </w:trPr>
        <w:tc>
          <w:tcPr>
            <w:tcW w:w="40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Cautionary Note Regarding Forward Looking Statements</w:t>
            </w:r>
          </w:p>
        </w:tc>
        <w:tc>
          <w:tcPr>
            <w:tcW w:w="5940" w:type="dxa"/>
            <w:vAlign w:val="bottom"/>
            <w:gridSpan w:val="9"/>
          </w:tcPr>
          <w:p>
            <w:pPr>
              <w:spacing w:after="0"/>
              <w:rPr>
                <w:sz w:val="20"/>
                <w:szCs w:val="20"/>
                <w:color w:val="auto"/>
              </w:rPr>
            </w:pP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97"/>
        </w:trPr>
        <w:tc>
          <w:tcPr>
            <w:tcW w:w="10000" w:type="dxa"/>
            <w:vAlign w:val="bottom"/>
            <w:gridSpan w:val="21"/>
          </w:tcPr>
          <w:p>
            <w:pPr>
              <w:spacing w:after="0"/>
              <w:rPr>
                <w:sz w:val="20"/>
                <w:szCs w:val="20"/>
                <w:color w:val="auto"/>
              </w:rPr>
            </w:pPr>
            <w:r>
              <w:rPr>
                <w:rFonts w:ascii="Arial" w:cs="Arial" w:eastAsia="Arial" w:hAnsi="Arial"/>
                <w:sz w:val="18"/>
                <w:szCs w:val="18"/>
                <w:color w:val="0000FF"/>
              </w:rPr>
              <w:t>Part I. Financial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4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Unaudited Condensed Consolidated Financial Statements</w:t>
            </w: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2"/>
        </w:trPr>
        <w:tc>
          <w:tcPr>
            <w:tcW w:w="50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8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5"/>
              </w:rPr>
              <w:t>Condensed Consolidated Balance Sheets</w:t>
            </w:r>
          </w:p>
        </w:tc>
        <w:tc>
          <w:tcPr>
            <w:tcW w:w="1020" w:type="dxa"/>
            <w:vAlign w:val="bottom"/>
            <w:tcBorders>
              <w:top w:val="single" w:sz="8" w:color="0000FF"/>
            </w:tcBorders>
            <w:gridSpan w:val="2"/>
          </w:tcPr>
          <w:p>
            <w:pPr>
              <w:spacing w:after="0"/>
              <w:rPr>
                <w:sz w:val="20"/>
                <w:szCs w:val="20"/>
                <w:color w:val="auto"/>
              </w:rPr>
            </w:pPr>
          </w:p>
        </w:tc>
        <w:tc>
          <w:tcPr>
            <w:tcW w:w="4860" w:type="dxa"/>
            <w:vAlign w:val="bottom"/>
            <w:gridSpan w:val="6"/>
          </w:tcPr>
          <w:p>
            <w:pPr>
              <w:spacing w:after="0"/>
              <w:rPr>
                <w:sz w:val="20"/>
                <w:szCs w:val="20"/>
                <w:color w:val="auto"/>
              </w:rPr>
            </w:pP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6"/>
              </w:rPr>
              <w:t>Condensed Consolidated Statements of Operations and Comprehensive Loss</w:t>
            </w:r>
          </w:p>
        </w:tc>
        <w:tc>
          <w:tcPr>
            <w:tcW w:w="3340" w:type="dxa"/>
            <w:vAlign w:val="bottom"/>
            <w:gridSpan w:val="3"/>
          </w:tcPr>
          <w:p>
            <w:pPr>
              <w:spacing w:after="0"/>
              <w:rPr>
                <w:sz w:val="20"/>
                <w:szCs w:val="20"/>
                <w:color w:val="auto"/>
              </w:rPr>
            </w:pP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40" w:type="dxa"/>
            <w:vAlign w:val="bottom"/>
            <w:gridSpan w:val="16"/>
          </w:tcPr>
          <w:p>
            <w:pPr>
              <w:spacing w:after="0"/>
              <w:rPr>
                <w:sz w:val="20"/>
                <w:szCs w:val="20"/>
                <w:color w:val="auto"/>
              </w:rPr>
            </w:pPr>
            <w:r>
              <w:rPr>
                <w:rFonts w:ascii="Arial" w:cs="Arial" w:eastAsia="Arial" w:hAnsi="Arial"/>
                <w:sz w:val="18"/>
                <w:szCs w:val="18"/>
                <w:color w:val="0000FF"/>
                <w:w w:val="95"/>
              </w:rPr>
              <w:t>Condensed Consolidated Statement of Redeemable Convertible Preferred Stock and Stockholders' Equity (Deficit)</w:t>
            </w: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8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660" w:type="dxa"/>
            <w:vAlign w:val="bottom"/>
          </w:tcPr>
          <w:p>
            <w:pPr>
              <w:spacing w:after="0"/>
              <w:rPr>
                <w:sz w:val="20"/>
                <w:szCs w:val="20"/>
                <w:color w:val="auto"/>
              </w:rPr>
            </w:pP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vMerge w:val="restart"/>
          </w:tcPr>
          <w:p>
            <w:pPr>
              <w:jc w:val="center"/>
              <w:ind w:left="53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line="20" w:lineRule="exact"/>
              <w:rPr>
                <w:sz w:val="1"/>
                <w:szCs w:val="1"/>
                <w:color w:val="auto"/>
              </w:rPr>
            </w:pPr>
          </w:p>
        </w:tc>
      </w:tr>
      <w:tr>
        <w:trPr>
          <w:trHeight w:val="35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2"/>
            <w:vMerge w:val="restart"/>
          </w:tcPr>
          <w:p>
            <w:pPr>
              <w:spacing w:after="0"/>
              <w:rPr>
                <w:sz w:val="20"/>
                <w:szCs w:val="20"/>
                <w:color w:val="auto"/>
              </w:rPr>
            </w:pPr>
            <w:r>
              <w:rPr>
                <w:rFonts w:ascii="Arial" w:cs="Arial" w:eastAsia="Arial" w:hAnsi="Arial"/>
                <w:sz w:val="18"/>
                <w:szCs w:val="18"/>
                <w:color w:val="0000FF"/>
                <w:w w:val="87"/>
              </w:rPr>
              <w:t>Notes to Unaudited Condensed Consolidated Financial Statements</w:t>
            </w:r>
          </w:p>
        </w:tc>
        <w:tc>
          <w:tcPr>
            <w:tcW w:w="4060" w:type="dxa"/>
            <w:vAlign w:val="bottom"/>
            <w:gridSpan w:val="4"/>
            <w:vMerge w:val="restart"/>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80" w:type="dxa"/>
            <w:vAlign w:val="bottom"/>
            <w:tcBorders>
              <w:bottom w:val="single" w:sz="8" w:color="0000FF"/>
            </w:tcBorders>
            <w:gridSpan w:val="12"/>
            <w:vMerge w:val="continue"/>
          </w:tcPr>
          <w:p>
            <w:pPr>
              <w:spacing w:after="0"/>
              <w:rPr>
                <w:sz w:val="4"/>
                <w:szCs w:val="4"/>
                <w:color w:val="auto"/>
              </w:rPr>
            </w:pPr>
          </w:p>
        </w:tc>
        <w:tc>
          <w:tcPr>
            <w:tcW w:w="406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2.</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00" w:type="dxa"/>
            <w:vAlign w:val="bottom"/>
          </w:tcPr>
          <w:p>
            <w:pPr>
              <w:jc w:val="center"/>
              <w:ind w:left="532"/>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3.</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tcPr>
          <w:p>
            <w:pPr>
              <w:jc w:val="center"/>
              <w:ind w:left="532"/>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660" w:type="dxa"/>
            <w:vAlign w:val="bottom"/>
            <w:tcBorders>
              <w:left w:val="single" w:sz="8" w:color="0000FF"/>
            </w:tcBorders>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4.</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Controls and Procedures</w:t>
            </w:r>
          </w:p>
        </w:tc>
        <w:tc>
          <w:tcPr>
            <w:tcW w:w="1000" w:type="dxa"/>
            <w:vAlign w:val="bottom"/>
          </w:tcPr>
          <w:p>
            <w:pPr>
              <w:jc w:val="center"/>
              <w:ind w:left="532"/>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10000" w:type="dxa"/>
            <w:vAlign w:val="bottom"/>
            <w:gridSpan w:val="21"/>
          </w:tcPr>
          <w:p>
            <w:pPr>
              <w:spacing w:after="0"/>
              <w:rPr>
                <w:sz w:val="20"/>
                <w:szCs w:val="20"/>
                <w:color w:val="auto"/>
              </w:rPr>
            </w:pPr>
            <w:r>
              <w:rPr>
                <w:rFonts w:ascii="Arial" w:cs="Arial" w:eastAsia="Arial" w:hAnsi="Arial"/>
                <w:sz w:val="18"/>
                <w:szCs w:val="18"/>
                <w:color w:val="0000FF"/>
              </w:rPr>
              <w:t>Part II. Other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Legal Proceedings</w:t>
            </w:r>
          </w:p>
        </w:tc>
        <w:tc>
          <w:tcPr>
            <w:tcW w:w="1000" w:type="dxa"/>
            <w:vAlign w:val="bottom"/>
          </w:tcPr>
          <w:p>
            <w:pPr>
              <w:jc w:val="center"/>
              <w:ind w:left="532"/>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100" w:type="dxa"/>
            <w:vAlign w:val="bottom"/>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Risk Factors</w:t>
            </w:r>
          </w:p>
        </w:tc>
        <w:tc>
          <w:tcPr>
            <w:tcW w:w="1000" w:type="dxa"/>
            <w:vAlign w:val="bottom"/>
          </w:tcPr>
          <w:p>
            <w:pPr>
              <w:jc w:val="center"/>
              <w:ind w:left="532"/>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Unregistered Sales of Equity Securities and Use of Proceeds</w:t>
            </w: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93"/>
              </w:rPr>
              <w:t>106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3.</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Defaults Upon Senior Securities</w:t>
            </w: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4.</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Mine Safety Disclosures</w:t>
            </w: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80" w:type="dxa"/>
            <w:vAlign w:val="bottom"/>
            <w:gridSpan w:val="11"/>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5.</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Other Information</w:t>
            </w: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00" w:type="dxa"/>
            <w:vAlign w:val="bottom"/>
          </w:tcPr>
          <w:p>
            <w:pPr>
              <w:spacing w:after="0"/>
              <w:rPr>
                <w:sz w:val="20"/>
                <w:szCs w:val="20"/>
                <w:color w:val="auto"/>
              </w:rPr>
            </w:pPr>
            <w:r>
              <w:rPr>
                <w:rFonts w:ascii="Arial" w:cs="Arial" w:eastAsia="Arial" w:hAnsi="Arial"/>
                <w:sz w:val="18"/>
                <w:szCs w:val="18"/>
                <w:color w:val="0000FF"/>
                <w:w w:val="83"/>
              </w:rPr>
              <w:t>Item 6.</w:t>
            </w:r>
          </w:p>
        </w:tc>
        <w:tc>
          <w:tcPr>
            <w:tcW w:w="240" w:type="dxa"/>
            <w:vAlign w:val="bottom"/>
            <w:gridSpan w:val="2"/>
          </w:tcPr>
          <w:p>
            <w:pPr>
              <w:spacing w:after="0"/>
              <w:rPr>
                <w:sz w:val="20"/>
                <w:szCs w:val="20"/>
                <w:color w:val="auto"/>
              </w:rPr>
            </w:pPr>
          </w:p>
        </w:tc>
        <w:tc>
          <w:tcPr>
            <w:tcW w:w="9260" w:type="dxa"/>
            <w:vAlign w:val="bottom"/>
            <w:gridSpan w:val="18"/>
          </w:tcPr>
          <w:p>
            <w:pPr>
              <w:ind w:left="340"/>
              <w:spacing w:after="0"/>
              <w:rPr>
                <w:sz w:val="20"/>
                <w:szCs w:val="20"/>
                <w:color w:val="auto"/>
              </w:rPr>
            </w:pPr>
            <w:r>
              <w:rPr>
                <w:rFonts w:ascii="Arial" w:cs="Arial" w:eastAsia="Arial" w:hAnsi="Arial"/>
                <w:sz w:val="18"/>
                <w:szCs w:val="18"/>
                <w:color w:val="0000FF"/>
              </w:rPr>
              <w:t>Exhibits</w:t>
            </w: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93"/>
              </w:rPr>
              <w:t>108</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3"/>
              </w:rPr>
              <w:t>Signatures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jc w:val="center"/>
              <w:ind w:left="552"/>
              <w:spacing w:after="0"/>
              <w:rPr>
                <w:sz w:val="20"/>
                <w:szCs w:val="20"/>
                <w:color w:val="auto"/>
              </w:rPr>
            </w:pPr>
            <w:r>
              <w:rPr>
                <w:rFonts w:ascii="Arial" w:cs="Arial" w:eastAsia="Arial" w:hAnsi="Arial"/>
                <w:sz w:val="18"/>
                <w:szCs w:val="18"/>
                <w:color w:val="auto"/>
                <w:w w:val="79"/>
              </w:rPr>
              <w:t>111</w:t>
            </w:r>
          </w:p>
        </w:tc>
        <w:tc>
          <w:tcPr>
            <w:tcW w:w="0" w:type="dxa"/>
            <w:vAlign w:val="bottom"/>
          </w:tcPr>
          <w:p>
            <w:pPr>
              <w:spacing w:after="0"/>
              <w:rPr>
                <w:sz w:val="1"/>
                <w:szCs w:val="1"/>
                <w:color w:val="auto"/>
              </w:rPr>
            </w:pPr>
          </w:p>
        </w:tc>
      </w:tr>
    </w:tbl>
    <w:p>
      <w:pPr>
        <w:sectPr>
          <w:pgSz w:w="11900" w:h="16838" w:orient="portrait"/>
          <w:cols w:equalWidth="0" w:num="1">
            <w:col w:w="11000"/>
          </w:cols>
          <w:pgMar w:left="340" w:top="1088" w:right="559" w:bottom="1440" w:gutter="0" w:footer="0" w:header="0"/>
        </w:sectPr>
      </w:pPr>
    </w:p>
    <w:bookmarkStart w:id="4" w:name="page5"/>
    <w:bookmarkEnd w:id="4"/>
    <w:p>
      <w:pPr>
        <w:ind w:left="5000"/>
        <w:spacing w:after="0"/>
        <w:rPr>
          <w:sz w:val="20"/>
          <w:szCs w:val="20"/>
          <w:color w:val="auto"/>
        </w:rPr>
      </w:pPr>
      <w:r>
        <w:rPr>
          <w:rFonts w:ascii="Arial" w:cs="Arial" w:eastAsia="Arial" w:hAnsi="Arial"/>
          <w:sz w:val="18"/>
          <w:szCs w:val="18"/>
          <w:b w:val="1"/>
          <w:bCs w:val="1"/>
          <w:color w:val="auto"/>
        </w:rPr>
        <w:t>EXPLANATORY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report or the context otherwise requires, references to:</w:t>
      </w:r>
    </w:p>
    <w:p>
      <w:pPr>
        <w:spacing w:after="0" w:line="45" w:lineRule="exact"/>
        <w:rPr>
          <w:sz w:val="20"/>
          <w:szCs w:val="20"/>
          <w:color w:val="auto"/>
        </w:rPr>
      </w:pPr>
    </w:p>
    <w:p>
      <w:pPr>
        <w:jc w:val="both"/>
        <w:ind w:left="640" w:hanging="316"/>
        <w:spacing w:after="0" w:line="242"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spacing w:after="0" w:line="28" w:lineRule="exact"/>
        <w:rPr>
          <w:rFonts w:ascii="Arial" w:cs="Arial" w:eastAsia="Arial" w:hAnsi="Arial"/>
          <w:sz w:val="21"/>
          <w:szCs w:val="21"/>
          <w:color w:val="auto"/>
        </w:rPr>
      </w:pPr>
    </w:p>
    <w:p>
      <w:pPr>
        <w:ind w:left="640" w:hanging="316"/>
        <w:spacing w:after="0" w:line="232"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“GeneDx” refer to GeneDx, LLC, a Delaware limited liability company (formerly, GeneDx, Inc., a New Jersey corporation), which we acquired on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29" w:lineRule="exact"/>
        <w:rPr>
          <w:sz w:val="20"/>
          <w:szCs w:val="20"/>
          <w:color w:val="auto"/>
        </w:rPr>
      </w:pPr>
    </w:p>
    <w:p>
      <w:pPr>
        <w:ind w:left="1280" w:right="540" w:hanging="638"/>
        <w:spacing w:after="0" w:line="232" w:lineRule="auto"/>
        <w:tabs>
          <w:tab w:leader="none" w:pos="1275"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3" w:lineRule="exact"/>
        <w:rPr>
          <w:rFonts w:ascii="Arial" w:cs="Arial" w:eastAsia="Arial" w:hAnsi="Arial"/>
          <w:sz w:val="21"/>
          <w:szCs w:val="21"/>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w:t>
      </w:r>
    </w:p>
    <w:p>
      <w:pPr>
        <w:spacing w:after="0" w:line="18" w:lineRule="exact"/>
        <w:rPr>
          <w:rFonts w:ascii="Arial" w:cs="Arial" w:eastAsia="Arial" w:hAnsi="Arial"/>
          <w:sz w:val="18"/>
          <w:szCs w:val="18"/>
          <w:color w:val="auto"/>
        </w:rPr>
      </w:pPr>
    </w:p>
    <w:p>
      <w:pPr>
        <w:ind w:left="1280" w:right="560" w:hanging="638"/>
        <w:spacing w:after="0" w:line="252"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the ongoing COVID-19 pandemic;</w:t>
      </w:r>
    </w:p>
    <w:p>
      <w:pPr>
        <w:ind w:left="1280" w:hanging="638"/>
        <w:spacing w:after="0" w:line="237" w:lineRule="auto"/>
        <w:tabs>
          <w:tab w:leader="none" w:pos="128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ability to realize the benefits expected from our April 2022 acquisition of GeneDx;</w:t>
      </w:r>
    </w:p>
    <w:p>
      <w:pPr>
        <w:spacing w:after="0" w:line="41" w:lineRule="exact"/>
        <w:rPr>
          <w:rFonts w:ascii="Arial" w:cs="Arial" w:eastAsia="Arial" w:hAnsi="Arial"/>
          <w:sz w:val="21"/>
          <w:szCs w:val="21"/>
          <w:color w:val="auto"/>
        </w:rPr>
      </w:pPr>
    </w:p>
    <w:p>
      <w:pPr>
        <w:ind w:left="1280" w:right="420" w:hanging="638"/>
        <w:spacing w:after="0"/>
        <w:tabs>
          <w:tab w:leader="none" w:pos="1275"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expectations regarding our plans to exit our somatic tumor testing business and the associated cost savings and impact on our gross margins;</w:t>
      </w:r>
    </w:p>
    <w:p>
      <w:pPr>
        <w:spacing w:after="0" w:line="2" w:lineRule="exact"/>
        <w:rPr>
          <w:rFonts w:ascii="Arial" w:cs="Arial" w:eastAsia="Arial" w:hAnsi="Arial"/>
          <w:sz w:val="21"/>
          <w:szCs w:val="21"/>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or the FDA, or other regulatory authorities;</w:t>
      </w:r>
    </w:p>
    <w:p>
      <w:pPr>
        <w:spacing w:after="0" w:line="18" w:lineRule="exact"/>
        <w:rPr>
          <w:rFonts w:ascii="Arial" w:cs="Arial" w:eastAsia="Arial" w:hAnsi="Arial"/>
          <w:sz w:val="18"/>
          <w:szCs w:val="18"/>
          <w:color w:val="auto"/>
        </w:rPr>
      </w:pPr>
    </w:p>
    <w:p>
      <w:pPr>
        <w:ind w:left="1280" w:right="480" w:hanging="638"/>
        <w:spacing w:after="0" w:line="253"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 negotiations and settlements;</w:t>
      </w:r>
    </w:p>
    <w:p>
      <w:pPr>
        <w:spacing w:after="0" w:line="18" w:lineRule="exact"/>
        <w:rPr>
          <w:rFonts w:ascii="Arial" w:cs="Arial" w:eastAsia="Arial" w:hAnsi="Arial"/>
          <w:sz w:val="18"/>
          <w:szCs w:val="18"/>
          <w:color w:val="auto"/>
        </w:rPr>
      </w:pPr>
    </w:p>
    <w:p>
      <w:pPr>
        <w:ind w:left="1280" w:right="560" w:hanging="638"/>
        <w:spacing w:after="0" w:line="253"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laboratories and service providers for our test volume in connection with our diagnostic solutions and data programs;</w:t>
      </w: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Nasdaq listing rules;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future capital requirements;</w:t>
      </w:r>
    </w:p>
    <w:p>
      <w:pPr>
        <w:spacing w:after="0" w:line="5" w:lineRule="exact"/>
        <w:rPr>
          <w:rFonts w:ascii="Arial" w:cs="Arial" w:eastAsia="Arial" w:hAnsi="Arial"/>
          <w:sz w:val="18"/>
          <w:szCs w:val="18"/>
          <w:color w:val="auto"/>
        </w:rPr>
      </w:pPr>
    </w:p>
    <w:p>
      <w:pPr>
        <w:ind w:left="1280" w:right="500" w:hanging="638"/>
        <w:spacing w:after="0" w:line="236"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accounting estimates, including the adequacy of our reserves for third party payor claims and our estimates of the fair value of the milestone payments related to the GeneDx acquisition; and</w:t>
      </w:r>
    </w:p>
    <w:p>
      <w:pPr>
        <w:spacing w:after="0" w:line="2"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5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7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39"/>
          </w:cols>
          <w:pgMar w:left="320" w:top="140"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30, 2022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(unaudited)</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284,647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26,509</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33,456</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483,544</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193,663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9"/>
        </w:trPr>
        <w:tc>
          <w:tcPr>
            <w:tcW w:w="81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933,280</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554,093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64,801</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Short-term lease liabilities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18"/>
        </w:trPr>
        <w:tc>
          <w:tcPr>
            <w:tcW w:w="8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204,606</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101,284</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21,907</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liabilities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line="173" w:lineRule="exact"/>
              <w:rPr>
                <w:sz w:val="20"/>
                <w:szCs w:val="20"/>
                <w:color w:val="auto"/>
              </w:rPr>
            </w:pPr>
            <w:r>
              <w:rPr>
                <w:rFonts w:ascii="Arial" w:cs="Arial" w:eastAsia="Arial" w:hAnsi="Arial"/>
                <w:sz w:val="18"/>
                <w:szCs w:val="18"/>
                <w:color w:val="auto"/>
                <w:w w:val="87"/>
              </w:rPr>
              <w:t>Preferred Stock, $0.0001 par value: 1,000,000 and 0 shares authorized at June 30, 2022 and December 31, 2021,</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340"/>
              <w:spacing w:after="0"/>
              <w:rPr>
                <w:sz w:val="20"/>
                <w:szCs w:val="20"/>
                <w:color w:val="auto"/>
              </w:rPr>
            </w:pPr>
            <w:r>
              <w:rPr>
                <w:rFonts w:ascii="Arial" w:cs="Arial" w:eastAsia="Arial" w:hAnsi="Arial"/>
                <w:sz w:val="18"/>
                <w:szCs w:val="18"/>
                <w:color w:val="auto"/>
                <w:w w:val="96"/>
              </w:rPr>
              <w:t>respectively; 0 shares issued and outstanding at June 30, 2022 and December 31, 2021, respectively</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18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1"/>
              </w:rPr>
              <w:t>Class A common stock, $0.0001 par value, 1,000,000,000 shares authorized, 379,896,799 shares issued and</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8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w w:val="92"/>
              </w:rPr>
              <w:t>outstanding at June 30, 2022 and $0.0001 par value: 380,000,000 shares authorized, 242,647,604 shares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December 31, 2021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1,375,315</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963,520</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(738,079)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(575,441)</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637,274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388,103</w:t>
            </w: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933,280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5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 (1)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 (1)</w:t>
            </w: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73"/>
        </w:trPr>
        <w:tc>
          <w:tcPr>
            <w:tcW w:w="5860" w:type="dxa"/>
            <w:vAlign w:val="bottom"/>
          </w:tcPr>
          <w:p>
            <w:pPr>
              <w:ind w:left="180"/>
              <w:spacing w:after="0" w:line="173" w:lineRule="exact"/>
              <w:rPr>
                <w:sz w:val="20"/>
                <w:szCs w:val="20"/>
                <w:color w:val="auto"/>
              </w:rPr>
            </w:pPr>
            <w:r>
              <w:rPr>
                <w:rFonts w:ascii="Arial" w:cs="Arial" w:eastAsia="Arial" w:hAnsi="Arial"/>
                <w:sz w:val="18"/>
                <w:szCs w:val="18"/>
                <w:color w:val="auto"/>
                <w:w w:val="93"/>
              </w:rPr>
              <w:t>Diagnostic test revenue (including related party revenue of $413 and $37 for</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860" w:type="dxa"/>
            <w:vAlign w:val="bottom"/>
          </w:tcPr>
          <w:p>
            <w:pPr>
              <w:ind w:left="340"/>
              <w:spacing w:after="0" w:line="186" w:lineRule="exact"/>
              <w:rPr>
                <w:sz w:val="20"/>
                <w:szCs w:val="20"/>
                <w:color w:val="auto"/>
              </w:rPr>
            </w:pPr>
            <w:r>
              <w:rPr>
                <w:rFonts w:ascii="Arial" w:cs="Arial" w:eastAsia="Arial" w:hAnsi="Arial"/>
                <w:sz w:val="18"/>
                <w:szCs w:val="18"/>
                <w:color w:val="auto"/>
                <w:w w:val="89"/>
              </w:rPr>
              <w:t>the three months ended and $583 and $70 for the six months ended June 30,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4"/>
        </w:trPr>
        <w:tc>
          <w:tcPr>
            <w:tcW w:w="5860" w:type="dxa"/>
            <w:vAlign w:val="bottom"/>
          </w:tcPr>
          <w:p>
            <w:pPr>
              <w:ind w:left="340"/>
              <w:spacing w:after="0"/>
              <w:rPr>
                <w:sz w:val="20"/>
                <w:szCs w:val="20"/>
                <w:color w:val="auto"/>
              </w:rPr>
            </w:pPr>
            <w:r>
              <w:rPr>
                <w:rFonts w:ascii="Arial" w:cs="Arial" w:eastAsia="Arial" w:hAnsi="Arial"/>
                <w:sz w:val="18"/>
                <w:szCs w:val="18"/>
                <w:color w:val="auto"/>
              </w:rPr>
              <w:t>2022 and 2021, respectively)</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34,004</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44,803</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86,499</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107,563</w:t>
            </w:r>
          </w:p>
        </w:tc>
      </w:tr>
      <w:tr>
        <w:trPr>
          <w:trHeight w:val="174"/>
        </w:trPr>
        <w:tc>
          <w:tcPr>
            <w:tcW w:w="58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4"/>
              </w:rPr>
              <w:t>Other revenue (including related party revenue of $73 and $62 for the three</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6"/>
        </w:trPr>
        <w:tc>
          <w:tcPr>
            <w:tcW w:w="586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w w:val="89"/>
              </w:rPr>
              <w:t>months and $147 and $89 for the six months ended June 30, 2022 and 2021,</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4"/>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18"/>
        </w:trPr>
        <w:tc>
          <w:tcPr>
            <w:tcW w:w="58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111,216</w:t>
            </w:r>
          </w:p>
        </w:tc>
      </w:tr>
      <w:tr>
        <w:trPr>
          <w:trHeight w:val="154"/>
        </w:trPr>
        <w:tc>
          <w:tcPr>
            <w:tcW w:w="58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8"/>
              </w:rPr>
              <w:t>Cost of services (including related party expenses of $1,348 and $1,008 for the</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6"/>
        </w:trPr>
        <w:tc>
          <w:tcPr>
            <w:tcW w:w="5860" w:type="dxa"/>
            <w:vAlign w:val="bottom"/>
            <w:shd w:val="clear" w:color="auto" w:fill="CCEEFF"/>
          </w:tcPr>
          <w:p>
            <w:pPr>
              <w:ind w:left="180"/>
              <w:spacing w:after="0" w:line="186" w:lineRule="exact"/>
              <w:rPr>
                <w:sz w:val="20"/>
                <w:szCs w:val="20"/>
                <w:color w:val="auto"/>
              </w:rPr>
            </w:pPr>
            <w:r>
              <w:rPr>
                <w:rFonts w:ascii="Arial" w:cs="Arial" w:eastAsia="Arial" w:hAnsi="Arial"/>
                <w:sz w:val="18"/>
                <w:szCs w:val="18"/>
                <w:color w:val="auto"/>
                <w:w w:val="90"/>
              </w:rPr>
              <w:t>three months ended and $2,404 and $1,286 for the six months ended June 30,</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4"/>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and 2021,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116,703</w:t>
            </w:r>
          </w:p>
        </w:tc>
      </w:tr>
      <w:tr>
        <w:trPr>
          <w:trHeight w:val="218"/>
        </w:trPr>
        <w:tc>
          <w:tcPr>
            <w:tcW w:w="58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profit (loss)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w:t>
            </w:r>
          </w:p>
        </w:tc>
      </w:tr>
      <w:tr>
        <w:trPr>
          <w:trHeight w:val="225"/>
        </w:trPr>
        <w:tc>
          <w:tcPr>
            <w:tcW w:w="58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53,940</w:t>
            </w: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114,908</w:t>
            </w:r>
          </w:p>
        </w:tc>
      </w:tr>
      <w:tr>
        <w:trPr>
          <w:trHeight w:val="22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r>
      <w:tr>
        <w:trPr>
          <w:trHeight w:val="218"/>
        </w:trPr>
        <w:tc>
          <w:tcPr>
            <w:tcW w:w="5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(162,649)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(251,954)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(242,105)</w:t>
            </w:r>
          </w:p>
        </w:tc>
      </w:tr>
      <w:tr>
        <w:trPr>
          <w:trHeight w:val="193"/>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5860" w:type="dxa"/>
            <w:vAlign w:val="bottom"/>
          </w:tcPr>
          <w:p>
            <w:pPr>
              <w:ind w:left="180"/>
              <w:spacing w:after="0"/>
              <w:rPr>
                <w:sz w:val="20"/>
                <w:szCs w:val="20"/>
                <w:color w:val="auto"/>
              </w:rPr>
            </w:pPr>
            <w:r>
              <w:rPr>
                <w:rFonts w:ascii="Arial" w:cs="Arial" w:eastAsia="Arial" w:hAnsi="Arial"/>
                <w:sz w:val="18"/>
                <w:szCs w:val="18"/>
                <w:color w:val="auto"/>
                <w:w w:val="98"/>
              </w:rPr>
              <w:t>Change in fair market value of warrant and earn-out contingent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58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2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18"/>
        </w:trPr>
        <w:tc>
          <w:tcPr>
            <w:tcW w:w="5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27,830</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40,239</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(237,936)</w:t>
            </w:r>
          </w:p>
        </w:tc>
      </w:tr>
      <w:tr>
        <w:trPr>
          <w:trHeight w:val="225"/>
        </w:trPr>
        <w:tc>
          <w:tcPr>
            <w:tcW w:w="58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(162,638)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(237,936)</w:t>
            </w:r>
          </w:p>
        </w:tc>
      </w:tr>
      <w:tr>
        <w:trPr>
          <w:trHeight w:val="218"/>
        </w:trPr>
        <w:tc>
          <w:tcPr>
            <w:tcW w:w="586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337,752,029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1,100,734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291,318,351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826,778</w:t>
            </w: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w:t>
            </w:r>
          </w:p>
        </w:tc>
      </w:tr>
    </w:tbl>
    <w:p>
      <w:pPr>
        <w:spacing w:after="0" w:line="229" w:lineRule="exact"/>
        <w:rPr>
          <w:sz w:val="20"/>
          <w:szCs w:val="20"/>
          <w:color w:val="auto"/>
        </w:rPr>
      </w:pPr>
    </w:p>
    <w:p>
      <w:pPr>
        <w:ind w:firstLine="6"/>
        <w:spacing w:after="0" w:line="246" w:lineRule="auto"/>
        <w:tabs>
          <w:tab w:leader="none" w:pos="225"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22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 of Redeemable Convertible Preferred Stock and Stockholders' Equity (Deficit)</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Three months ended June 30, 2022</w:t>
      </w:r>
    </w:p>
    <w:p>
      <w:pPr>
        <w:spacing w:after="0" w:line="44"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2540" w:type="dxa"/>
            <w:vAlign w:val="bottom"/>
          </w:tcPr>
          <w:p>
            <w:pPr>
              <w:spacing w:after="0"/>
              <w:rPr>
                <w:sz w:val="18"/>
                <w:szCs w:val="18"/>
                <w:color w:val="auto"/>
              </w:rPr>
            </w:pPr>
          </w:p>
        </w:tc>
        <w:tc>
          <w:tcPr>
            <w:tcW w:w="236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Preferred Stock</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8"/>
          </w:tcPr>
          <w:p>
            <w:pPr>
              <w:ind w:left="380"/>
              <w:spacing w:after="0"/>
              <w:rPr>
                <w:sz w:val="20"/>
                <w:szCs w:val="20"/>
                <w:color w:val="auto"/>
              </w:rPr>
            </w:pPr>
            <w:r>
              <w:rPr>
                <w:rFonts w:ascii="Arial" w:cs="Arial" w:eastAsia="Arial" w:hAnsi="Arial"/>
                <w:sz w:val="14"/>
                <w:szCs w:val="14"/>
                <w:b w:val="1"/>
                <w:bCs w:val="1"/>
                <w:color w:val="auto"/>
              </w:rPr>
              <w:t>Class A Common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6"/>
        </w:trPr>
        <w:tc>
          <w:tcPr>
            <w:tcW w:w="25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180" w:type="dxa"/>
            <w:vAlign w:val="bottom"/>
            <w:gridSpan w:val="3"/>
            <w:vMerge w:val="restart"/>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Additional paid-</w:t>
            </w:r>
          </w:p>
        </w:tc>
        <w:tc>
          <w:tcPr>
            <w:tcW w:w="120" w:type="dxa"/>
            <w:vAlign w:val="bottom"/>
          </w:tcPr>
          <w:p>
            <w:pPr>
              <w:spacing w:after="0"/>
              <w:rPr>
                <w:sz w:val="3"/>
                <w:szCs w:val="3"/>
                <w:color w:val="auto"/>
              </w:rPr>
            </w:pPr>
          </w:p>
        </w:tc>
        <w:tc>
          <w:tcPr>
            <w:tcW w:w="10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3"/>
                <w:szCs w:val="3"/>
                <w:color w:val="auto"/>
              </w:rPr>
            </w:pPr>
          </w:p>
        </w:tc>
        <w:tc>
          <w:tcPr>
            <w:tcW w:w="1000" w:type="dxa"/>
            <w:vAlign w:val="bottom"/>
            <w:vMerge w:val="restart"/>
          </w:tcPr>
          <w:p>
            <w:pPr>
              <w:jc w:val="center"/>
              <w:ind w:right="57"/>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 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deficit</w:t>
            </w: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4"/>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245,154,475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981,757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(652,337)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329,444</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(85,742)</w:t>
            </w:r>
          </w:p>
        </w:tc>
        <w:tc>
          <w:tcPr>
            <w:tcW w:w="0" w:type="dxa"/>
            <w:vAlign w:val="bottom"/>
          </w:tcPr>
          <w:p>
            <w:pPr>
              <w:spacing w:after="0"/>
              <w:rPr>
                <w:sz w:val="1"/>
                <w:szCs w:val="1"/>
                <w:color w:val="auto"/>
              </w:rPr>
            </w:pPr>
          </w:p>
        </w:tc>
      </w:tr>
      <w:tr>
        <w:trPr>
          <w:trHeight w:val="22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4,216,674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w:t>
            </w:r>
          </w:p>
        </w:tc>
        <w:tc>
          <w:tcPr>
            <w:tcW w:w="0" w:type="dxa"/>
            <w:vAlign w:val="bottom"/>
          </w:tcPr>
          <w:p>
            <w:pPr>
              <w:spacing w:after="0"/>
              <w:rPr>
                <w:sz w:val="1"/>
                <w:szCs w:val="1"/>
                <w:color w:val="auto"/>
              </w:rPr>
            </w:pPr>
          </w:p>
        </w:tc>
      </w:tr>
      <w:tr>
        <w:trPr>
          <w:trHeight w:val="173"/>
        </w:trPr>
        <w:tc>
          <w:tcPr>
            <w:tcW w:w="3320" w:type="dxa"/>
            <w:vAlign w:val="bottom"/>
            <w:gridSpan w:val="2"/>
          </w:tcPr>
          <w:p>
            <w:pPr>
              <w:ind w:left="180"/>
              <w:spacing w:after="0" w:line="173" w:lineRule="exact"/>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22,721</w:t>
            </w:r>
          </w:p>
        </w:tc>
        <w:tc>
          <w:tcPr>
            <w:tcW w:w="0" w:type="dxa"/>
            <w:vAlign w:val="bottom"/>
          </w:tcPr>
          <w:p>
            <w:pPr>
              <w:spacing w:after="0"/>
              <w:rPr>
                <w:sz w:val="1"/>
                <w:szCs w:val="1"/>
                <w:color w:val="auto"/>
              </w:rPr>
            </w:pPr>
          </w:p>
        </w:tc>
      </w:tr>
      <w:tr>
        <w:trPr>
          <w:trHeight w:val="174"/>
        </w:trPr>
        <w:tc>
          <w:tcPr>
            <w:tcW w:w="332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Shares issued for PIPE, net of</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197,659</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Shares issued for acquisition (1)</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80,000,000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172,000</w:t>
            </w:r>
          </w:p>
        </w:tc>
        <w:tc>
          <w:tcPr>
            <w:tcW w:w="0" w:type="dxa"/>
            <w:vAlign w:val="bottom"/>
          </w:tcPr>
          <w:p>
            <w:pPr>
              <w:spacing w:after="0"/>
              <w:rPr>
                <w:sz w:val="1"/>
                <w:szCs w:val="1"/>
                <w:color w:val="auto"/>
              </w:rPr>
            </w:pPr>
          </w:p>
        </w:tc>
      </w:tr>
      <w:tr>
        <w:trPr>
          <w:trHeight w:val="173"/>
        </w:trPr>
        <w:tc>
          <w:tcPr>
            <w:tcW w:w="3320" w:type="dxa"/>
            <w:vAlign w:val="bottom"/>
            <w:gridSpan w:val="2"/>
            <w:shd w:val="clear" w:color="auto" w:fill="CCEEFF"/>
          </w:tcPr>
          <w:p>
            <w:pPr>
              <w:ind w:left="180"/>
              <w:spacing w:after="0" w:line="173" w:lineRule="exact"/>
              <w:rPr>
                <w:sz w:val="20"/>
                <w:szCs w:val="20"/>
                <w:color w:val="auto"/>
              </w:rPr>
            </w:pPr>
            <w:r>
              <w:rPr>
                <w:rFonts w:ascii="Arial" w:cs="Arial" w:eastAsia="Arial" w:hAnsi="Arial"/>
                <w:sz w:val="18"/>
                <w:szCs w:val="18"/>
                <w:color w:val="auto"/>
              </w:rPr>
              <w:t>Vested restricted stock units</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converted to common stock</w:t>
            </w: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525,650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379,896,799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1,375,315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(738,079)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637,274</w:t>
            </w:r>
          </w:p>
        </w:tc>
        <w:tc>
          <w:tcPr>
            <w:tcW w:w="0" w:type="dxa"/>
            <w:vAlign w:val="bottom"/>
          </w:tcPr>
          <w:p>
            <w:pPr>
              <w:spacing w:after="0"/>
              <w:rPr>
                <w:sz w:val="1"/>
                <w:szCs w:val="1"/>
                <w:color w:val="auto"/>
              </w:rPr>
            </w:pPr>
          </w:p>
        </w:tc>
      </w:tr>
      <w:tr>
        <w:trPr>
          <w:trHeight w:val="878"/>
        </w:trPr>
        <w:tc>
          <w:tcPr>
            <w:tcW w:w="2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9"/>
          </w:tcPr>
          <w:p>
            <w:pPr>
              <w:ind w:left="120"/>
              <w:spacing w:after="0"/>
              <w:rPr>
                <w:sz w:val="20"/>
                <w:szCs w:val="20"/>
                <w:color w:val="auto"/>
              </w:rPr>
            </w:pPr>
            <w:r>
              <w:rPr>
                <w:rFonts w:ascii="Arial" w:cs="Arial" w:eastAsia="Arial" w:hAnsi="Arial"/>
                <w:sz w:val="16"/>
                <w:szCs w:val="16"/>
                <w:b w:val="1"/>
                <w:bCs w:val="1"/>
                <w:color w:val="auto"/>
                <w:w w:val="92"/>
              </w:rPr>
              <w:t>Six months ended June 30, 2022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236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Redeemable Convertible Preferred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gridSpan w:val="3"/>
            <w:vMerge w:val="restart"/>
          </w:tcPr>
          <w:p>
            <w:pPr>
              <w:jc w:val="center"/>
              <w:ind w:left="53"/>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7"/>
            <w:vMerge w:val="restart"/>
          </w:tcPr>
          <w:p>
            <w:pPr>
              <w:ind w:left="400"/>
              <w:spacing w:after="0"/>
              <w:rPr>
                <w:sz w:val="20"/>
                <w:szCs w:val="20"/>
                <w:color w:val="auto"/>
              </w:rPr>
            </w:pPr>
            <w:r>
              <w:rPr>
                <w:rFonts w:ascii="Arial" w:cs="Arial" w:eastAsia="Arial" w:hAnsi="Arial"/>
                <w:sz w:val="14"/>
                <w:szCs w:val="14"/>
                <w:b w:val="1"/>
                <w:bCs w:val="1"/>
                <w:color w:val="auto"/>
              </w:rPr>
              <w:t>Class A Common Stock</w:t>
            </w:r>
          </w:p>
        </w:tc>
        <w:tc>
          <w:tcPr>
            <w:tcW w:w="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bottom w:val="single" w:sz="8" w:color="auto"/>
            </w:tcBorders>
            <w:gridSpan w:val="7"/>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4"/>
              </w:rPr>
              <w:t>Additional paid-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0"/>
                <w:szCs w:val="10"/>
                <w:color w:val="auto"/>
              </w:rPr>
            </w:pPr>
          </w:p>
        </w:tc>
        <w:tc>
          <w:tcPr>
            <w:tcW w:w="1000" w:type="dxa"/>
            <w:vAlign w:val="bottom"/>
          </w:tcPr>
          <w:p>
            <w:pPr>
              <w:jc w:val="center"/>
              <w:ind w:right="57"/>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Par 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deficit</w:t>
            </w: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5"/>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Balances at December 31, 2021</w:t>
            </w: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242,647,604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(575,441)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(162,638)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(162,638)</w:t>
            </w:r>
          </w:p>
        </w:tc>
        <w:tc>
          <w:tcPr>
            <w:tcW w:w="0" w:type="dxa"/>
            <w:vAlign w:val="bottom"/>
          </w:tcPr>
          <w:p>
            <w:pPr>
              <w:spacing w:after="0"/>
              <w:rPr>
                <w:sz w:val="1"/>
                <w:szCs w:val="1"/>
                <w:color w:val="auto"/>
              </w:rPr>
            </w:pPr>
          </w:p>
        </w:tc>
      </w:tr>
      <w:tr>
        <w:trPr>
          <w:trHeight w:val="22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6,325,176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1,870</w:t>
            </w:r>
          </w:p>
        </w:tc>
        <w:tc>
          <w:tcPr>
            <w:tcW w:w="0" w:type="dxa"/>
            <w:vAlign w:val="bottom"/>
          </w:tcPr>
          <w:p>
            <w:pPr>
              <w:spacing w:after="0"/>
              <w:rPr>
                <w:sz w:val="1"/>
                <w:szCs w:val="1"/>
                <w:color w:val="auto"/>
              </w:rPr>
            </w:pPr>
          </w:p>
        </w:tc>
      </w:tr>
      <w:tr>
        <w:trPr>
          <w:trHeight w:val="173"/>
        </w:trPr>
        <w:tc>
          <w:tcPr>
            <w:tcW w:w="3320" w:type="dxa"/>
            <w:vAlign w:val="bottom"/>
            <w:gridSpan w:val="2"/>
          </w:tcPr>
          <w:p>
            <w:pPr>
              <w:ind w:left="180"/>
              <w:spacing w:after="0" w:line="173" w:lineRule="exact"/>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40,280</w:t>
            </w:r>
          </w:p>
        </w:tc>
        <w:tc>
          <w:tcPr>
            <w:tcW w:w="0" w:type="dxa"/>
            <w:vAlign w:val="bottom"/>
          </w:tcPr>
          <w:p>
            <w:pPr>
              <w:spacing w:after="0"/>
              <w:rPr>
                <w:sz w:val="1"/>
                <w:szCs w:val="1"/>
                <w:color w:val="auto"/>
              </w:rPr>
            </w:pPr>
          </w:p>
        </w:tc>
      </w:tr>
      <w:tr>
        <w:trPr>
          <w:trHeight w:val="174"/>
        </w:trPr>
        <w:tc>
          <w:tcPr>
            <w:tcW w:w="332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Shares issued for PIPE, net of</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197,659</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Shares issued for acquisition (1)</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80,000,000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172,000</w:t>
            </w:r>
          </w:p>
        </w:tc>
        <w:tc>
          <w:tcPr>
            <w:tcW w:w="0" w:type="dxa"/>
            <w:vAlign w:val="bottom"/>
          </w:tcPr>
          <w:p>
            <w:pPr>
              <w:spacing w:after="0"/>
              <w:rPr>
                <w:sz w:val="1"/>
                <w:szCs w:val="1"/>
                <w:color w:val="auto"/>
              </w:rPr>
            </w:pPr>
          </w:p>
        </w:tc>
      </w:tr>
      <w:tr>
        <w:trPr>
          <w:trHeight w:val="173"/>
        </w:trPr>
        <w:tc>
          <w:tcPr>
            <w:tcW w:w="3320" w:type="dxa"/>
            <w:vAlign w:val="bottom"/>
            <w:gridSpan w:val="2"/>
            <w:shd w:val="clear" w:color="auto" w:fill="CCEEFF"/>
          </w:tcPr>
          <w:p>
            <w:pPr>
              <w:ind w:left="180"/>
              <w:spacing w:after="0" w:line="173" w:lineRule="exact"/>
              <w:rPr>
                <w:sz w:val="20"/>
                <w:szCs w:val="20"/>
                <w:color w:val="auto"/>
              </w:rPr>
            </w:pPr>
            <w:r>
              <w:rPr>
                <w:rFonts w:ascii="Arial" w:cs="Arial" w:eastAsia="Arial" w:hAnsi="Arial"/>
                <w:sz w:val="18"/>
                <w:szCs w:val="18"/>
                <w:color w:val="auto"/>
              </w:rPr>
              <w:t>Vested restricted stock units</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converted to common stock</w:t>
            </w: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924,019</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9"/>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right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379,896,799</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1,375,315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(738,079)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637,274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0" w:firstLine="6"/>
        <w:spacing w:after="0" w:line="265"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the 80 million shares issued for acquisition, 8.3 million shares are held by an escrow agent for a one year escrow period During this period, the seller retains all rights with respect to the escrow shares, including voting rights and rights to receive dividends and other distributions on such escrow shares.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140"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Redeemable Convertible Preferred Stock and Stockholders' Equity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Three months ended June 30, 2021 (1)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0"/>
              </w:rPr>
              <w:t>Redeemable Convertible</w:t>
            </w:r>
          </w:p>
        </w:tc>
        <w:tc>
          <w:tcPr>
            <w:tcW w:w="20" w:type="dxa"/>
            <w:vAlign w:val="bottom"/>
          </w:tcPr>
          <w:p>
            <w:pPr>
              <w:spacing w:after="0"/>
              <w:rPr>
                <w:sz w:val="14"/>
                <w:szCs w:val="14"/>
                <w:color w:val="auto"/>
              </w:rPr>
            </w:pPr>
          </w:p>
        </w:tc>
        <w:tc>
          <w:tcPr>
            <w:tcW w:w="19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Class A Common Stock</w:t>
            </w:r>
          </w:p>
        </w:tc>
        <w:tc>
          <w:tcPr>
            <w:tcW w:w="19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9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23"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1"/>
              </w:rPr>
              <w:t>paid-in</w:t>
            </w: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deficit (1)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66"/>
        </w:trPr>
        <w:tc>
          <w:tcPr>
            <w:tcW w:w="198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rPr>
              <w:t>Balances at March 31,</w:t>
            </w:r>
          </w:p>
        </w:tc>
        <w:tc>
          <w:tcPr>
            <w:tcW w:w="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171,535,213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334,439</w:t>
            </w: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748,761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(521,826)</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(521,826)</w:t>
            </w:r>
          </w:p>
        </w:tc>
        <w:tc>
          <w:tcPr>
            <w:tcW w:w="0" w:type="dxa"/>
            <w:vAlign w:val="bottom"/>
          </w:tcPr>
          <w:p>
            <w:pPr>
              <w:spacing w:after="0"/>
              <w:rPr>
                <w:sz w:val="1"/>
                <w:szCs w:val="1"/>
                <w:color w:val="auto"/>
              </w:rPr>
            </w:pP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(46,161)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(46,161)</w:t>
            </w:r>
          </w:p>
        </w:tc>
        <w:tc>
          <w:tcPr>
            <w:tcW w:w="0" w:type="dxa"/>
            <w:vAlign w:val="bottom"/>
          </w:tcPr>
          <w:p>
            <w:pPr>
              <w:spacing w:after="0"/>
              <w:rPr>
                <w:sz w:val="1"/>
                <w:szCs w:val="1"/>
                <w:color w:val="auto"/>
              </w:rPr>
            </w:pPr>
          </w:p>
        </w:tc>
      </w:tr>
      <w:tr>
        <w:trPr>
          <w:trHeight w:val="225"/>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Stock option exercises</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59"/>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June 30, 2021</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171,535,213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rPr>
              <w:t>4,458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1,383,736</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(567,987)</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(566,504)</w:t>
            </w:r>
          </w:p>
        </w:tc>
        <w:tc>
          <w:tcPr>
            <w:tcW w:w="0" w:type="dxa"/>
            <w:vAlign w:val="bottom"/>
          </w:tcPr>
          <w:p>
            <w:pPr>
              <w:spacing w:after="0"/>
              <w:rPr>
                <w:sz w:val="1"/>
                <w:szCs w:val="1"/>
                <w:color w:val="auto"/>
              </w:rPr>
            </w:pPr>
          </w:p>
        </w:tc>
      </w:tr>
      <w:tr>
        <w:trPr>
          <w:trHeight w:val="836"/>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7"/>
          </w:tcPr>
          <w:p>
            <w:pPr>
              <w:ind w:left="320"/>
              <w:spacing w:after="0"/>
              <w:rPr>
                <w:sz w:val="20"/>
                <w:szCs w:val="20"/>
                <w:color w:val="auto"/>
              </w:rPr>
            </w:pPr>
            <w:r>
              <w:rPr>
                <w:rFonts w:ascii="Arial" w:cs="Arial" w:eastAsia="Arial" w:hAnsi="Arial"/>
                <w:sz w:val="16"/>
                <w:szCs w:val="16"/>
                <w:b w:val="1"/>
                <w:bCs w:val="1"/>
                <w:color w:val="auto"/>
                <w:w w:val="93"/>
              </w:rPr>
              <w:t>Six months ended June 30, 2021 (1)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1"/>
              </w:rPr>
              <w:t>Redeemable Convertible</w:t>
            </w:r>
          </w:p>
        </w:tc>
        <w:tc>
          <w:tcPr>
            <w:tcW w:w="20" w:type="dxa"/>
            <w:vAlign w:val="bottom"/>
          </w:tcPr>
          <w:p>
            <w:pPr>
              <w:spacing w:after="0"/>
              <w:rPr>
                <w:sz w:val="24"/>
                <w:szCs w:val="24"/>
                <w:color w:val="auto"/>
              </w:rPr>
            </w:pPr>
          </w:p>
        </w:tc>
        <w:tc>
          <w:tcPr>
            <w:tcW w:w="190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Class A Common Stock</w:t>
            </w:r>
          </w:p>
        </w:tc>
        <w:tc>
          <w:tcPr>
            <w:tcW w:w="19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23"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1"/>
              </w:rPr>
              <w:t>paid-in</w:t>
            </w: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deficit (1)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66"/>
        </w:trPr>
        <w:tc>
          <w:tcPr>
            <w:tcW w:w="198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w w:val="87"/>
              </w:rPr>
              <w:t>Balances at December 31,</w:t>
            </w: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171,535,213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334,439</w:t>
            </w: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130,557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(330,051)</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(330,051)</w:t>
            </w: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(237,936)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(237,936)</w:t>
            </w: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exercises</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58"/>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June 30, 2021</w:t>
            </w:r>
          </w:p>
        </w:tc>
        <w:tc>
          <w:tcPr>
            <w:tcW w:w="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171,535,213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20" w:type="dxa"/>
            <w:vAlign w:val="bottom"/>
            <w:tcBorders>
              <w:top w:val="single" w:sz="8" w:color="auto"/>
              <w:bottom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4,458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1,383,736</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(567,987)</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(566,504)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
        <w:spacing w:after="0" w:line="246" w:lineRule="auto"/>
        <w:tabs>
          <w:tab w:leader="none" w:pos="200" w:val="left"/>
        </w:tabs>
        <w:numPr>
          <w:ilvl w:val="0"/>
          <w:numId w:val="7"/>
        </w:numPr>
        <w:rPr>
          <w:rFonts w:ascii="Arial" w:cs="Arial" w:eastAsia="Arial" w:hAnsi="Arial"/>
          <w:sz w:val="14"/>
          <w:szCs w:val="14"/>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which impacted previously reported net loss for the second quarter of 2021 and the adjusted net loss is reflected as disclosed.</w:t>
      </w:r>
    </w:p>
    <w:p>
      <w:pPr>
        <w:spacing w:after="0" w:line="200" w:lineRule="exact"/>
        <w:rPr>
          <w:sz w:val="20"/>
          <w:szCs w:val="20"/>
          <w:color w:val="auto"/>
        </w:rPr>
      </w:pPr>
    </w:p>
    <w:p>
      <w:pPr>
        <w:spacing w:after="0" w:line="34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20" w:top="140"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7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9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 (1)</w:t>
            </w: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(162,638)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(237,936)</w:t>
            </w:r>
          </w:p>
        </w:tc>
      </w:tr>
      <w:tr>
        <w:trPr>
          <w:trHeight w:val="239"/>
        </w:trPr>
        <w:tc>
          <w:tcPr>
            <w:tcW w:w="7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w:t>
            </w:r>
          </w:p>
        </w:tc>
      </w:tr>
      <w:tr>
        <w:trPr>
          <w:trHeight w:val="225"/>
        </w:trPr>
        <w:tc>
          <w:tcPr>
            <w:tcW w:w="79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164,443</w:t>
            </w:r>
          </w:p>
        </w:tc>
      </w:tr>
      <w:tr>
        <w:trPr>
          <w:trHeight w:val="252"/>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Change in fair value of warrant and earn-out contingent liabilities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920" w:type="dxa"/>
            <w:vAlign w:val="bottom"/>
          </w:tcPr>
          <w:p>
            <w:pPr>
              <w:ind w:left="180"/>
              <w:spacing w:after="0"/>
              <w:rPr>
                <w:sz w:val="20"/>
                <w:szCs w:val="20"/>
                <w:color w:val="auto"/>
              </w:rPr>
            </w:pPr>
            <w:r>
              <w:rPr>
                <w:rFonts w:ascii="Arial" w:cs="Arial" w:eastAsia="Arial" w:hAnsi="Arial"/>
                <w:sz w:val="18"/>
                <w:szCs w:val="18"/>
                <w:color w:val="2B2A29"/>
              </w:rPr>
              <w:t>Income tax benefit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r>
      <w:tr>
        <w:trPr>
          <w:trHeight w:val="225"/>
        </w:trPr>
        <w:tc>
          <w:tcPr>
            <w:tcW w:w="792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3"/>
        </w:trPr>
        <w:tc>
          <w:tcPr>
            <w:tcW w:w="7920" w:type="dxa"/>
            <w:vAlign w:val="bottom"/>
          </w:tcPr>
          <w:p>
            <w:pPr>
              <w:ind w:left="180"/>
              <w:spacing w:after="0" w:line="173" w:lineRule="exact"/>
              <w:rPr>
                <w:sz w:val="20"/>
                <w:szCs w:val="20"/>
                <w:color w:val="auto"/>
              </w:rPr>
            </w:pPr>
            <w:r>
              <w:rPr>
                <w:rFonts w:ascii="Arial" w:cs="Arial" w:eastAsia="Arial" w:hAnsi="Arial"/>
                <w:sz w:val="18"/>
                <w:szCs w:val="18"/>
                <w:color w:val="auto"/>
              </w:rPr>
              <w:t>Change in operating assets and liabilities, net of effects from purchase of</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0"/>
        </w:trPr>
        <w:tc>
          <w:tcPr>
            <w:tcW w:w="7920" w:type="dxa"/>
            <w:vAlign w:val="bottom"/>
          </w:tcPr>
          <w:p>
            <w:pPr>
              <w:ind w:left="180"/>
              <w:spacing w:after="0"/>
              <w:rPr>
                <w:sz w:val="20"/>
                <w:szCs w:val="20"/>
                <w:color w:val="auto"/>
              </w:rPr>
            </w:pPr>
            <w:r>
              <w:rPr>
                <w:rFonts w:ascii="Arial" w:cs="Arial" w:eastAsia="Arial" w:hAnsi="Arial"/>
                <w:sz w:val="18"/>
                <w:szCs w:val="18"/>
                <w:color w:val="auto"/>
              </w:rPr>
              <w:t>business: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2"/>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(6,632)</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Due to/from related parties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10,028</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5"/>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(7,824)</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(67,509)</w:t>
            </w:r>
          </w:p>
        </w:tc>
      </w:tr>
      <w:tr>
        <w:trPr>
          <w:trHeight w:val="219"/>
        </w:trPr>
        <w:tc>
          <w:tcPr>
            <w:tcW w:w="7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Purchase of business, net of cash acquired</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r>
      <w:tr>
        <w:trPr>
          <w:trHeight w:val="219"/>
        </w:trPr>
        <w:tc>
          <w:tcPr>
            <w:tcW w:w="7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Proceeds from PIPE issuance, net of issuance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transaction costs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Finance lease principal payments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 of stock options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232"/>
        </w:trPr>
        <w:tc>
          <w:tcPr>
            <w:tcW w:w="79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17715" cy="160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decrease in cash, cash equivalents and restricted cash</w:t>
      </w:r>
    </w:p>
    <w:p>
      <w:pPr>
        <w:spacing w:after="0" w:line="56" w:lineRule="exact"/>
        <w:rPr>
          <w:sz w:val="20"/>
          <w:szCs w:val="20"/>
          <w:color w:val="auto"/>
        </w:rPr>
      </w:pPr>
    </w:p>
    <w:p>
      <w:pPr>
        <w:ind w:left="20" w:right="2560"/>
        <w:spacing w:after="0" w:line="439" w:lineRule="auto"/>
        <w:rPr>
          <w:sz w:val="20"/>
          <w:szCs w:val="20"/>
          <w:color w:val="auto"/>
        </w:rPr>
      </w:pPr>
      <w:r>
        <w:rPr>
          <w:rFonts w:ascii="Arial" w:cs="Arial" w:eastAsia="Arial" w:hAnsi="Arial"/>
          <w:sz w:val="15"/>
          <w:szCs w:val="15"/>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-257810</wp:posOffset>
            </wp:positionV>
            <wp:extent cx="7117715" cy="168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1100" w:type="dxa"/>
            <w:vAlign w:val="bottom"/>
          </w:tcPr>
          <w:p>
            <w:pPr>
              <w:jc w:val="center"/>
              <w:ind w:left="272"/>
              <w:spacing w:after="0"/>
              <w:rPr>
                <w:sz w:val="20"/>
                <w:szCs w:val="20"/>
                <w:color w:val="auto"/>
              </w:rPr>
            </w:pPr>
            <w:r>
              <w:rPr>
                <w:rFonts w:ascii="Arial" w:cs="Arial" w:eastAsia="Arial" w:hAnsi="Arial"/>
                <w:sz w:val="18"/>
                <w:szCs w:val="18"/>
                <w:color w:val="auto"/>
                <w:w w:val="90"/>
              </w:rPr>
              <w:t>(102,452)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(81,631)</w:t>
            </w:r>
          </w:p>
        </w:tc>
      </w:tr>
      <w:tr>
        <w:trPr>
          <w:trHeight w:val="226"/>
        </w:trPr>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6"/>
              </w:rPr>
              <w:t>401,469</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118,960</w:t>
            </w:r>
          </w:p>
        </w:tc>
      </w:tr>
      <w:tr>
        <w:trPr>
          <w:trHeight w:val="218"/>
        </w:trPr>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6"/>
              </w:rPr>
              <w:t>299,017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ectPr>
          <w:pgSz w:w="11900" w:h="16838" w:orient="portrait"/>
          <w:cols w:equalWidth="0" w:num="2">
            <w:col w:w="7200" w:space="720"/>
            <w:col w:w="3300"/>
          </w:cols>
          <w:pgMar w:left="320" w:top="140" w:right="35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1"/>
        </w:trPr>
        <w:tc>
          <w:tcPr>
            <w:tcW w:w="680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1,193</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5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1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6800" w:type="dxa"/>
            <w:vAlign w:val="bottom"/>
          </w:tcPr>
          <w:p>
            <w:pPr>
              <w:ind w:left="20"/>
              <w:spacing w:after="0"/>
              <w:rPr>
                <w:sz w:val="20"/>
                <w:szCs w:val="20"/>
                <w:color w:val="auto"/>
              </w:rPr>
            </w:pPr>
            <w:r>
              <w:rPr>
                <w:rFonts w:ascii="Arial" w:cs="Arial" w:eastAsia="Arial" w:hAnsi="Arial"/>
                <w:sz w:val="18"/>
                <w:szCs w:val="18"/>
                <w:color w:val="auto"/>
              </w:rPr>
              <w:t>Stock consideration paid for purchase of business</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172,000</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1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3,243</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51"/>
        </w:trPr>
        <w:tc>
          <w:tcPr>
            <w:tcW w:w="680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1,118</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1,225</w:t>
            </w: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20" w:top="140"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deferred transaction costs included in accounts payable and accrued expenses</w:t>
            </w:r>
          </w:p>
        </w:tc>
        <w:tc>
          <w:tcPr>
            <w:tcW w:w="16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r>
      <w:tr>
        <w:trPr>
          <w:trHeight w:val="224"/>
        </w:trPr>
        <w:tc>
          <w:tcPr>
            <w:tcW w:w="7000" w:type="dxa"/>
            <w:vAlign w:val="bottom"/>
          </w:tcPr>
          <w:p>
            <w:pPr>
              <w:ind w:left="20"/>
              <w:spacing w:after="0"/>
              <w:rPr>
                <w:sz w:val="20"/>
                <w:szCs w:val="20"/>
                <w:color w:val="auto"/>
              </w:rPr>
            </w:pPr>
            <w:r>
              <w:rPr>
                <w:rFonts w:ascii="Arial" w:cs="Arial" w:eastAsia="Arial" w:hAnsi="Arial"/>
                <w:sz w:val="18"/>
                <w:szCs w:val="18"/>
                <w:color w:val="auto"/>
              </w:rPr>
              <w:t>Non-cash impact of shares reclass into APIC</w:t>
            </w:r>
          </w:p>
        </w:tc>
        <w:tc>
          <w:tcPr>
            <w:tcW w:w="16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1,483</w:t>
            </w:r>
          </w:p>
        </w:tc>
      </w:tr>
    </w:tbl>
    <w:p>
      <w:pPr>
        <w:spacing w:after="0" w:line="243" w:lineRule="exact"/>
        <w:rPr>
          <w:sz w:val="20"/>
          <w:szCs w:val="20"/>
          <w:color w:val="auto"/>
        </w:rPr>
      </w:pPr>
    </w:p>
    <w:p>
      <w:pPr>
        <w:jc w:val="both"/>
        <w:ind w:firstLine="6"/>
        <w:spacing w:after="0" w:line="263"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certain liability accounts previously reported in the condensed balance sheets as of June 30, 2021. The adjustments are reflected accordingly as disclosed.</w:t>
      </w:r>
    </w:p>
    <w:p>
      <w:pPr>
        <w:spacing w:after="0" w:line="12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Sema4 Holdings Corp. (“Sema4 Holdings”) through its subsidiaries Sema4 OpCo, Inc., formerly Mount Sinai Genomics Inc., a Delaware corporation (“Legacy Sema4”), and GeneDx Holding 2, LLC,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4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July 22, 2021 (the “Closing Date”), CM Life Sciences, Inc. (“CMLS”) completed the acquisition of Legacy Sema4, pursuant to that certain Agreement and Plan of Merger (as amended, the “Business Combination Merger Agreement”), dated February 9, 2021. On the Closing Date, S-IV Sub, Inc. merged with and into the Legacy Sema4, with Legacy Sema4 surviving the merger as a wholly-owned subsidiary of CMLS (the “Business Combination Merger” and, together with the other transactions contemplated by the Business Combination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spacing w:after="0" w:line="112" w:lineRule="exact"/>
        <w:rPr>
          <w:sz w:val="20"/>
          <w:szCs w:val="20"/>
          <w:color w:val="auto"/>
        </w:rPr>
      </w:pPr>
    </w:p>
    <w:p>
      <w:pPr>
        <w:ind w:right="320" w:firstLine="318"/>
        <w:spacing w:after="0" w:line="294" w:lineRule="auto"/>
        <w:rPr>
          <w:sz w:val="20"/>
          <w:szCs w:val="20"/>
          <w:color w:val="auto"/>
        </w:rPr>
      </w:pPr>
      <w:r>
        <w:rPr>
          <w:rFonts w:ascii="Arial" w:cs="Arial" w:eastAsia="Arial" w:hAnsi="Arial"/>
          <w:sz w:val="15"/>
          <w:szCs w:val="15"/>
          <w:color w:val="auto"/>
        </w:rPr>
        <w:t>The Business Combination Merger was accounted for as a reverse recapitalization with Legacy Sema4 as the accounting acquirer and CMLS as the acquired company for accounting purposes. The shares and net loss per common share, prior to the Business Combination Merger, have been retroactively restated as shares reflecting the exchange ratio established in the Business Combination Merger (1 share of Legacy Sema4 Class A common stock for 123.8339 shares of Sema4 Holdings Class A common stock (the “Class A common stock”) (the “Conversion Ratio”).</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Business Combination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w:t>
      </w:r>
    </w:p>
    <w:p>
      <w:pPr>
        <w:spacing w:after="0" w:line="1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on April 29, 2022, the Company consummated the transactions contemplated by that certain Agreement and Plan of Merger, dated as of January 14, 2022 (as amended, the “ Acquisition Merger Agreement”), by and among the Company and GeneDx, Inc. (“GeneDx”), a New Jersey corporation and wholly-owned subsidiary of OPKO Health, Inc. (“OPKO”), GeneDx Holding 2, Inc., which held 100% of GeneDx (“Holdco2”), at the Effective Time (as defined in the Acquisition Merger Agreement) and OPKO, which provided for, among other things, the acquisition of GeneDx from OPKO. After giving effect to the mergers and the other transactions contemplated by the Acquisition Merger Agreement (the “Acquisition”), GeneDx was converted into a Delaware limited liability company and became the Company’s wholly-owned indirect subsidiary.</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3, “Business Combination,” for additional details regarding the Business Combination and Acquisition.</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subsidiaries following the consummation of the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1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such, the accompanying unaudited condensed consolidated financial statements should be read in conjunction with the Company’s audited financial statements and notes thereto as of and for the years ended December 31, 2021, 2020 and 2019 included in the Company’s Annual Report on Form 10-K for the year ended December 21, 2021 filed on March 14, 2022 (the “Annual Report”).</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21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Icahn School of Medicine at Mount Sinai (“ISMMS”) pursuant to a Transition Services Agreement ("TSA") and service agreements. See Note 7, “Related Party Transactions”.</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discussed in the Company’s Annual Report, the Company identified the misclassification of certain expenses and out of period adjustments generally related to the recognition of cost of services. The impact of these adjustments were disclosed in the Company’s Annual Report and are reflected in the condensed consolidated statements of operations and comprehensive loss, condensed consolidated statement of redeemable convertible preferred stock and stockholders’ equity (deficit) and condensed consolidated statements of cash flows for the period ended June 30, 2021.</w:t>
      </w:r>
    </w:p>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the Company has incurred recurring losses in each year since inception, the Company expects its cash and cash equivalents will be sufficient to fund operations for at least the next twelve months from the date of filing of this Form 10-Q.</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7"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and the valuation of stock-based awards, inventory, earn-out contingent liabilities and earn-out Restricted Stock Units (“RSUs”). Actual results could differ materially from those estimates, judgments and assumptions.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assesses both the self-pay patient and, if applicable, the third-party payor that reimburses the Company on the patient’s behalf when evaluating the concentration of credit risk. Significant customers and payors are those that represent more than 10% of the Company’s total revenues for the period or accounts receivable balance at each respective balance sheet date. The significant concentrations of accounts receivable as of June 30, 2022 and December 31, 2021 were primarily from large managed care insurance companies and a reference laboratory. There was no individual patient that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1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accounted for 10% or more of the Company’s revenue or accounts receivable for any of the periods presented. The Company does not require collateral as a means to mitigate customer credit risk.</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gridSpan w:val="4"/>
          </w:tcPr>
          <w:p>
            <w:pPr>
              <w:ind w:left="160"/>
              <w:spacing w:after="0"/>
              <w:rPr>
                <w:sz w:val="20"/>
                <w:szCs w:val="20"/>
                <w:color w:val="auto"/>
              </w:rPr>
            </w:pPr>
            <w:r>
              <w:rPr>
                <w:rFonts w:ascii="Arial" w:cs="Arial" w:eastAsia="Arial" w:hAnsi="Arial"/>
                <w:sz w:val="14"/>
                <w:szCs w:val="14"/>
                <w:b w:val="1"/>
                <w:bCs w:val="1"/>
                <w:color w:val="auto"/>
              </w:rPr>
              <w:t>Revenue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3"/>
          </w:tcPr>
          <w:p>
            <w:pPr>
              <w:ind w:left="84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25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Three months ended June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152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85"/>
              </w:rPr>
              <w:t>As of</w:t>
            </w:r>
          </w:p>
        </w:tc>
        <w:tc>
          <w:tcPr>
            <w:tcW w:w="14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5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4"/>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center"/>
              <w:ind w:left="295"/>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 (**)</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8"/>
              </w:rPr>
              <w:t>21%</w:t>
            </w:r>
          </w:p>
        </w:tc>
        <w:tc>
          <w:tcPr>
            <w:tcW w:w="188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Pr>
          <w:p>
            <w:pPr>
              <w:jc w:val="center"/>
              <w:ind w:left="295"/>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center"/>
              <w:ind w:left="3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8"/>
              </w:rPr>
              <w:t>13%</w:t>
            </w:r>
          </w:p>
        </w:tc>
        <w:tc>
          <w:tcPr>
            <w:tcW w:w="188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w w:val="94"/>
              </w:rPr>
              <w:t>10%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80" w:type="dxa"/>
            <w:vAlign w:val="bottom"/>
          </w:tcPr>
          <w:p>
            <w:pPr>
              <w:spacing w:after="0"/>
              <w:rPr>
                <w:sz w:val="19"/>
                <w:szCs w:val="19"/>
                <w:color w:val="auto"/>
              </w:rPr>
            </w:pPr>
          </w:p>
        </w:tc>
        <w:tc>
          <w:tcPr>
            <w:tcW w:w="1060" w:type="dxa"/>
            <w:vAlign w:val="bottom"/>
          </w:tcPr>
          <w:p>
            <w:pPr>
              <w:jc w:val="center"/>
              <w:ind w:left="295"/>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center"/>
              <w:ind w:left="375"/>
              <w:spacing w:after="0"/>
              <w:rPr>
                <w:sz w:val="20"/>
                <w:szCs w:val="20"/>
                <w:color w:val="auto"/>
              </w:rPr>
            </w:pPr>
            <w:r>
              <w:rPr>
                <w:rFonts w:ascii="Arial" w:cs="Arial" w:eastAsia="Arial" w:hAnsi="Arial"/>
                <w:sz w:val="18"/>
                <w:szCs w:val="18"/>
                <w:color w:val="auto"/>
                <w:w w:val="94"/>
              </w:rPr>
              <w:t>10%</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*less than 10%</w:t>
      </w:r>
    </w:p>
    <w:p>
      <w:pPr>
        <w:spacing w:after="0" w:line="170" w:lineRule="exact"/>
        <w:rPr>
          <w:sz w:val="20"/>
          <w:szCs w:val="20"/>
          <w:color w:val="auto"/>
        </w:rPr>
      </w:pPr>
    </w:p>
    <w:p>
      <w:pPr>
        <w:ind w:right="80" w:firstLine="6"/>
        <w:spacing w:after="0" w:line="251" w:lineRule="auto"/>
        <w:tabs>
          <w:tab w:leader="none" w:pos="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payor represented less than 10% of the Company’s total revenues during the second quarter of 2022 due to a reversal of revenue recorded for this payor in the quarter due to this payor’s allegation regarding certain overpayments the Company allegedly received from this payor for services alleged to be uncovered by, or were not otherwise properly billed to, this payor. Refer to Note 4, “Revenue Recognition.”</w:t>
      </w:r>
    </w:p>
    <w:p>
      <w:pPr>
        <w:spacing w:after="0" w:line="1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13% and 10% for the three months ended June 30, 2022 and 2021, respectively and 13% and 11% for the six months ended June 30, 2022 and 2021, respectively. This risk is managed by maintaining a target quantity of surplus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June 30, 2022 and December 31, 2021.</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three months ended March 31, 2021, the Company received an additional $5.6 million under the PRF distribution, which was recognized in other income in the condensed consolidated statements of operations and comprehensive loss.</w:t>
      </w:r>
    </w:p>
    <w:p>
      <w:pPr>
        <w:spacing w:after="0" w:line="11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Additionally, under the CARES Act, the Company deferred payment of U.S. social security taxes in 2020. As a result, $3.8 million of employer payroll tax payments were initially deferred as of December 31, 2020 with $1.9 million paid in December 2021 and the remaining $1.9 million payment will be made in December 2022. As of June 30, 2022, the remaining payable is recorded in other current liabilities.</w:t>
      </w:r>
    </w:p>
    <w:p>
      <w:pPr>
        <w:spacing w:after="0" w:line="15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Following the Company’s announcement that it would discontinue COVID-19 testing services by March 31, 2022, the Company no longer provides COVID-19 testing services. During the six months ended June 30, 2022, the Company wrote off an accounts receivable balance of $0.5 million related to COVID-19 testing services.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1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consolidated balance sheets that sum to the total of the same amounts shown on the condensed consolidated statements of cash flows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580" w:type="dxa"/>
            <w:vAlign w:val="bottom"/>
          </w:tcPr>
          <w:p>
            <w:pPr>
              <w:jc w:val="right"/>
              <w:ind w:right="659"/>
              <w:spacing w:after="0"/>
              <w:rPr>
                <w:sz w:val="20"/>
                <w:szCs w:val="20"/>
                <w:color w:val="auto"/>
              </w:rPr>
            </w:pPr>
            <w:r>
              <w:rPr>
                <w:rFonts w:ascii="Arial" w:cs="Arial" w:eastAsia="Arial" w:hAnsi="Arial"/>
                <w:sz w:val="14"/>
                <w:szCs w:val="14"/>
                <w:b w:val="1"/>
                <w:bCs w:val="1"/>
                <w:color w:val="auto"/>
              </w:rPr>
              <w:t>As of</w:t>
            </w:r>
          </w:p>
        </w:tc>
      </w:tr>
      <w:tr>
        <w:trPr>
          <w:trHeight w:val="192"/>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June 30, 2022</w:t>
            </w:r>
          </w:p>
        </w:tc>
        <w:tc>
          <w:tcPr>
            <w:tcW w:w="200" w:type="dxa"/>
            <w:vAlign w:val="bottom"/>
          </w:tcPr>
          <w:p>
            <w:pPr>
              <w:spacing w:after="0"/>
              <w:rPr>
                <w:sz w:val="16"/>
                <w:szCs w:val="16"/>
                <w:color w:val="auto"/>
              </w:rPr>
            </w:pPr>
          </w:p>
        </w:tc>
        <w:tc>
          <w:tcPr>
            <w:tcW w:w="158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December 31, 2021</w:t>
            </w:r>
          </w:p>
        </w:tc>
      </w:tr>
      <w:tr>
        <w:trPr>
          <w:trHeight w:val="225"/>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400,569</w:t>
            </w:r>
          </w:p>
        </w:tc>
      </w:tr>
      <w:tr>
        <w:trPr>
          <w:trHeight w:val="22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Restricted cash as of June 30, 2022 includes $13.5 million escrow fund as restricted cash related to the closing of the GeneDx Acquisition. The escrow amount is to be held for a period of 12 months following the closing date of the Acquisition as a fund for OPKO’s indemnification obligations pursuant to the Acquisition Merger Agreement. In addition, restricted cash as of June 30, 2022 consists of money market deposit accounts that secure an irrevocable standby letter of credit that serves as collateral for security deposit operating leases (see Note 9,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to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Amortizable intangible assets include trade names and trademarks, developed technology and customer relationships acquired as part of business combinations. Intangible assets acquired through our business combinations in the second quarter of 2022 are amortized on a straight line basis. All intangible assets subject to amortization are reviewed for impairment in accordance with ASC 360, Property, Plant and Equipment.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accordance with ASC 350, Intangibles-Goodwill and Other, the Company’s goodwill is not amortized but is tested for impairment on an annual basis or whenever events or changes in circumstances indicate that the carrying amount of these assets may not be recoverable. Under ASC 350, the Company will perform annual impairment reviews of goodwill during the fourth fiscal quarter or more frequently if business factors indicate. The Company did not incur any goodwill impairment losses during the second quarter ended June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the consummation of the Business Combination Merger in July 2021, there were 21,995,000 warrants to purchase shares of Class A common stock outstanding, including 14,758,333 public warrants and 7,236,667 private placement warrants. As of December 31, 2021, there were 21,994,972 warrants to purchase shares of Class A common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1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220"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may redeem the outstanding public warrants if the price per share of the common stock equals or exceeds $10.00 as described below:</w:t>
      </w:r>
    </w:p>
    <w:p>
      <w:pPr>
        <w:spacing w:after="0" w:line="27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58"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(GeneDx)</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In connection with the Acquisition of GeneDx, up to $150 million of contingent payments will be payable to OPKO in cash and/or shares of Company’s Class A common stock with such mix to be determined in the Company’s sole discretion,based upon achievement of 2022 and 2023 revenue milestones, pursuant to the Acquisition Merger Agreement (the “Milestone Payments”). If the Company elects to pay in shares of Class A common stock, the Acquisition Merger Agreement provides that the shares issues are to be valued at $4.86 per share.</w:t>
      </w:r>
    </w:p>
    <w:p>
      <w:pPr>
        <w:spacing w:after="0" w:line="15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Subject to the terms and conditions of the Acquisition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(each of clauses (a) and (b), a “Milestone Event”); provided that 80% of the Milestone Payment for the first milestone period or the second milestone period, as applicable, will become payable in respect of such period if the GeneDx group achieves 90% of the applicable Milestone Event revenue target for such period, which amount will scale on a</w:t>
      </w:r>
    </w:p>
    <w:p>
      <w:pPr>
        <w:jc w:val="both"/>
        <w:ind w:right="20"/>
        <w:spacing w:after="0" w:line="264" w:lineRule="auto"/>
        <w:rPr>
          <w:sz w:val="20"/>
          <w:szCs w:val="20"/>
          <w:color w:val="auto"/>
        </w:rPr>
      </w:pPr>
      <w:r>
        <w:rPr>
          <w:rFonts w:ascii="Arial" w:cs="Arial" w:eastAsia="Arial" w:hAnsi="Arial"/>
          <w:sz w:val="18"/>
          <w:szCs w:val="18"/>
          <w:color w:val="auto"/>
        </w:rPr>
        <w:t>linear basis up to 100% of the applicable Milestone Payment at 100% of the applicable revenue target. The fair value of the Milestone Payment which was determined to be $35 million as of June 30, 2022 is estimated using a Monte Carlo simulation valuation model.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Business Combination Merger, all Legacy Sema4 stockholders and option holders at that time became entitled to a pro rata share of 19,021,576 earn-out shares and earn-out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determined the fair value of the earn-out shares issued to the Legacy Sema4 stockholders as of June 30, 2022 was $0.2 million. The estimated fair value of the earn-out is determined using a Monte Carlo valuation analysis.</w:t>
      </w:r>
    </w:p>
    <w:p>
      <w:pPr>
        <w:spacing w:after="0" w:line="14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$0.9 million of stock-based compensation expense in relation to the earn-out RSUs for the six months ended June 30, 2022.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capitalizes certain costs incurred related to the development of its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the Company estimates the useful life of the asset and begins amortization.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1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right="920"/>
        <w:spacing w:after="0" w:line="445" w:lineRule="auto"/>
        <w:rPr>
          <w:sz w:val="20"/>
          <w:szCs w:val="20"/>
          <w:color w:val="auto"/>
        </w:rPr>
      </w:pPr>
      <w:r>
        <w:rPr>
          <w:rFonts w:ascii="Arial" w:cs="Arial" w:eastAsia="Arial" w:hAnsi="Arial"/>
          <w:sz w:val="18"/>
          <w:szCs w:val="18"/>
          <w:color w:val="auto"/>
        </w:rPr>
        <w:t xml:space="preserve">therefore, will not be subject to the same new or revised accounting standards as other public companies that are not emerging growth companies. </w:t>
      </w:r>
      <w:r>
        <w:rPr>
          <w:rFonts w:ascii="Arial" w:cs="Arial" w:eastAsia="Arial" w:hAnsi="Arial"/>
          <w:sz w:val="18"/>
          <w:szCs w:val="18"/>
          <w:b w:val="1"/>
          <w:bCs w:val="1"/>
          <w:i w:val="1"/>
          <w:iCs w:val="1"/>
          <w:color w:val="auto"/>
        </w:rPr>
        <w:t>Recently Adopted Accounting Pronouncements</w:t>
      </w:r>
    </w:p>
    <w:p>
      <w:pPr>
        <w:spacing w:after="0" w:line="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In February 2016, the FASB issued ASU 2016-02, Leases (“Topic 842”), which requires lessees to recognize right-of-use assets and lease liabilities for most leases on their balance sheets. Expense recognition for lessees under ASC 842 is similar to current lease accounting. ASC 842 requires enhanced disclosures to help the financial statement users better understand the amount, timing, and uncertainty of cash flows arising from leases. The Company adopted ASC 842 as of January 1, 2022, utilizing the modified retrospective adoption approach. In transition to the ASC 842, the Company elected to use the package of practical expedients permitted under the transition guidance that allowed us to not reassess: (i) whether any expired or existing contracts are or contain leases,</w:t>
      </w:r>
    </w:p>
    <w:p>
      <w:pPr>
        <w:spacing w:after="0" w:line="1" w:lineRule="exact"/>
        <w:rPr>
          <w:sz w:val="20"/>
          <w:szCs w:val="20"/>
          <w:color w:val="auto"/>
        </w:rPr>
      </w:pPr>
    </w:p>
    <w:p>
      <w:pPr>
        <w:jc w:val="both"/>
        <w:ind w:firstLine="6"/>
        <w:spacing w:after="0" w:line="263" w:lineRule="auto"/>
        <w:tabs>
          <w:tab w:leader="none" w:pos="274"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lease classification for any expired or existing leases, or (iii) initial direct costs for any existing leases. Additionally, the Company did not elect the hindsight practical expedient which would have permitted the use of hindsight in determining the lease term and assessing impairment. The Company elected to combine lease and non-lease components that are fixed and also elected not to recognize right-of-use assets and lease liabilities for leases with terms of 12 months or less (“short-term leases”). The adoption of the ASC 842 as of January 1, 2022, resulted in the recognition of operating lease right-of-use assets and operating lease liabilities of $39.2 million and $42.2 million, respectively. The adoption did not have material impact on finance leases. The adoption did not have material impact on the condensed consolidated statements of operations and comprehensive loss. Refer to </w:t>
      </w:r>
      <w:r>
        <w:rPr>
          <w:rFonts w:ascii="Arial" w:cs="Arial" w:eastAsia="Arial" w:hAnsi="Arial"/>
          <w:sz w:val="17"/>
          <w:szCs w:val="17"/>
          <w:i w:val="1"/>
          <w:iCs w:val="1"/>
          <w:color w:val="auto"/>
        </w:rPr>
        <w:t>“Note 9 Leases”</w:t>
      </w:r>
      <w:r>
        <w:rPr>
          <w:rFonts w:ascii="Arial" w:cs="Arial" w:eastAsia="Arial" w:hAnsi="Arial"/>
          <w:sz w:val="17"/>
          <w:szCs w:val="17"/>
          <w:color w:val="auto"/>
        </w:rPr>
        <w:t xml:space="preserve"> for a discussion of the Company’s lease accounting following the adoption of ASC 842.</w:t>
      </w:r>
    </w:p>
    <w:p>
      <w:pPr>
        <w:spacing w:after="0" w:line="15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six months ended June 30,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9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The new credit losses standard changes the impairment model for most financial assets and certain other instruments. For trade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consolidated financial statements and related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Business Combination</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July 22, 2021, the Company consummated the Business Combination and received net cash proceeds of $510.0 million.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6" w:lineRule="exact"/>
        <w:rPr>
          <w:sz w:val="20"/>
          <w:szCs w:val="20"/>
          <w:color w:val="auto"/>
        </w:rPr>
      </w:pPr>
    </w:p>
    <w:p>
      <w:pPr>
        <w:jc w:val="both"/>
        <w:ind w:left="640" w:hanging="316"/>
        <w:spacing w:after="0" w:line="24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141"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1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$230,665,220 of cash and the Legacy Sema4 stockholders receiving an aggregate of 178,336,298 shares of common stock of the Company.</w:t>
      </w:r>
    </w:p>
    <w:p>
      <w:pPr>
        <w:spacing w:after="0" w:line="175"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“Business Combination PIPE Investment”). Concurrently with the closing of the Business Combination, the Company consummated the Business Combination PIPE Investment.</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giving effect to the Business Combination Merger, the redemption of public shares and the conversion of the CMLS Class B common stock as described above, and the consummation of the Business Combination PIPE Investment, there were 240,190,402 shares of the Company’s common stock issued and outstanding.</w:t>
      </w:r>
    </w:p>
    <w:p>
      <w:pPr>
        <w:spacing w:after="0" w:line="1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2021, the Company recorded $51.8 million of transaction costs which consisted of direct, incremental legal, professional, accounting, and other third-party fees that were directly related to the execution of the Business Combination Merger in additional paid-in capital. Upon consummation of the Business Combination Merger, $9.0 million of the transaction costs relates to costs incurred by Legacy Sema4 and reclassed to offset against equity from prepaid expense and other current assets.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Acquisition</w:t>
      </w:r>
    </w:p>
    <w:p>
      <w:pPr>
        <w:spacing w:after="0" w:line="17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discussed in Note 1, on April 29, 2022, the Company completed the Acquisition of GeneDx. At the closing of the Acquisition, the Company paid OPKO gross cash consideration of $150 million (before deduction of transaction expenses and other customary purchase price adjustments) and issued to OPKO 80 million shares of the Company’s Class A common stock ($172 million based on the closing date share price of $2.15 per share). A portion of this cash ($13.4 million) and share consideration (8.3 million shares) will be held in escrow for 12 months following the closing date of the Acquisition. In addition, up to $150 million is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the Company’s Class A common stock (valued at $4.86 per share, subject to adjustment for stock splits and similar changes), with such mix to be determined in the Company’s sole discretion. Concurrently with the closing of the Acquisition, the Company also issued and sold in private placement 50,000,000 shares of the Company’s Class A common stock to certain institutional investors for aggregate gross proceeds of $200 million (the “Acquisition PIPE Investment”).</w:t>
      </w:r>
    </w:p>
    <w:p>
      <w:pPr>
        <w:spacing w:after="0" w:line="1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following table summarizes the net book values of the assets acquired and liabilities assumed as of the Acquisition closing date. The initial accounting for the Acquisition is incomplete. All amounts below could change, potentially materially, as there is significant additional information that the Company has to obtain to finalize the valuations of the assets acquired and liabilities assumed, and to establish the value of the potential intangible assets, primarily because of the proximity of the Acquisition closing date to the balance sheet date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1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9760" w:type="dxa"/>
            <w:vAlign w:val="bottom"/>
          </w:tcPr>
          <w:p>
            <w:pPr>
              <w:ind w:left="4460"/>
              <w:spacing w:after="0"/>
              <w:rPr>
                <w:sz w:val="20"/>
                <w:szCs w:val="20"/>
                <w:color w:val="auto"/>
              </w:rPr>
            </w:pPr>
            <w:r>
              <w:rPr>
                <w:rFonts w:ascii="Arial" w:cs="Arial" w:eastAsia="Arial" w:hAnsi="Arial"/>
                <w:sz w:val="18"/>
                <w:szCs w:val="18"/>
                <w:b w:val="1"/>
                <w:bCs w:val="1"/>
                <w:color w:val="auto"/>
              </w:rPr>
              <w:t>Sema4 Holdings Corp.</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97"/>
        </w:trPr>
        <w:tc>
          <w:tcPr>
            <w:tcW w:w="9760" w:type="dxa"/>
            <w:vAlign w:val="bottom"/>
          </w:tcPr>
          <w:p>
            <w:pPr>
              <w:ind w:left="280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31"/>
        </w:trPr>
        <w:tc>
          <w:tcPr>
            <w:tcW w:w="9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5"/>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9"/>
                <w:szCs w:val="19"/>
                <w:color w:val="auto"/>
              </w:rPr>
            </w:pP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Accounts receivables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lease liabilities</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9"/>
        </w:trPr>
        <w:tc>
          <w:tcPr>
            <w:tcW w:w="9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net assets acquired</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r>
      <w:tr>
        <w:trPr>
          <w:trHeight w:val="244"/>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Aggregate purchase price</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right="100" w:firstLine="324"/>
        <w:spacing w:after="0" w:line="271" w:lineRule="auto"/>
        <w:tabs>
          <w:tab w:leader="none" w:pos="571" w:val="left"/>
        </w:tabs>
        <w:numPr>
          <w:ilvl w:val="0"/>
          <w:numId w:val="15"/>
        </w:numPr>
        <w:rPr>
          <w:rFonts w:ascii="Arial" w:cs="Arial" w:eastAsia="Arial" w:hAnsi="Arial"/>
          <w:sz w:val="17"/>
          <w:szCs w:val="17"/>
          <w:color w:val="auto"/>
        </w:rPr>
      </w:pPr>
      <w:r>
        <w:rPr>
          <w:rFonts w:ascii="Arial" w:cs="Arial" w:eastAsia="Arial" w:hAnsi="Arial"/>
          <w:sz w:val="17"/>
          <w:szCs w:val="17"/>
          <w:color w:val="auto"/>
        </w:rPr>
        <w:t>Goodwill represents the excess of the purchase price over the fair value of the net tangible and intangible assets acquired. The Acquisition of GeneDx resulted in the recognition of $181.2 million in goodwill as of June 30, 2022, which represents the excess of consideration transferred over the net assets recognized and represents future economic benefits arising from other assets acquired that could not be individually identified and separately recognized, such as assembled workforce. $0.2 million of the acquired goodwill is expected to be deductible for tax purposes.</w:t>
      </w:r>
    </w:p>
    <w:p>
      <w:pPr>
        <w:spacing w:after="0" w:line="137"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For six months ended June 30, 2022, $12.1 million of GeneDx acquisition-related costs are reflected within General and administrative expenses in the Company’s condensed consolidated statements of operations and comprehensive loss. These costs include third-party professional firms’ services related to due diligence, advisory and legal services. The Company’s results for the three and six months ended June 30, 2022 include $26.1 million of revenue and $9.0 million of pretax loss from GeneDx.</w:t>
      </w:r>
    </w:p>
    <w:p>
      <w:pPr>
        <w:spacing w:after="0" w:line="13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reflects the fair values and useful lives of the acquired intangible assets identified based on the Company’s preliminary purchase accounting assessments:</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29, 2022</w:t>
            </w:r>
          </w:p>
        </w:tc>
        <w:tc>
          <w:tcPr>
            <w:tcW w:w="240" w:type="dxa"/>
            <w:vAlign w:val="bottom"/>
          </w:tcPr>
          <w:p>
            <w:pPr>
              <w:spacing w:after="0"/>
              <w:rPr>
                <w:sz w:val="15"/>
                <w:szCs w:val="15"/>
                <w:color w:val="auto"/>
              </w:rPr>
            </w:pPr>
          </w:p>
        </w:tc>
        <w:tc>
          <w:tcPr>
            <w:tcW w:w="120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 2022</w:t>
            </w:r>
          </w:p>
        </w:tc>
        <w:tc>
          <w:tcPr>
            <w:tcW w:w="1760" w:type="dxa"/>
            <w:vAlign w:val="bottom"/>
          </w:tcPr>
          <w:p>
            <w:pPr>
              <w:ind w:left="600"/>
              <w:spacing w:after="0"/>
              <w:rPr>
                <w:sz w:val="20"/>
                <w:szCs w:val="20"/>
                <w:color w:val="auto"/>
              </w:rPr>
            </w:pPr>
            <w:r>
              <w:rPr>
                <w:rFonts w:ascii="Arial" w:cs="Arial" w:eastAsia="Arial" w:hAnsi="Arial"/>
                <w:sz w:val="14"/>
                <w:szCs w:val="14"/>
                <w:b w:val="1"/>
                <w:bCs w:val="1"/>
                <w:color w:val="auto"/>
              </w:rPr>
              <w:t>Life (in Years)</w:t>
            </w:r>
          </w:p>
        </w:tc>
      </w:tr>
      <w:tr>
        <w:trPr>
          <w:trHeight w:val="24"/>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49,479</w:t>
            </w:r>
          </w:p>
        </w:tc>
        <w:tc>
          <w:tcPr>
            <w:tcW w:w="1760" w:type="dxa"/>
            <w:vAlign w:val="bottom"/>
            <w:shd w:val="clear" w:color="auto" w:fill="CCEEFF"/>
          </w:tcPr>
          <w:p>
            <w:pPr>
              <w:jc w:val="center"/>
              <w:ind w:left="216"/>
              <w:spacing w:after="0"/>
              <w:rPr>
                <w:sz w:val="20"/>
                <w:szCs w:val="20"/>
                <w:color w:val="auto"/>
              </w:rPr>
            </w:pPr>
            <w:r>
              <w:rPr>
                <w:rFonts w:ascii="Arial" w:cs="Arial" w:eastAsia="Arial" w:hAnsi="Arial"/>
                <w:sz w:val="18"/>
                <w:szCs w:val="18"/>
                <w:color w:val="auto"/>
                <w:w w:val="89"/>
              </w:rPr>
              <w:t>16</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47,000</w:t>
            </w:r>
          </w:p>
        </w:tc>
        <w:tc>
          <w:tcPr>
            <w:tcW w:w="1760" w:type="dxa"/>
            <w:vAlign w:val="bottom"/>
          </w:tcPr>
          <w:p>
            <w:pPr>
              <w:jc w:val="center"/>
              <w:ind w:left="216"/>
              <w:spacing w:after="0"/>
              <w:rPr>
                <w:sz w:val="20"/>
                <w:szCs w:val="20"/>
                <w:color w:val="auto"/>
              </w:rPr>
            </w:pPr>
            <w:r>
              <w:rPr>
                <w:rFonts w:ascii="Arial" w:cs="Arial" w:eastAsia="Arial" w:hAnsi="Arial"/>
                <w:sz w:val="18"/>
                <w:szCs w:val="18"/>
                <w:color w:val="auto"/>
                <w:w w:val="99"/>
              </w:rPr>
              <w:t>8</w:t>
            </w: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97,184</w:t>
            </w:r>
          </w:p>
        </w:tc>
        <w:tc>
          <w:tcPr>
            <w:tcW w:w="1760" w:type="dxa"/>
            <w:vAlign w:val="bottom"/>
            <w:shd w:val="clear" w:color="auto" w:fill="CCEEFF"/>
          </w:tcPr>
          <w:p>
            <w:pPr>
              <w:jc w:val="center"/>
              <w:ind w:left="216"/>
              <w:spacing w:after="0"/>
              <w:rPr>
                <w:sz w:val="20"/>
                <w:szCs w:val="20"/>
                <w:color w:val="auto"/>
              </w:rPr>
            </w:pPr>
            <w:r>
              <w:rPr>
                <w:rFonts w:ascii="Arial" w:cs="Arial" w:eastAsia="Arial" w:hAnsi="Arial"/>
                <w:sz w:val="18"/>
                <w:szCs w:val="18"/>
                <w:color w:val="auto"/>
                <w:w w:val="89"/>
              </w:rPr>
              <w:t>20</w:t>
            </w:r>
          </w:p>
        </w:tc>
      </w:tr>
      <w:tr>
        <w:trPr>
          <w:trHeight w:val="219"/>
        </w:trPr>
        <w:tc>
          <w:tcPr>
            <w:tcW w:w="594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193,663</w:t>
            </w:r>
          </w:p>
        </w:tc>
        <w:tc>
          <w:tcPr>
            <w:tcW w:w="17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Amortization expense for trade names and trademarks and developed technology of $1.5 million was recorded in general and administrative for the three months ended June 30, 2022 within the condensed consolidated statements of operations and comprehensive loss. Amortization expense for customer relationships of $0.8 million was recorded in selling and marketing for the three months ended June 30, 2022 within the condensed consolidated statements of operations and comprehensive loss.</w:t>
      </w:r>
    </w:p>
    <w:p>
      <w:pPr>
        <w:spacing w:after="0" w:line="15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summarizes the Company’s estimated future amortization expense of intangible assets with finite lives as of June 30, 2022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320" w:top="3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8980" w:type="dxa"/>
            <w:vAlign w:val="bottom"/>
          </w:tcPr>
          <w:p>
            <w:pPr>
              <w:ind w:left="4700"/>
              <w:spacing w:after="0"/>
              <w:rPr>
                <w:sz w:val="20"/>
                <w:szCs w:val="20"/>
                <w:color w:val="auto"/>
              </w:rPr>
            </w:pPr>
            <w:r>
              <w:rPr>
                <w:rFonts w:ascii="Arial" w:cs="Arial" w:eastAsia="Arial" w:hAnsi="Arial"/>
                <w:sz w:val="18"/>
                <w:szCs w:val="18"/>
                <w:b w:val="1"/>
                <w:bCs w:val="1"/>
                <w:color w:val="auto"/>
              </w:rPr>
              <w:t>Sema4 Holdings Corp.</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98"/>
        </w:trPr>
        <w:tc>
          <w:tcPr>
            <w:tcW w:w="8980" w:type="dxa"/>
            <w:vAlign w:val="bottom"/>
          </w:tcPr>
          <w:p>
            <w:pPr>
              <w:ind w:left="304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31"/>
        </w:trPr>
        <w:tc>
          <w:tcPr>
            <w:tcW w:w="8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2025</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2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130,551</w:t>
            </w:r>
          </w:p>
        </w:tc>
      </w:tr>
      <w:tr>
        <w:trPr>
          <w:trHeight w:val="244"/>
        </w:trPr>
        <w:tc>
          <w:tcPr>
            <w:tcW w:w="8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estimated future amortization expense</w:t>
            </w: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193,663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64" w:lineRule="exact"/>
        <w:rPr>
          <w:sz w:val="20"/>
          <w:szCs w:val="20"/>
          <w:color w:val="auto"/>
        </w:rPr>
      </w:pPr>
    </w:p>
    <w:p>
      <w:pPr>
        <w:jc w:val="both"/>
        <w:ind w:right="80" w:firstLine="318"/>
        <w:spacing w:after="0" w:line="304" w:lineRule="auto"/>
        <w:rPr>
          <w:sz w:val="20"/>
          <w:szCs w:val="20"/>
          <w:color w:val="auto"/>
        </w:rPr>
      </w:pPr>
      <w:r>
        <w:rPr>
          <w:rFonts w:ascii="Arial" w:cs="Arial" w:eastAsia="Arial" w:hAnsi="Arial"/>
          <w:sz w:val="15"/>
          <w:szCs w:val="15"/>
          <w:color w:val="auto"/>
        </w:rPr>
        <w:t>The pro forma information below gives effect to the GeneDx Acquisition as if it had been completed on January 1, 2021 (“the pro forma acquisition date”). The pro forma information is not necessarily indicative of the Company’s revenue results had the Acquisition been completed on the pro forma acquisition date, nor is it necessarily indicative of the Company’s future results. The pro forma revenue information reflects GeneDx’s historic revenue and does not include any additional revenue opportunities following the Acquisition. The purchase price allocations for the assets acquired and liabilities assumed are based on preliminary valuations and are subject to change as the Company obtains additional information during the acquisition measurement period. 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 The pro forma revenues and net loss include the following adjustments based on the Company’s preliminary analysis and are subject to change as additional analysis is performed:</w:t>
      </w:r>
    </w:p>
    <w:p>
      <w:pPr>
        <w:spacing w:after="0" w:line="319"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revised amortization expense resulting from the acquired intangible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historical intercompany revenue recognized by GeneDx with OPKO or other related parties,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 benefits resulting from the deferred tax liabilities acquired,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revised stock based compensation reflecting the inducement awards issued to the GeneDx employees.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5"/>
                <w:szCs w:val="15"/>
                <w:color w:val="auto"/>
              </w:rPr>
            </w:pPr>
          </w:p>
        </w:tc>
        <w:tc>
          <w:tcPr>
            <w:tcW w:w="2700" w:type="dxa"/>
            <w:vAlign w:val="bottom"/>
            <w:gridSpan w:val="4"/>
          </w:tcPr>
          <w:p>
            <w:pPr>
              <w:jc w:val="right"/>
              <w:ind w:right="638"/>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48,293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163,665</w:t>
            </w:r>
          </w:p>
        </w:tc>
      </w:tr>
      <w:tr>
        <w:trPr>
          <w:trHeight w:val="106"/>
        </w:trPr>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(308,703)</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77" w:lineRule="exact"/>
        <w:rPr>
          <w:sz w:val="20"/>
          <w:szCs w:val="20"/>
          <w:color w:val="auto"/>
        </w:rPr>
      </w:pPr>
    </w:p>
    <w:p>
      <w:pPr>
        <w:jc w:val="both"/>
        <w:ind w:right="80" w:firstLine="318"/>
        <w:spacing w:after="0" w:line="318" w:lineRule="auto"/>
        <w:rPr>
          <w:sz w:val="20"/>
          <w:szCs w:val="20"/>
          <w:color w:val="auto"/>
        </w:rPr>
      </w:pPr>
      <w:r>
        <w:rPr>
          <w:rFonts w:ascii="Arial" w:cs="Arial" w:eastAsia="Arial" w:hAnsi="Arial"/>
          <w:sz w:val="15"/>
          <w:szCs w:val="15"/>
          <w:color w:val="auto"/>
        </w:rPr>
        <w:t>The Company’s diagnostic test revenue contracts typically consist of a single performance obligation to deliver diagnostic testing services to the ordering facility or patient and therefore allocation of the contract transaction price is generally not applicable. Revenue from diagnostic testing services is recorded at the estimated transaction price, subject to the constraint for variable consideration, upon transfer of control of the service. Control over diagnostic testing services is generally transferred at a point in time when the customer obtains control of the promised service which is upon delivery of the test.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91"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The Company enters into both short-term and long-term project-based collaboration and service agreements with third parties, whereby the Company provides diagnostic testing, research and related data aggregation reporting services.</w:t>
      </w:r>
    </w:p>
    <w:p>
      <w:pPr>
        <w:spacing w:after="0" w:line="141"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The consideration to which the Company is entitled pursuant to its collaboration and service agreements includes non-refundable upfront payments, fixed and variable payments based upon the achievement of certain milestones during the</w:t>
      </w:r>
    </w:p>
    <w:p>
      <w:pPr>
        <w:spacing w:after="0" w:line="3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320" w:top="313"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contract term. Non-refundable upfront payments are generally received in advance of performing the services and, therefore, are recorded as a contract liability upon receipt. Fixed and variable milestone payments are included in the transaction price only when it is probable that doing so will not result in a significant reversal of cumulative revenue recognized when the uncertainty associated with the milestone is subsequently resolved. Revenue for such collaboration and service agreements is recognized over time using an input measure based on costs incurred to satisfy the performance obligation.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disaggregated revenue by payor category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5"/>
          </w:tcPr>
          <w:p>
            <w:pPr>
              <w:jc w:val="right"/>
              <w:ind w:right="554"/>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900" w:type="dxa"/>
            <w:vAlign w:val="bottom"/>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21,398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40,210</w:t>
            </w: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36,169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51"/>
        </w:trPr>
        <w:tc>
          <w:tcPr>
            <w:tcW w:w="8180" w:type="dxa"/>
            <w:vAlign w:val="bottom"/>
          </w:tcPr>
          <w:p>
            <w:pPr>
              <w:spacing w:after="0"/>
              <w:rPr>
                <w:sz w:val="24"/>
                <w:szCs w:val="24"/>
                <w:color w:val="auto"/>
              </w:rPr>
            </w:pPr>
          </w:p>
        </w:tc>
        <w:tc>
          <w:tcPr>
            <w:tcW w:w="3060" w:type="dxa"/>
            <w:vAlign w:val="bottom"/>
            <w:gridSpan w:val="5"/>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900" w:type="dxa"/>
            <w:vAlign w:val="bottom"/>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68,860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86,409</w:t>
            </w: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86,499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90,110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41"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For the three months ended June 30, 2022, the quarterly change in estimate resulted in a net $30.1 million decrease to revenue for tests in which the performance obligation of delivering the test results was met in prior periods. $24.2 million of this decrease is related to the years December 31, 2021 and prior. The change in estimate is a result of changes in the estimated transaction price due to contractual adjustments, obtaining updated information from payors and patients that was unknown at the time the performance obligation was met and potential and actual settlements with third party payors. As described in more detail below, third-party payors may decide to deny payment or seek to recoup payments for tests performed by the Company for a number of reasons and, as a result, the Company may be required to refund payments already received, and the Company’s revenues may be subject to retroactive adjustment as a result. The Company processes requests for recoupment from third-party payors in the ordinary course of its business and reflects in the Company’s transaction price estimations. See “—Certain payor matters” below for further details regarding an ongoing matter related to certain overpayments the Company allegedly received from a third-party payor; the Company has established certain liabilities and reversed certain of its previously recorded revenue as a result of this matter and other potential settlements with payors.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payor matters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1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39"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As an integral part of the Company’s billing compliance program, the Company has and will periodically assess its billing and coding practices, respond to payor audits and overpayment claims, and investigate reported failures or suspected failures to comply with federal and state healthcare reimbursement</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requirements, which may arise without fault on the part of the Company.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30"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The Company is currently engaged in discussions with one of the Company’s third-party payors regarding certain overpayments the Company allegedly received from the payor for services that the payor alleges are not covered by, or were not otherwise properly billed to, the payor. This payor has asserted in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informal discussions that it will seek recovery or recoupment in relation to the alleged overpayments if the matter cannot be settled. While the Company believes it has defenses to the payor’s allegations, it is currently engaged in discussions seeking to resolve the matter and any claim that may arise in connection therewith in a mutually satisfactory manner.</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a result of this matter, and in connection with a review of certain billing policies and procedures undertaken by management following the acquisition</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of GeneDx, the Company considered the need to establish reserves for potential recoupments of payments previously made by third-party payors. As of June 30, 2022, the Company has established liabilities of $39.2 million as a result of this matter and other potential settlements with payors based on the current facts and an evaluation of anticipated results that the Company believes reasonable for all potential recoupments for all third-party payors combined. This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amount is included in Accounts payable and accrued expenses. See Note 15, “Supplemental Financial Information”.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certain long-term collaboration service agreements with original expected durations of more than one year, the Company’s obligations pursuant to such agreement represents partially unsatisfied performance obligations as of June 30, 2022. The revenues under the agreements are estimated to be approximately $9.0 million. The Company expects to recognize the majority of this revenue over the next 3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and service agreements for which revenue is recognized over time but the Company’s right to bill the customer is contingent upon the achievement of contractually-defined milestones.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1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Contract liabilities consist of customer payments in excess of revenues recognized. For collaboration and service agreements, the Company assesses the performance obligations and recognizes contract liabilities as current or non-current based upon forecasted performance.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7"/>
              <w:spacing w:after="0"/>
              <w:rPr>
                <w:sz w:val="20"/>
                <w:szCs w:val="20"/>
                <w:color w:val="auto"/>
              </w:rPr>
            </w:pPr>
            <w:r>
              <w:rPr>
                <w:rFonts w:ascii="Arial" w:cs="Arial" w:eastAsia="Arial" w:hAnsi="Arial"/>
                <w:sz w:val="14"/>
                <w:szCs w:val="14"/>
                <w:b w:val="1"/>
                <w:bCs w:val="1"/>
                <w:color w:val="auto"/>
              </w:rPr>
              <w:t>Contract</w:t>
            </w:r>
          </w:p>
        </w:tc>
      </w:tr>
      <w:tr>
        <w:trPr>
          <w:trHeight w:val="189"/>
        </w:trPr>
        <w:tc>
          <w:tcPr>
            <w:tcW w:w="8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Liabilities</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1,067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0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44"/>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 presents contract assets and contract liabilities with respect to customer contracts on a net basis on its condensed consolidated balance sheets. As of June 30, 2022, there were no current contract liabilities recorded and $0.5 million recorded as of December 31, 2021.</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Revenues recognized that were included in the contract liability balance at the beginning of each period were $0.2 million and $1.5 million for the three months ended June 30, 2022 and June 30, 2021, respectively and $0.7 million and $2.2 million for the six months ended June 30, 2022 and June 30, 2021,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on the condensed consolidated balance sheets as current or non-current based upon forecasted performance.</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2022 and December 31, 2021, the Company had outstanding deferred costs to fulfill contracts of $0.8 million and $1.8 million, respectively. As of June 30, 2022 and December 31, 2021, all outstanding deferred costs were recorded as other current assets.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Amortization of deferred costs was $0.7 million and $0.3 million for the three months ended June 30, 2022 and 2021, respectively and $1.0 million and $0.5 million for the six months ended June 30, 2022 and 2021, respectively. The amortization of these costs is recorded in the cost of services on the condensed consolidated statements of operations and comprehensive loss.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217" w:lineRule="exact"/>
        <w:rPr>
          <w:sz w:val="20"/>
          <w:szCs w:val="20"/>
          <w:color w:val="auto"/>
        </w:rPr>
      </w:pPr>
    </w:p>
    <w:p>
      <w:pPr>
        <w:ind w:left="400"/>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207" w:lineRule="exact"/>
        <w:rPr>
          <w:sz w:val="20"/>
          <w:szCs w:val="20"/>
          <w:color w:val="auto"/>
        </w:rPr>
      </w:pPr>
    </w:p>
    <w:p>
      <w:pPr>
        <w:ind w:left="40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1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significant to the measurement of fair value but are supported by little to no market data.</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financial assets and liabilities consist of cash and cash equivalents, restricted cash, accounts receivable, accounts payable, accrued liabilities, finance leases, warrant liability, earn-out contingent liability and long-term debt. The Company’s cash and cash equivalents, restricted cash, accounts receivable, accounts payable and accrued liabilities approximate their fair value due to the relatively short-term nature of these accounts.</w:t>
      </w:r>
    </w:p>
    <w:p>
      <w:pPr>
        <w:spacing w:after="0" w:line="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finance leases are classified within Level 1 of the fair value hierarchy because such finance lease agreements bear interest at rates for instruments with similar characteristics; accordingly, the carrying value of these liabilities approximate their fair values.</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loan from the Connecticut Department of Economic and Community Development is classified within Level 2 of the fair value hierarchy. As of June 30, 2022, the long-term debt was recorded at its carrying value of $11.0 million in the condensed consolidated balance sheet. The fair value was $8.9 million, which is estimated based on discounted cash flows using the yields of similar debt instruments of other companies with similar credit profiles.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As of June 30, 2022</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based on milestone achievement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19"/>
        </w:trPr>
        <w:tc>
          <w:tcPr>
            <w:tcW w:w="550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35,168</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9"/>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As of December 31, 2021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4"/>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Of the $284.6 million cash and cash equivalents presented on the condensed consolidated balance sheets as of June 30, 2022, $54.4 million was in money market funds and was classified within Level 1 of the fair value hierarchy as the fair value was based on quoted prices in active markets.</w:t>
      </w:r>
    </w:p>
    <w:p>
      <w:pPr>
        <w:spacing w:after="0" w:line="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1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right="100"/>
        <w:spacing w:after="0" w:line="312" w:lineRule="auto"/>
        <w:rPr>
          <w:sz w:val="20"/>
          <w:szCs w:val="20"/>
          <w:color w:val="auto"/>
        </w:rPr>
      </w:pPr>
      <w:r>
        <w:rPr>
          <w:rFonts w:ascii="Arial" w:cs="Arial" w:eastAsia="Arial" w:hAnsi="Arial"/>
          <w:sz w:val="15"/>
          <w:szCs w:val="15"/>
          <w:color w:val="auto"/>
        </w:rPr>
        <w:t>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condensed consolidated statements of operations and comprehensive loss at each reporting date. As of June 30, 2022,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1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earn-out contingent liabilities include the Company’s contingent obligation to issue earn-out shares for Legacy Sema4 stockholders (“Earn-out Shares”) as well as the Company’s contingent obligation to make additional Milestone Payments of up to $150 million to OPKO if certain revenue-based milestones are achieved for each of the fiscal years ended December 31, 2022 and December 31, 2023.</w:t>
      </w:r>
    </w:p>
    <w:p>
      <w:pPr>
        <w:spacing w:after="0" w:line="148"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The Earn-out Shares are accounted for as a liability and required remeasurement at each reporting date. The estimated fair value of the total Earn-out Shares as of June 30, 2022 is determined based on a Monte Carlo simulation valuation model. The fair value of the earn-out contingent liability is sensitive to expected volatility estimated based on selected guideline public companies’ stock prices, the Company’s implied volatility and Company’s Class A common stock price which is sensitive to changes in the forecasts of earnings and/or the relevant operating metrics. The key assumptions utilized in determining the Earn-out Shares valuation as of June 30, 2022 and March 31, 2022 were as follows: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500" w:type="dxa"/>
            <w:vAlign w:val="bottom"/>
          </w:tcPr>
          <w:p>
            <w:pPr>
              <w:spacing w:after="0"/>
              <w:rPr>
                <w:sz w:val="15"/>
                <w:szCs w:val="15"/>
                <w:color w:val="auto"/>
              </w:rPr>
            </w:pPr>
          </w:p>
        </w:tc>
        <w:tc>
          <w:tcPr>
            <w:tcW w:w="2560" w:type="dxa"/>
            <w:vAlign w:val="bottom"/>
            <w:gridSpan w:val="2"/>
          </w:tcPr>
          <w:p>
            <w:pPr>
              <w:ind w:left="820"/>
              <w:spacing w:after="0"/>
              <w:rPr>
                <w:sz w:val="20"/>
                <w:szCs w:val="20"/>
                <w:color w:val="auto"/>
              </w:rPr>
            </w:pPr>
            <w:r>
              <w:rPr>
                <w:rFonts w:ascii="Arial" w:cs="Arial" w:eastAsia="Arial" w:hAnsi="Arial"/>
                <w:sz w:val="14"/>
                <w:szCs w:val="14"/>
                <w:b w:val="1"/>
                <w:bCs w:val="1"/>
                <w:color w:val="auto"/>
              </w:rPr>
              <w:t>June 30, 2022</w:t>
            </w:r>
          </w:p>
        </w:tc>
        <w:tc>
          <w:tcPr>
            <w:tcW w:w="1960" w:type="dxa"/>
            <w:vAlign w:val="bottom"/>
          </w:tcPr>
          <w:p>
            <w:pPr>
              <w:ind w:left="620"/>
              <w:spacing w:after="0"/>
              <w:rPr>
                <w:sz w:val="20"/>
                <w:szCs w:val="20"/>
                <w:color w:val="auto"/>
              </w:rPr>
            </w:pPr>
            <w:r>
              <w:rPr>
                <w:rFonts w:ascii="Arial" w:cs="Arial" w:eastAsia="Arial" w:hAnsi="Arial"/>
                <w:sz w:val="14"/>
                <w:szCs w:val="14"/>
                <w:b w:val="1"/>
                <w:bCs w:val="1"/>
                <w:color w:val="auto"/>
              </w:rPr>
              <w:t>March 31, 2022</w:t>
            </w:r>
          </w:p>
        </w:tc>
      </w:tr>
      <w:tr>
        <w:trPr>
          <w:trHeight w:val="24"/>
        </w:trPr>
        <w:tc>
          <w:tcPr>
            <w:tcW w:w="65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8"/>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8"/>
              </w:rPr>
              <w:t>$3.07</w:t>
            </w: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87.5%</w:t>
            </w:r>
          </w:p>
        </w:tc>
        <w:tc>
          <w:tcPr>
            <w:tcW w:w="100" w:type="dxa"/>
            <w:vAlign w:val="bottom"/>
          </w:tcPr>
          <w:p>
            <w:pPr>
              <w:spacing w:after="0"/>
              <w:rPr>
                <w:sz w:val="19"/>
                <w:szCs w:val="19"/>
                <w:color w:val="auto"/>
              </w:rPr>
            </w:pPr>
          </w:p>
        </w:tc>
        <w:tc>
          <w:tcPr>
            <w:tcW w:w="1960" w:type="dxa"/>
            <w:vAlign w:val="bottom"/>
          </w:tcPr>
          <w:p>
            <w:pPr>
              <w:jc w:val="center"/>
              <w:ind w:left="135"/>
              <w:spacing w:after="0"/>
              <w:rPr>
                <w:sz w:val="20"/>
                <w:szCs w:val="20"/>
                <w:color w:val="auto"/>
              </w:rPr>
            </w:pPr>
            <w:r>
              <w:rPr>
                <w:rFonts w:ascii="Arial" w:cs="Arial" w:eastAsia="Arial" w:hAnsi="Arial"/>
                <w:sz w:val="18"/>
                <w:szCs w:val="18"/>
                <w:color w:val="auto"/>
                <w:w w:val="90"/>
              </w:rPr>
              <w:t>72.5%</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87"/>
              </w:rPr>
              <w:t>1.3</w:t>
            </w:r>
          </w:p>
        </w:tc>
      </w:tr>
      <w:tr>
        <w:trPr>
          <w:trHeight w:val="224"/>
        </w:trPr>
        <w:tc>
          <w:tcPr>
            <w:tcW w:w="6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2.81%</w:t>
            </w:r>
          </w:p>
        </w:tc>
        <w:tc>
          <w:tcPr>
            <w:tcW w:w="100" w:type="dxa"/>
            <w:vAlign w:val="bottom"/>
          </w:tcPr>
          <w:p>
            <w:pPr>
              <w:spacing w:after="0"/>
              <w:rPr>
                <w:sz w:val="19"/>
                <w:szCs w:val="19"/>
                <w:color w:val="auto"/>
              </w:rPr>
            </w:pPr>
          </w:p>
        </w:tc>
        <w:tc>
          <w:tcPr>
            <w:tcW w:w="1960" w:type="dxa"/>
            <w:vAlign w:val="bottom"/>
          </w:tcPr>
          <w:p>
            <w:pPr>
              <w:jc w:val="center"/>
              <w:ind w:left="135"/>
              <w:spacing w:after="0"/>
              <w:rPr>
                <w:sz w:val="20"/>
                <w:szCs w:val="20"/>
                <w:color w:val="auto"/>
              </w:rPr>
            </w:pPr>
            <w:r>
              <w:rPr>
                <w:rFonts w:ascii="Arial" w:cs="Arial" w:eastAsia="Arial" w:hAnsi="Arial"/>
                <w:sz w:val="18"/>
                <w:szCs w:val="18"/>
                <w:color w:val="auto"/>
                <w:w w:val="90"/>
              </w:rPr>
              <w:t>1.83%</w:t>
            </w:r>
          </w:p>
        </w:tc>
      </w:tr>
    </w:tbl>
    <w:p>
      <w:pPr>
        <w:spacing w:after="0" w:line="25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The fair value determined and recorded as of March 31, 2022 and December 31, 2021 was $3.4 million and $10.2 million, respectively. During the three and six months ended June 30, 2022 a gain of $3.3 million and $10.1 million was recorded, respectively, in the change in fair market value of warrant and earn-out contingent liability in the condensed consolidated statements of operations and comprehensive loss based on re-measurement performed as of the period end date.</w:t>
      </w:r>
    </w:p>
    <w:p>
      <w:pPr>
        <w:spacing w:after="0" w:line="16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The Milestone Payments contingent liability represents additional acquisition consideration to pay up to $150 million based on the achievement of GeneDx revenue-based milestones in fiscal years 2022 and 2023. Subject to the terms and conditions of the Acquisition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provided that 80% of the Milestone Payment for the first milestone period or the second milestone period, as applicable, will become payable in respect of such period if the GeneDx group achieves 90% of the applicable Milestone Event revenue target for such period, which amount will scale on a linear basis up to 100% of the applicable Milestone Payment at 100% of the applicable revenue target. Each Milestone Payment will be satisfied through the payment and/or issuance of a combination of cash and shares of the Company’s Class A common stock (valued at $4.86 per share), with such mix to be determined at the Company’s sole discretion.</w:t>
      </w:r>
    </w:p>
    <w:p>
      <w:pPr>
        <w:spacing w:after="0" w:line="145"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The Company recorded the fair value of the Milestone Payments for $35 million as of June 30, 2022, of which $28 million is presented as current liabilities in the condensed consolidated balance sheets. A gain of $17 million was recorded in the change in fair market value of warrant and earn-out contingent liabilities in the condensed consolidated statements of operations and comprehensive loss based on re-measurement performed as of the period end date. The fair value was determined based on a Monte Carlo simulation valuation model and the key assumptions include revenue projections, revenue volatility of 17.5%, and share price of $1.26 per share.</w:t>
      </w:r>
    </w:p>
    <w:p>
      <w:pPr>
        <w:spacing w:after="0" w:line="15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earn-out contingent liabilities are categorized as Level 3 of the fair value hierarchy as the Company utilizes unobservable inputs in estimating the fair value. There were no transfers between Level 1, Level 2 and Level 3 during the periods presented.</w:t>
      </w: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320" w:top="3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As of</w:t>
            </w:r>
          </w:p>
        </w:tc>
      </w:tr>
      <w:tr>
        <w:trPr>
          <w:trHeight w:val="146"/>
        </w:trPr>
        <w:tc>
          <w:tcPr>
            <w:tcW w:w="8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260" w:type="dxa"/>
            <w:vAlign w:val="bottom"/>
          </w:tcPr>
          <w:p>
            <w:pPr>
              <w:jc w:val="center"/>
              <w:ind w:right="135"/>
              <w:spacing w:after="0" w:line="146" w:lineRule="exact"/>
              <w:rPr>
                <w:sz w:val="20"/>
                <w:szCs w:val="20"/>
                <w:color w:val="auto"/>
              </w:rPr>
            </w:pPr>
            <w:r>
              <w:rPr>
                <w:rFonts w:ascii="Arial" w:cs="Arial" w:eastAsia="Arial" w:hAnsi="Arial"/>
                <w:sz w:val="14"/>
                <w:szCs w:val="14"/>
                <w:b w:val="1"/>
                <w:bCs w:val="1"/>
                <w:color w:val="auto"/>
                <w:w w:val="92"/>
              </w:rPr>
              <w:t>December 31,</w:t>
            </w:r>
          </w:p>
        </w:tc>
      </w:tr>
      <w:tr>
        <w:trPr>
          <w:trHeight w:val="189"/>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Equipment under finance leases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21,384</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25,693</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finance lease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(51,906)</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three months ended June 30, 2022 and 2021, depreciation and amortization expense was $6.6 million and $5.6 million. For the six months ended June 30, 2022 and 2021, depreciation and amortization expense was $12.4 million and $10.5 million, respectively. This included software amortization expense of $1.7 million and $1.4 million for the three months ended June 30, 2022 and 2021, respectively and $3.3 million and $2.6 million for the six months ended June 30, 2022 and 2021, respectively. Depreciation and amortization expense is included within the condensed consolidated statements of operations and comprehensive loss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678"/>
        </w:trPr>
        <w:tc>
          <w:tcPr>
            <w:tcW w:w="8180" w:type="dxa"/>
            <w:vAlign w:val="bottom"/>
          </w:tcPr>
          <w:p>
            <w:pPr>
              <w:spacing w:after="0"/>
              <w:rPr>
                <w:sz w:val="24"/>
                <w:szCs w:val="24"/>
                <w:color w:val="auto"/>
              </w:rPr>
            </w:pPr>
          </w:p>
        </w:tc>
        <w:tc>
          <w:tcPr>
            <w:tcW w:w="248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24"/>
                <w:szCs w:val="24"/>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12,430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 three months ended June 30, 2022 and 2021, the Company incurred certain related party costs. There were no expenses recognized under the Transition Services Agreement with ISMMS (the “ISMMS TSA”) for the three months ended June 30, 2022 and 2021. There were no expenses recognized under the ISMMS TSA for the six months ended June 30, 2022 and $1.4 million for the six months ended June 30, 2021 which is presented within related party expenses in the condensed consolidated statements of operations and comprehensive loss. The Company had no ISMMS TSA payables due to ISMMS as of June 30, 2022 and December 31, 2021. The ISMMS TSA expired on March 28, 2021.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1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Expenses recognized pursuant to other service arrangements with ISMMS, including certain sub-lease arrangements the Company has through ISMMS, totaled $2.3 million and $1.9 million for the three months ended June 30, 2022 and 2021, respectively and $4.2 million and $2.6 million for the six months ended June 30, 2022 and 2021, respectively. These amounts include certain lease expenses the Company incurs and pay to ISMMS for certain sub-lease arrangements. They are included in either cost of services or related party expenses on the condensed consolidated statements of operations and comprehensive loss depending on the particular activity to which the costs relate. Payables due to ISMMS for the other service arrangements were $1.9 million $2.6 million as of June 30, 2022 and December 31, 2021, respectively. These amounts include unpaid lease payments the Company accrued for the payments to be made to ISMMS and are included within due to related parties on the Company’s condensed consolidated balance sheets.</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Additionally, in the six months ended June 30, 2022, the Company has purchased $1.0 million of diagnostic testing kits and materials and $0.9 million was recorded in cost of services from an affiliate of a member of the Board of Directors who has served in the role since July 2021. The prices paid represent market rates. Payables due were $0.1 million and $0.1 million as of June 30, 2022 and December 31, 2021, respectively.</w:t>
      </w:r>
    </w:p>
    <w:p>
      <w:pPr>
        <w:spacing w:after="0" w:line="1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GeneDx and OPKO entered into a Transition Services Agreement dated as of April 29, 2022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including human resources, information technology support, and finance and accounting. The Company recognized $0.3 million in costs for the three months ended June 30, 2022. This amount was unpaid and presented in due to related parties in condensed consolidated balance sheets as of June 30, 2022.</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also recorded $4.5 million of receivables from OPKO related to the Acquisition closing working capital adjustment. This amount is presented as other current assets in condensed consolidated balance sheets as of June 30, 2022.</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consolidated statements of operations and comprehensive loss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520" w:type="dxa"/>
            <w:vAlign w:val="bottom"/>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1,731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3,079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67"/>
        </w:trPr>
        <w:tc>
          <w:tcPr>
            <w:tcW w:w="8180" w:type="dxa"/>
            <w:vAlign w:val="bottom"/>
          </w:tcPr>
          <w:p>
            <w:pPr>
              <w:spacing w:after="0"/>
              <w:rPr>
                <w:sz w:val="23"/>
                <w:szCs w:val="23"/>
                <w:color w:val="auto"/>
              </w:rPr>
            </w:pPr>
          </w:p>
        </w:tc>
        <w:tc>
          <w:tcPr>
            <w:tcW w:w="25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3,015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5,419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The Company will pay an additional $0.5 million in fees to SVB at each anniversary of the SVB Agreement date for a total of $1.0 million and these fees are recorded in other current liabilities and other liabilities in the condensed consolidated balance sheets as of June 30, 2022. These costs are capitalized and amortized on a straight-line basis over the contractual term. Any unused fees charged on the Revolver is expensed as incurred.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obligations under the SVB Agreement are secured by a first priority perfected security interest in substantially all of the Borrower’s assets except for</w:t>
      </w:r>
    </w:p>
    <w:p>
      <w:pPr>
        <w:spacing w:after="0" w:line="51" w:lineRule="exact"/>
        <w:rPr>
          <w:sz w:val="20"/>
          <w:szCs w:val="20"/>
          <w:color w:val="auto"/>
        </w:rPr>
      </w:pPr>
    </w:p>
    <w:p>
      <w:pPr>
        <w:jc w:val="both"/>
        <w:ind w:firstLine="6"/>
        <w:spacing w:after="0" w:line="248" w:lineRule="auto"/>
        <w:tabs>
          <w:tab w:leader="none" w:pos="2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5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6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June 30, 2022.</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amounts have been drawn under the SVB Agreement as of June 30,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9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June 2017, ISMMS assigned a loan funding commitment from the Connecticut Department of Economic and Community Development (“DECD”) to the Company (as amended, the “DECD Loan Agreement”). The DECD Loan Agreement,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$4.5 million has been forgiven as of June 30, 2022. This commitment is collateralized by providing a security interest in certain machinery and equipment the Company acquired from ISMMS, as defined in a separate security agreement.</w:t>
      </w:r>
    </w:p>
    <w:p>
      <w:pPr>
        <w:spacing w:after="0" w:line="117" w:lineRule="exact"/>
        <w:rPr>
          <w:sz w:val="20"/>
          <w:szCs w:val="20"/>
          <w:color w:val="auto"/>
        </w:rPr>
      </w:pPr>
    </w:p>
    <w:p>
      <w:pPr>
        <w:ind w:right="1940" w:firstLine="318"/>
        <w:spacing w:after="0" w:line="453" w:lineRule="auto"/>
        <w:rPr>
          <w:sz w:val="20"/>
          <w:szCs w:val="20"/>
          <w:color w:val="auto"/>
        </w:rPr>
      </w:pPr>
      <w:r>
        <w:rPr>
          <w:rFonts w:ascii="Arial" w:cs="Arial" w:eastAsia="Arial" w:hAnsi="Arial"/>
          <w:sz w:val="18"/>
          <w:szCs w:val="18"/>
          <w:color w:val="auto"/>
        </w:rPr>
        <w:t xml:space="preserve">The outstanding loan balance from the DECD Loan Agreement was $11.0 million as of June 30, 2022 and December 31, 2021. </w:t>
      </w:r>
      <w:r>
        <w:rPr>
          <w:rFonts w:ascii="Arial" w:cs="Arial" w:eastAsia="Arial" w:hAnsi="Arial"/>
          <w:sz w:val="18"/>
          <w:szCs w:val="18"/>
          <w:b w:val="1"/>
          <w:bCs w:val="1"/>
          <w:i w:val="1"/>
          <w:iCs w:val="1"/>
          <w:color w:val="auto"/>
        </w:rPr>
        <w:t>Maturities of Long-Term Debt</w:t>
      </w:r>
    </w:p>
    <w:p>
      <w:pPr>
        <w:ind w:left="320"/>
        <w:spacing w:after="0"/>
        <w:rPr>
          <w:sz w:val="20"/>
          <w:szCs w:val="20"/>
          <w:color w:val="auto"/>
        </w:rPr>
      </w:pPr>
      <w:r>
        <w:rPr>
          <w:rFonts w:ascii="Arial" w:cs="Arial" w:eastAsia="Arial" w:hAnsi="Arial"/>
          <w:sz w:val="18"/>
          <w:szCs w:val="18"/>
          <w:color w:val="auto"/>
        </w:rPr>
        <w:t>As of June 30, 2022, long-term debt matures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1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year)</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the Company terminated the Master Loan Agreement by paying off the full amount, including $5.4 million principal and interest and $0.1 million in early payment penalties assessed pursuant to the terms of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3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the Company terminated the Master Lease Agreement by paying off the full amount, including $3.3 million principal and interest and early payment penalties of $0.2 million assessed pursuant to the terms of the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Pursuant to the terms of the lease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1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right="80"/>
        <w:spacing w:after="0" w:line="294" w:lineRule="auto"/>
        <w:rPr>
          <w:sz w:val="20"/>
          <w:szCs w:val="20"/>
          <w:color w:val="auto"/>
        </w:rPr>
      </w:pPr>
      <w:r>
        <w:rPr>
          <w:rFonts w:ascii="Arial" w:cs="Arial" w:eastAsia="Arial" w:hAnsi="Arial"/>
          <w:sz w:val="17"/>
          <w:szCs w:val="17"/>
          <w:color w:val="auto"/>
        </w:rPr>
        <w:t>the Company was required to have issued an irrevocable standby letter of credit to the lessor for $0.9 million, which was included in restricted cash on the condensed consolidated balance sheets as of June 30, 2022 and consolidated balance sheets as of December 31, 2021.</w:t>
      </w:r>
    </w:p>
    <w:p>
      <w:pPr>
        <w:spacing w:after="0" w:line="117"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spacing w:after="0" w:line="141"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spacing w:after="0" w:line="154"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In April 2022, the Company acquired an operating lease for office space and laboratory operations in connection with the GeneDx acquisition. The lease includes a base term of 9 years remaining from the date of acquisition and an escalating rent provision.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77"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color w:val="auto"/>
        </w:rPr>
        <w:t>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As of December 31, 2021, the finance lease obligations of $3.4 million and $18.4 million were included in other current liabilities and other liabilities, respectively, on the consolidated balance sheets.</w:t>
      </w:r>
    </w:p>
    <w:p>
      <w:pPr>
        <w:spacing w:after="0" w:line="154"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The tables below present financial information associated with the Company’s leases. This information is only presented as of, and for the three and six months ended, June 30, 2022 because, the Company adopted the ASC 842 using a transition method that does not require application to periods prior to adoption (in thousands).</w:t>
      </w:r>
    </w:p>
    <w:p>
      <w:pPr>
        <w:sectPr>
          <w:pgSz w:w="11900" w:h="16838" w:orient="portrait"/>
          <w:cols w:equalWidth="0" w:num="1">
            <w:col w:w="11320"/>
          </w:cols>
          <w:pgMar w:left="320" w:top="313" w:right="259" w:bottom="1440" w:gutter="0" w:footer="0" w:header="0"/>
        </w:sectPr>
      </w:pP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080" w:type="dxa"/>
            <w:vAlign w:val="bottom"/>
          </w:tcPr>
          <w:p>
            <w:pPr>
              <w:ind w:left="16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7"/>
              </w:rPr>
              <w:t>Assets</w:t>
            </w:r>
          </w:p>
        </w:tc>
        <w:tc>
          <w:tcPr>
            <w:tcW w:w="2800" w:type="dxa"/>
            <w:vAlign w:val="bottom"/>
            <w:gridSpan w:val="2"/>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Operating lease assets</w:t>
            </w:r>
          </w:p>
        </w:tc>
        <w:tc>
          <w:tcPr>
            <w:tcW w:w="4080" w:type="dxa"/>
            <w:vAlign w:val="bottom"/>
          </w:tcPr>
          <w:p>
            <w:pPr>
              <w:ind w:left="1660"/>
              <w:spacing w:after="0"/>
              <w:rPr>
                <w:sz w:val="20"/>
                <w:szCs w:val="20"/>
                <w:color w:val="auto"/>
              </w:rPr>
            </w:pPr>
            <w:r>
              <w:rPr>
                <w:rFonts w:ascii="Arial" w:cs="Arial" w:eastAsia="Arial" w:hAnsi="Arial"/>
                <w:sz w:val="18"/>
                <w:szCs w:val="18"/>
                <w:color w:val="auto"/>
                <w:w w:val="85"/>
              </w:rPr>
              <w:t>Operating lease right-of-use assets</w:t>
            </w: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Finance lease assets</w:t>
            </w:r>
          </w:p>
        </w:tc>
        <w:tc>
          <w:tcPr>
            <w:tcW w:w="4080" w:type="dxa"/>
            <w:vAlign w:val="bottom"/>
          </w:tcPr>
          <w:p>
            <w:pPr>
              <w:ind w:left="1660"/>
              <w:spacing w:after="0"/>
              <w:rPr>
                <w:sz w:val="20"/>
                <w:szCs w:val="20"/>
                <w:color w:val="auto"/>
              </w:rPr>
            </w:pPr>
            <w:r>
              <w:rPr>
                <w:rFonts w:ascii="Arial" w:cs="Arial" w:eastAsia="Arial" w:hAnsi="Arial"/>
                <w:sz w:val="18"/>
                <w:szCs w:val="18"/>
                <w:color w:val="auto"/>
              </w:rPr>
              <w:t>Property and Equipment, net</w:t>
            </w:r>
          </w:p>
        </w:tc>
        <w:tc>
          <w:tcPr>
            <w:tcW w:w="0" w:type="dxa"/>
            <w:vAlign w:val="bottom"/>
          </w:tcPr>
          <w:p>
            <w:pPr>
              <w:spacing w:after="0"/>
              <w:rPr>
                <w:sz w:val="1"/>
                <w:szCs w:val="1"/>
                <w:color w:val="auto"/>
              </w:rPr>
            </w:pPr>
          </w:p>
        </w:tc>
      </w:tr>
      <w:tr>
        <w:trPr>
          <w:trHeight w:val="238"/>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Total lease assets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Liabilities</w:t>
            </w:r>
          </w:p>
        </w:tc>
        <w:tc>
          <w:tcPr>
            <w:tcW w:w="25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Current</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Operating</w:t>
            </w:r>
          </w:p>
        </w:tc>
        <w:tc>
          <w:tcPr>
            <w:tcW w:w="4080" w:type="dxa"/>
            <w:vAlign w:val="bottom"/>
          </w:tcPr>
          <w:p>
            <w:pPr>
              <w:ind w:left="1660"/>
              <w:spacing w:after="0"/>
              <w:rPr>
                <w:sz w:val="20"/>
                <w:szCs w:val="20"/>
                <w:color w:val="auto"/>
              </w:rPr>
            </w:pPr>
            <w:r>
              <w:rPr>
                <w:rFonts w:ascii="Arial" w:cs="Arial" w:eastAsia="Arial" w:hAnsi="Arial"/>
                <w:sz w:val="18"/>
                <w:szCs w:val="18"/>
                <w:color w:val="auto"/>
              </w:rPr>
              <w:t>Due to related parties</w:t>
            </w: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80" w:type="dxa"/>
            <w:vAlign w:val="bottom"/>
          </w:tcPr>
          <w:p>
            <w:pPr>
              <w:ind w:left="1660"/>
              <w:spacing w:after="0"/>
              <w:rPr>
                <w:sz w:val="20"/>
                <w:szCs w:val="20"/>
                <w:color w:val="auto"/>
              </w:rPr>
            </w:pPr>
            <w:r>
              <w:rPr>
                <w:rFonts w:ascii="Arial" w:cs="Arial" w:eastAsia="Arial" w:hAnsi="Arial"/>
                <w:sz w:val="18"/>
                <w:szCs w:val="18"/>
                <w:color w:val="auto"/>
              </w:rPr>
              <w:t>Short-term lease liabilities</w:t>
            </w: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4080" w:type="dxa"/>
            <w:vAlign w:val="bottom"/>
          </w:tcPr>
          <w:p>
            <w:pPr>
              <w:ind w:left="1660"/>
              <w:spacing w:after="0"/>
              <w:rPr>
                <w:sz w:val="20"/>
                <w:szCs w:val="20"/>
                <w:color w:val="auto"/>
              </w:rPr>
            </w:pPr>
            <w:r>
              <w:rPr>
                <w:rFonts w:ascii="Arial" w:cs="Arial" w:eastAsia="Arial" w:hAnsi="Arial"/>
                <w:sz w:val="18"/>
                <w:szCs w:val="18"/>
                <w:color w:val="auto"/>
              </w:rPr>
              <w:t>Due to related parties</w:t>
            </w:r>
          </w:p>
        </w:tc>
        <w:tc>
          <w:tcPr>
            <w:tcW w:w="0" w:type="dxa"/>
            <w:vAlign w:val="bottom"/>
          </w:tcPr>
          <w:p>
            <w:pPr>
              <w:spacing w:after="0"/>
              <w:rPr>
                <w:sz w:val="1"/>
                <w:szCs w:val="1"/>
                <w:color w:val="auto"/>
              </w:rPr>
            </w:pPr>
          </w:p>
        </w:tc>
      </w:tr>
      <w:tr>
        <w:trPr>
          <w:trHeight w:val="225"/>
        </w:trPr>
        <w:tc>
          <w:tcPr>
            <w:tcW w:w="3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Non-current</w:t>
            </w:r>
          </w:p>
        </w:tc>
        <w:tc>
          <w:tcPr>
            <w:tcW w:w="4080" w:type="dxa"/>
            <w:vAlign w:val="bottom"/>
          </w:tcPr>
          <w:p>
            <w:pPr>
              <w:ind w:left="1660"/>
              <w:spacing w:after="0"/>
              <w:rPr>
                <w:sz w:val="20"/>
                <w:szCs w:val="20"/>
                <w:color w:val="auto"/>
              </w:rPr>
            </w:pPr>
            <w:r>
              <w:rPr>
                <w:rFonts w:ascii="Arial" w:cs="Arial" w:eastAsia="Arial" w:hAnsi="Arial"/>
                <w:sz w:val="18"/>
                <w:szCs w:val="18"/>
                <w:color w:val="auto"/>
              </w:rPr>
              <w:t>Short-term lease liabilities</w:t>
            </w:r>
          </w:p>
        </w:tc>
        <w:tc>
          <w:tcPr>
            <w:tcW w:w="0" w:type="dxa"/>
            <w:vAlign w:val="bottom"/>
          </w:tcPr>
          <w:p>
            <w:pPr>
              <w:spacing w:after="0"/>
              <w:rPr>
                <w:sz w:val="1"/>
                <w:szCs w:val="1"/>
                <w:color w:val="auto"/>
              </w:rPr>
            </w:pPr>
          </w:p>
        </w:tc>
      </w:tr>
      <w:tr>
        <w:trPr>
          <w:trHeight w:val="225"/>
        </w:trPr>
        <w:tc>
          <w:tcPr>
            <w:tcW w:w="3280" w:type="dxa"/>
            <w:vAlign w:val="bottom"/>
            <w:gridSpan w:val="3"/>
            <w:vMerge w:val="continue"/>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Operating</w:t>
            </w:r>
          </w:p>
        </w:tc>
        <w:tc>
          <w:tcPr>
            <w:tcW w:w="4080" w:type="dxa"/>
            <w:vAlign w:val="bottom"/>
          </w:tcPr>
          <w:p>
            <w:pPr>
              <w:ind w:left="1660"/>
              <w:spacing w:after="0"/>
              <w:rPr>
                <w:sz w:val="20"/>
                <w:szCs w:val="20"/>
                <w:color w:val="auto"/>
              </w:rPr>
            </w:pPr>
            <w:r>
              <w:rPr>
                <w:rFonts w:ascii="Arial" w:cs="Arial" w:eastAsia="Arial" w:hAnsi="Arial"/>
                <w:sz w:val="18"/>
                <w:szCs w:val="18"/>
                <w:color w:val="auto"/>
              </w:rPr>
              <w:t>Long-term lease liabilities</w:t>
            </w: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4080" w:type="dxa"/>
            <w:vAlign w:val="bottom"/>
          </w:tcPr>
          <w:p>
            <w:pPr>
              <w:ind w:left="1660"/>
              <w:spacing w:after="0"/>
              <w:rPr>
                <w:sz w:val="20"/>
                <w:szCs w:val="20"/>
                <w:color w:val="auto"/>
              </w:rPr>
            </w:pPr>
            <w:r>
              <w:rPr>
                <w:rFonts w:ascii="Arial" w:cs="Arial" w:eastAsia="Arial" w:hAnsi="Arial"/>
                <w:sz w:val="18"/>
                <w:szCs w:val="18"/>
                <w:color w:val="auto"/>
              </w:rPr>
              <w:t>Long-term lease liabilities</w:t>
            </w:r>
          </w:p>
        </w:tc>
        <w:tc>
          <w:tcPr>
            <w:tcW w:w="0" w:type="dxa"/>
            <w:vAlign w:val="bottom"/>
          </w:tcPr>
          <w:p>
            <w:pPr>
              <w:spacing w:after="0"/>
              <w:rPr>
                <w:sz w:val="1"/>
                <w:szCs w:val="1"/>
                <w:color w:val="auto"/>
              </w:rPr>
            </w:pPr>
          </w:p>
        </w:tc>
      </w:tr>
      <w:tr>
        <w:trPr>
          <w:trHeight w:val="239"/>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-1899920</wp:posOffset>
            </wp:positionV>
            <wp:extent cx="699516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-1294765</wp:posOffset>
            </wp:positionV>
            <wp:extent cx="699516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-1008380</wp:posOffset>
            </wp:positionV>
            <wp:extent cx="69951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-722630</wp:posOffset>
            </wp:positionV>
            <wp:extent cx="6995160" cy="142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-436245</wp:posOffset>
            </wp:positionV>
            <wp:extent cx="699516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-150495</wp:posOffset>
            </wp:positionV>
            <wp:extent cx="6995160" cy="15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5113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-1605915</wp:posOffset>
            </wp:positionV>
            <wp:extent cx="6995160"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682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-2186305</wp:posOffset>
            </wp:positionV>
            <wp:extent cx="6995160"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06"/>
        <w:spacing w:after="0"/>
        <w:rPr>
          <w:sz w:val="20"/>
          <w:szCs w:val="20"/>
          <w:color w:val="auto"/>
        </w:rPr>
      </w:pPr>
      <w:r>
        <w:rPr>
          <w:rFonts w:ascii="Arial" w:cs="Arial" w:eastAsia="Arial" w:hAnsi="Arial"/>
          <w:sz w:val="14"/>
          <w:szCs w:val="14"/>
          <w:b w:val="1"/>
          <w:bCs w:val="1"/>
          <w:color w:val="auto"/>
        </w:rPr>
        <w:t>June 30, 2022</w:t>
      </w:r>
    </w:p>
    <w:p>
      <w:pPr>
        <w:spacing w:after="0" w:line="273" w:lineRule="exact"/>
        <w:rPr>
          <w:sz w:val="20"/>
          <w:szCs w:val="20"/>
          <w:color w:val="auto"/>
        </w:rPr>
      </w:pPr>
    </w:p>
    <w:p>
      <w:pPr>
        <w:ind w:left="906" w:hanging="906"/>
        <w:spacing w:after="0"/>
        <w:tabs>
          <w:tab w:leader="none" w:pos="906" w:val="left"/>
        </w:tabs>
        <w:numPr>
          <w:ilvl w:val="0"/>
          <w:numId w:val="18"/>
        </w:numPr>
        <w:rPr>
          <w:rFonts w:ascii="Arial" w:cs="Arial" w:eastAsia="Arial" w:hAnsi="Arial"/>
          <w:sz w:val="15"/>
          <w:szCs w:val="15"/>
          <w:color w:val="auto"/>
        </w:rPr>
      </w:pPr>
      <w:r>
        <w:rPr>
          <w:rFonts w:ascii="Arial" w:cs="Arial" w:eastAsia="Arial" w:hAnsi="Arial"/>
          <w:sz w:val="15"/>
          <w:szCs w:val="15"/>
          <w:color w:val="auto"/>
        </w:rPr>
        <w:t>44,0</w:t>
      </w:r>
    </w:p>
    <w:p>
      <w:pPr>
        <w:spacing w:after="0" w:line="52" w:lineRule="exact"/>
        <w:rPr>
          <w:rFonts w:ascii="Arial" w:cs="Arial" w:eastAsia="Arial" w:hAnsi="Arial"/>
          <w:sz w:val="15"/>
          <w:szCs w:val="15"/>
          <w:color w:val="auto"/>
        </w:rPr>
      </w:pPr>
    </w:p>
    <w:p>
      <w:pPr>
        <w:ind w:left="906"/>
        <w:spacing w:after="0"/>
        <w:rPr>
          <w:rFonts w:ascii="Arial" w:cs="Arial" w:eastAsia="Arial" w:hAnsi="Arial"/>
          <w:sz w:val="15"/>
          <w:szCs w:val="15"/>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802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46" w:lineRule="exact"/>
        <w:rPr>
          <w:sz w:val="20"/>
          <w:szCs w:val="20"/>
          <w:color w:val="auto"/>
        </w:rPr>
      </w:pPr>
    </w:p>
    <w:p>
      <w:pPr>
        <w:ind w:left="906" w:hanging="906"/>
        <w:spacing w:after="0"/>
        <w:tabs>
          <w:tab w:leader="none" w:pos="906" w:val="left"/>
        </w:tabs>
        <w:numPr>
          <w:ilvl w:val="0"/>
          <w:numId w:val="19"/>
        </w:numPr>
        <w:rPr>
          <w:rFonts w:ascii="Arial" w:cs="Arial" w:eastAsia="Arial" w:hAnsi="Arial"/>
          <w:sz w:val="15"/>
          <w:szCs w:val="15"/>
          <w:color w:val="auto"/>
        </w:rPr>
      </w:pPr>
      <w:r>
        <w:rPr>
          <w:rFonts w:ascii="Arial" w:cs="Arial" w:eastAsia="Arial" w:hAnsi="Arial"/>
          <w:sz w:val="15"/>
          <w:szCs w:val="15"/>
          <w:color w:val="auto"/>
        </w:rPr>
        <w:t>56,1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26" w:hanging="1126"/>
        <w:spacing w:after="0"/>
        <w:tabs>
          <w:tab w:leader="none" w:pos="1126" w:val="left"/>
        </w:tabs>
        <w:numPr>
          <w:ilvl w:val="0"/>
          <w:numId w:val="20"/>
        </w:numPr>
        <w:rPr>
          <w:rFonts w:ascii="Arial" w:cs="Arial" w:eastAsia="Arial" w:hAnsi="Arial"/>
          <w:sz w:val="17"/>
          <w:szCs w:val="17"/>
          <w:color w:val="auto"/>
        </w:rPr>
      </w:pPr>
      <w:r>
        <w:rPr>
          <w:rFonts w:ascii="Arial" w:cs="Arial" w:eastAsia="Arial" w:hAnsi="Arial"/>
          <w:sz w:val="17"/>
          <w:szCs w:val="17"/>
          <w:color w:val="auto"/>
        </w:rPr>
        <w:t>5</w:t>
      </w:r>
    </w:p>
    <w:p>
      <w:pPr>
        <w:spacing w:after="0" w:line="29"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5"/>
          <w:szCs w:val="15"/>
          <w:color w:val="auto"/>
        </w:rPr>
        <w:t>1,8</w:t>
      </w:r>
    </w:p>
    <w:p>
      <w:pPr>
        <w:spacing w:after="0" w:line="52" w:lineRule="exact"/>
        <w:rPr>
          <w:rFonts w:ascii="Arial" w:cs="Arial" w:eastAsia="Arial" w:hAnsi="Arial"/>
          <w:sz w:val="17"/>
          <w:szCs w:val="17"/>
          <w:color w:val="auto"/>
        </w:rPr>
      </w:pPr>
    </w:p>
    <w:p>
      <w:pPr>
        <w:ind w:left="1126"/>
        <w:spacing w:after="0"/>
        <w:rPr>
          <w:rFonts w:ascii="Arial" w:cs="Arial" w:eastAsia="Arial" w:hAnsi="Arial"/>
          <w:sz w:val="17"/>
          <w:szCs w:val="17"/>
          <w:color w:val="auto"/>
        </w:rPr>
      </w:pPr>
      <w:r>
        <w:rPr>
          <w:rFonts w:ascii="Arial" w:cs="Arial" w:eastAsia="Arial" w:hAnsi="Arial"/>
          <w:sz w:val="17"/>
          <w:szCs w:val="17"/>
          <w:color w:val="auto"/>
        </w:rPr>
        <w:t>3</w:t>
      </w:r>
    </w:p>
    <w:p>
      <w:pPr>
        <w:spacing w:after="0" w:line="29"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5"/>
          <w:szCs w:val="15"/>
          <w:color w:val="auto"/>
        </w:rPr>
        <w:t>2,9</w:t>
      </w:r>
    </w:p>
    <w:p>
      <w:pPr>
        <w:spacing w:after="0" w:line="278" w:lineRule="exact"/>
        <w:rPr>
          <w:sz w:val="20"/>
          <w:szCs w:val="20"/>
          <w:color w:val="auto"/>
        </w:rPr>
      </w:pPr>
    </w:p>
    <w:p>
      <w:pPr>
        <w:ind w:left="906"/>
        <w:spacing w:after="0"/>
        <w:rPr>
          <w:sz w:val="20"/>
          <w:szCs w:val="20"/>
          <w:color w:val="auto"/>
        </w:rPr>
      </w:pPr>
      <w:r>
        <w:rPr>
          <w:rFonts w:ascii="Arial" w:cs="Arial" w:eastAsia="Arial" w:hAnsi="Arial"/>
          <w:sz w:val="15"/>
          <w:szCs w:val="15"/>
          <w:color w:val="auto"/>
        </w:rPr>
        <w:t>45,4</w:t>
      </w:r>
    </w:p>
    <w:p>
      <w:pPr>
        <w:spacing w:after="0" w:line="53" w:lineRule="exact"/>
        <w:rPr>
          <w:sz w:val="20"/>
          <w:szCs w:val="20"/>
          <w:color w:val="auto"/>
        </w:rPr>
      </w:pPr>
    </w:p>
    <w:p>
      <w:pPr>
        <w:ind w:left="906"/>
        <w:spacing w:after="0"/>
        <w:rPr>
          <w:sz w:val="20"/>
          <w:szCs w:val="20"/>
          <w:color w:val="auto"/>
        </w:rPr>
      </w:pPr>
      <w:r>
        <w:rPr>
          <w:rFonts w:ascii="Arial" w:cs="Arial" w:eastAsia="Arial" w:hAnsi="Arial"/>
          <w:sz w:val="15"/>
          <w:szCs w:val="15"/>
          <w:color w:val="auto"/>
        </w:rPr>
        <w:t>17,3</w:t>
      </w:r>
    </w:p>
    <w:p>
      <w:pPr>
        <w:spacing w:after="0" w:line="66" w:lineRule="exact"/>
        <w:rPr>
          <w:sz w:val="20"/>
          <w:szCs w:val="20"/>
          <w:color w:val="auto"/>
        </w:rPr>
      </w:pPr>
    </w:p>
    <w:p>
      <w:pPr>
        <w:ind w:left="906" w:hanging="906"/>
        <w:spacing w:after="0"/>
        <w:tabs>
          <w:tab w:leader="none" w:pos="906" w:val="left"/>
        </w:tabs>
        <w:numPr>
          <w:ilvl w:val="0"/>
          <w:numId w:val="21"/>
        </w:numPr>
        <w:rPr>
          <w:rFonts w:ascii="Arial" w:cs="Arial" w:eastAsia="Arial" w:hAnsi="Arial"/>
          <w:sz w:val="15"/>
          <w:szCs w:val="15"/>
          <w:color w:val="auto"/>
        </w:rPr>
      </w:pPr>
      <w:r>
        <w:rPr>
          <w:rFonts w:ascii="Arial" w:cs="Arial" w:eastAsia="Arial" w:hAnsi="Arial"/>
          <w:sz w:val="15"/>
          <w:szCs w:val="15"/>
          <w:color w:val="auto"/>
        </w:rPr>
        <w:t>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802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9374" w:space="720"/>
            <w:col w:w="1226"/>
          </w:cols>
          <w:pgMar w:left="320" w:top="31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1320"/>
          </w:cols>
          <w:pgMar w:left="320" w:top="313" w:right="2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4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Lease cost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Six months ended Ju</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June 30, 2022</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30, 2022</w:t>
            </w: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65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Short-term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4"/>
          </w:tcPr>
          <w:p>
            <w:pPr>
              <w:ind w:left="8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operating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Finance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Depreciation and amortization of leased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Interest on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65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finance lease cost</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Total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69"/>
        </w:trPr>
        <w:tc>
          <w:tcPr>
            <w:tcW w:w="8180" w:type="dxa"/>
            <w:vAlign w:val="bottom"/>
            <w:gridSpan w:val="8"/>
          </w:tcPr>
          <w:p>
            <w:pPr>
              <w:spacing w:after="0"/>
              <w:rPr>
                <w:sz w:val="20"/>
                <w:szCs w:val="20"/>
                <w:color w:val="auto"/>
              </w:rPr>
            </w:pPr>
            <w:r>
              <w:rPr>
                <w:rFonts w:ascii="Arial" w:cs="Arial" w:eastAsia="Arial" w:hAnsi="Arial"/>
                <w:sz w:val="18"/>
                <w:szCs w:val="18"/>
                <w:color w:val="auto"/>
              </w:rPr>
              <w:t>Future minimum lease payments under non-cancellable leases as of June 30, 2022 are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580" w:type="dxa"/>
            <w:vAlign w:val="bottom"/>
            <w:gridSpan w:val="4"/>
          </w:tcPr>
          <w:p>
            <w:pPr>
              <w:spacing w:after="0"/>
              <w:rPr>
                <w:sz w:val="20"/>
                <w:szCs w:val="20"/>
                <w:color w:val="auto"/>
              </w:rPr>
            </w:pPr>
            <w:r>
              <w:rPr>
                <w:rFonts w:ascii="Arial" w:cs="Arial" w:eastAsia="Arial" w:hAnsi="Arial"/>
                <w:sz w:val="14"/>
                <w:szCs w:val="14"/>
                <w:b w:val="1"/>
                <w:bCs w:val="1"/>
                <w:color w:val="auto"/>
              </w:rPr>
              <w:t>Maturity of lease liabilities</w:t>
            </w:r>
          </w:p>
        </w:tc>
        <w:tc>
          <w:tcPr>
            <w:tcW w:w="20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Finance leases</w:t>
            </w:r>
          </w:p>
        </w:tc>
        <w:tc>
          <w:tcPr>
            <w:tcW w:w="220" w:type="dxa"/>
            <w:vAlign w:val="bottom"/>
          </w:tcPr>
          <w:p>
            <w:pPr>
              <w:spacing w:after="0"/>
              <w:rPr>
                <w:sz w:val="24"/>
                <w:szCs w:val="24"/>
                <w:color w:val="auto"/>
              </w:rPr>
            </w:pPr>
          </w:p>
        </w:tc>
        <w:tc>
          <w:tcPr>
            <w:tcW w:w="104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2022 (remainder of the year)</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470"/>
        </w:trPr>
        <w:tc>
          <w:tcPr>
            <w:tcW w:w="6800" w:type="dxa"/>
            <w:vAlign w:val="bottom"/>
            <w:gridSpan w:val="6"/>
          </w:tcPr>
          <w:p>
            <w:pPr>
              <w:spacing w:after="0"/>
              <w:rPr>
                <w:sz w:val="20"/>
                <w:szCs w:val="20"/>
                <w:color w:val="auto"/>
              </w:rPr>
            </w:pPr>
            <w:r>
              <w:rPr>
                <w:rFonts w:ascii="Arial" w:cs="Arial" w:eastAsia="Arial" w:hAnsi="Arial"/>
                <w:sz w:val="18"/>
                <w:szCs w:val="18"/>
                <w:color w:val="auto"/>
                <w:w w:val="88"/>
              </w:rPr>
              <w:t>Other information related to leases as of and for six months ended June 30, 2022 are as follows: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4"/>
              <w:spacing w:after="0"/>
              <w:rPr>
                <w:sz w:val="20"/>
                <w:szCs w:val="20"/>
                <w:color w:val="auto"/>
              </w:rPr>
            </w:pPr>
            <w:r>
              <w:rPr>
                <w:rFonts w:ascii="Arial" w:cs="Arial" w:eastAsia="Arial" w:hAnsi="Arial"/>
                <w:sz w:val="14"/>
                <w:szCs w:val="14"/>
                <w:b w:val="1"/>
                <w:bCs w:val="1"/>
                <w:color w:val="auto"/>
                <w:w w:val="98"/>
              </w:rPr>
              <w:t>June 30, 2022</w:t>
            </w:r>
          </w:p>
        </w:tc>
        <w:tc>
          <w:tcPr>
            <w:tcW w:w="0" w:type="dxa"/>
            <w:vAlign w:val="bottom"/>
          </w:tcPr>
          <w:p>
            <w:pPr>
              <w:spacing w:after="0"/>
              <w:rPr>
                <w:sz w:val="1"/>
                <w:szCs w:val="1"/>
                <w:color w:val="auto"/>
              </w:rPr>
            </w:pPr>
          </w:p>
        </w:tc>
      </w:tr>
      <w:tr>
        <w:trPr>
          <w:trHeight w:val="24"/>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auto"/>
            </w:tcBorders>
            <w:gridSpan w:val="2"/>
            <w:shd w:val="clear" w:color="auto" w:fill="CCEEFF"/>
          </w:tcPr>
          <w:p>
            <w:pPr>
              <w:spacing w:after="0" w:line="165" w:lineRule="exact"/>
              <w:rPr>
                <w:sz w:val="20"/>
                <w:szCs w:val="20"/>
                <w:color w:val="auto"/>
              </w:rPr>
            </w:pPr>
            <w:r>
              <w:rPr>
                <w:rFonts w:ascii="Arial" w:cs="Arial" w:eastAsia="Arial" w:hAnsi="Arial"/>
                <w:sz w:val="18"/>
                <w:szCs w:val="18"/>
                <w:b w:val="1"/>
                <w:bCs w:val="1"/>
                <w:color w:val="auto"/>
                <w:w w:val="87"/>
              </w:rPr>
              <w:t>Weighted-average remaining lease term (years)</w:t>
            </w:r>
          </w:p>
        </w:tc>
        <w:tc>
          <w:tcPr>
            <w:tcW w:w="302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12.7</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7"/>
              </w:rPr>
              <w:t>Weighted-average discount rate</w:t>
            </w:r>
          </w:p>
        </w:tc>
        <w:tc>
          <w:tcPr>
            <w:tcW w:w="4180" w:type="dxa"/>
            <w:vAlign w:val="bottom"/>
            <w:tcBorders>
              <w:bottom w:val="single" w:sz="8" w:color="CCEEFF"/>
            </w:tcBorders>
            <w:gridSpan w:val="3"/>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6.8%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7"/>
              </w:rPr>
              <w:t>Cash paid for amounts included in the measurement of lease liabilities</w:t>
            </w:r>
          </w:p>
        </w:tc>
        <w:tc>
          <w:tcPr>
            <w:tcW w:w="1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$2,644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Financing cash flows from finance lease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$1,634</w:t>
            </w:r>
          </w:p>
        </w:tc>
        <w:tc>
          <w:tcPr>
            <w:tcW w:w="0" w:type="dxa"/>
            <w:vAlign w:val="bottom"/>
          </w:tcPr>
          <w:p>
            <w:pPr>
              <w:spacing w:after="0"/>
              <w:rPr>
                <w:sz w:val="1"/>
                <w:szCs w:val="1"/>
                <w:color w:val="auto"/>
              </w:rPr>
            </w:pPr>
          </w:p>
        </w:tc>
      </w:tr>
      <w:tr>
        <w:trPr>
          <w:trHeight w:val="888"/>
        </w:trPr>
        <w:tc>
          <w:tcPr>
            <w:tcW w:w="6600" w:type="dxa"/>
            <w:vAlign w:val="bottom"/>
            <w:gridSpan w:val="5"/>
          </w:tcPr>
          <w:p>
            <w:pPr>
              <w:jc w:val="right"/>
              <w:ind w:right="1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3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normal course of business, the Company enters into various purchase commitments primarily related to material and service agreements, laboratory supplies and software. At June 30, 2022, the Company’s total future payments under noncancellable unconditional purchase commitments having a remaining term of over one year were $28.4 million.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was not a party to any material legal proceedings as of June 30, 2022, nor is it a party to any material legal proceedings as of the date of issuance of these unaudited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July 22, 2021, in connection with the Business Combination, the 2021 Plan became effective and 32,734,983 authorized shares of Class A common stock were reserved for issuance thereunder. The 2021 Plan will be administered by the Compensation Committee of the Company’s Board of Directors, including determination of the vesting, exercisability and payment of the awards to be granted under the 2021 Plan. No awards granted under the 2021 Plan are exercisable after</w:t>
      </w:r>
    </w:p>
    <w:p>
      <w:pPr>
        <w:spacing w:after="0"/>
        <w:rPr>
          <w:sz w:val="20"/>
          <w:szCs w:val="20"/>
          <w:color w:val="auto"/>
        </w:rPr>
      </w:pPr>
      <w:r>
        <w:rPr>
          <w:rFonts w:ascii="Arial" w:cs="Arial" w:eastAsia="Arial" w:hAnsi="Arial"/>
          <w:sz w:val="17"/>
          <w:szCs w:val="17"/>
          <w:color w:val="auto"/>
        </w:rPr>
        <w:t>10 years from the date of grant, and the awards granted under the 2021 Plan generally vest over a four-year period on a graded vesting basis.</w:t>
      </w:r>
    </w:p>
    <w:p>
      <w:pPr>
        <w:spacing w:after="0" w:line="17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Additionally, on May 2, 2022, the compensation committee of the Company’s board of directors granted newly-hired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CEO, Chief Commercial Officer, and SVP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CEO, Chief Commercial Officer, and SVP Operations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2021 Plan and a stock option agreement or restricted stock unit agreement, as applicable, covering the grant.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1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June 30, 2022. A total of 7,229,799 shares of Class A common stock have been reserved for future issuance under the 2021 ESPP.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19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Stock Options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189"/>
        </w:trPr>
        <w:tc>
          <w:tcPr>
            <w:tcW w:w="86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Exercise Price</w:t>
            </w:r>
          </w:p>
        </w:tc>
      </w:tr>
      <w:tr>
        <w:trPr>
          <w:trHeight w:val="224"/>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5"/>
        </w:trPr>
        <w:tc>
          <w:tcPr>
            <w:tcW w:w="86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10,362,635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25"/>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forfeited or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(1,495,899)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33,447,103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4"/>
        </w:trPr>
        <w:tc>
          <w:tcPr>
            <w:tcW w:w="8680" w:type="dxa"/>
            <w:vAlign w:val="bottom"/>
          </w:tcPr>
          <w:p>
            <w:pPr>
              <w:ind w:left="180"/>
              <w:spacing w:after="0"/>
              <w:rPr>
                <w:sz w:val="20"/>
                <w:szCs w:val="20"/>
                <w:color w:val="auto"/>
              </w:rPr>
            </w:pPr>
            <w:r>
              <w:rPr>
                <w:rFonts w:ascii="Arial" w:cs="Arial" w:eastAsia="Arial" w:hAnsi="Arial"/>
                <w:sz w:val="18"/>
                <w:szCs w:val="18"/>
                <w:color w:val="auto"/>
              </w:rPr>
              <w:t>Options exercisable at June 30, 2022</w:t>
            </w:r>
          </w:p>
        </w:tc>
        <w:tc>
          <w:tcPr>
            <w:tcW w:w="1240" w:type="dxa"/>
            <w:vAlign w:val="bottom"/>
          </w:tcPr>
          <w:p>
            <w:pPr>
              <w:jc w:val="right"/>
              <w:spacing w:after="0"/>
              <w:rPr>
                <w:sz w:val="20"/>
                <w:szCs w:val="20"/>
                <w:color w:val="auto"/>
              </w:rPr>
            </w:pPr>
            <w:r>
              <w:rPr>
                <w:rFonts w:ascii="Arial" w:cs="Arial" w:eastAsia="Arial" w:hAnsi="Arial"/>
                <w:sz w:val="18"/>
                <w:szCs w:val="18"/>
                <w:color w:val="auto"/>
              </w:rPr>
              <w:t>18,327,732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0.74</w:t>
            </w:r>
          </w:p>
        </w:tc>
      </w:tr>
    </w:tbl>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2022, unrecognized stock-based compensation cost related to the unvested portion of the Company’s stock options was $28.2 million, which is expected to be recognized on a graded-vesting basis over a weighted-average period of 1.74 years.</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fair value of the stock option awards for the period ended June 30, 2022 and June 30, 2021 were estimated using the Black-Scholes option pricing model with the following assumptions: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1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5"/>
                <w:szCs w:val="15"/>
                <w:color w:val="auto"/>
              </w:rPr>
            </w:pPr>
          </w:p>
        </w:tc>
        <w:tc>
          <w:tcPr>
            <w:tcW w:w="4600" w:type="dxa"/>
            <w:vAlign w:val="bottom"/>
            <w:gridSpan w:val="3"/>
          </w:tcPr>
          <w:p>
            <w:pPr>
              <w:ind w:left="1480"/>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66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185"/>
        </w:trPr>
        <w:tc>
          <w:tcPr>
            <w:tcW w:w="66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65.20% - 75.00%</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46.60%- 71.60%</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5.48-6.07</w:t>
            </w:r>
          </w:p>
        </w:tc>
        <w:tc>
          <w:tcPr>
            <w:tcW w:w="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0.17- 1.50</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1.65%-3.03%</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0.05%- 0.25%</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$2.20-$3.45</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 $12.06</w:t>
            </w:r>
          </w:p>
        </w:tc>
      </w:tr>
    </w:tbl>
    <w:p>
      <w:pPr>
        <w:spacing w:after="0" w:line="25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estimated a volatility factor for the Company’s options based on analysis of historical share prices of a peer group of public companies. The Company did not rely on the volatility of the Company’s Class A common stock because its limited trading history.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 vest over a four year vesting period from the grant date, however, certain grants include vesting term that begins vesting 12 months from the grant date. The following table summarizes the activity related to the Company's time-based RSUs:</w:t>
      </w:r>
    </w:p>
    <w:p>
      <w:pPr>
        <w:spacing w:after="0" w:line="10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Restricted Stock Units</w:t>
            </w:r>
          </w:p>
        </w:tc>
        <w:tc>
          <w:tcPr>
            <w:tcW w:w="140" w:type="dxa"/>
            <w:vAlign w:val="bottom"/>
          </w:tcPr>
          <w:p>
            <w:pPr>
              <w:spacing w:after="0"/>
              <w:rPr>
                <w:sz w:val="14"/>
                <w:szCs w:val="14"/>
                <w:color w:val="auto"/>
              </w:rPr>
            </w:pPr>
          </w:p>
        </w:tc>
        <w:tc>
          <w:tcPr>
            <w:tcW w:w="170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Weighted Average Grant</w:t>
            </w:r>
          </w:p>
        </w:tc>
      </w:tr>
      <w:tr>
        <w:trPr>
          <w:trHeight w:val="189"/>
        </w:trPr>
        <w:tc>
          <w:tcPr>
            <w:tcW w:w="664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7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Date Fair Value Per Unit</w:t>
            </w:r>
          </w:p>
        </w:tc>
      </w:tr>
      <w:tr>
        <w:trPr>
          <w:trHeight w:val="224"/>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25"/>
        </w:trPr>
        <w:tc>
          <w:tcPr>
            <w:tcW w:w="664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14,455,696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5"/>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Stock Units 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(2,723,870)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23,397,365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Company issued 126,980 RSUs subject to both service and performance based vesting conditions to the Executive Chairman of the Company. The grant date was established during the second quarter period and vesting of the RSUs will be based on the achievement of performance goals established for calendar year 2022.</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2022, unrecognized stock-based compensation cost related to the unvested portion of the Company’s RSUs was $70.6 million, which is expected to be recognized on a graded-vesting basis over a weighted-average period of 1.80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grant date fair value determined for Triggering Event I, II and III was $1.82, $1.39 and $0.94 per unit, respectively. Any re-allocated RSUs due to the Sema4 Legacy option holders’ forfeiture activities during the three months ended June 30, 2022 were accounted for as new grants and the fair value determined for Triggering Event I, II and III was $0.01, $0.01 and $0.01 per unit, respectively. Based on the grant date fair value, the Company expects to record total expense related to the earn-out RSU awards of $2.1 million without considering the impact of the Sema4 Legacy option holders’ forfeiture activities. The Company expects to recognize the stock-compensation cost over the longer of the derived service period or service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1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and to cancel the outstanding unvested SARs was agreed upon and an expense of $3.8 million related to the vested SAR was recognized by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SARs as of June 30, 2022.</w:t>
      </w:r>
    </w:p>
    <w:p>
      <w:pPr>
        <w:spacing w:after="0" w:line="16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three and six months ended June 30, 2022, the Company recorded a reversal of stock-based compensation of $4.5 million and $9.7 million, respectively due to forfeiture activities upon employee terminations. Stock-based compensation expense for all awards granted and outstanding is included within the condensed consolidated statements of operations and comprehensive loss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5"/>
          </w:tcPr>
          <w:p>
            <w:pPr>
              <w:jc w:val="right"/>
              <w:ind w:right="555"/>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12,911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22,721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78"/>
        </w:trPr>
        <w:tc>
          <w:tcPr>
            <w:tcW w:w="8180" w:type="dxa"/>
            <w:vAlign w:val="bottom"/>
          </w:tcPr>
          <w:p>
            <w:pPr>
              <w:spacing w:after="0"/>
              <w:rPr>
                <w:sz w:val="24"/>
                <w:szCs w:val="24"/>
                <w:color w:val="auto"/>
              </w:rPr>
            </w:pPr>
          </w:p>
        </w:tc>
        <w:tc>
          <w:tcPr>
            <w:tcW w:w="3060" w:type="dxa"/>
            <w:vAlign w:val="bottom"/>
            <w:gridSpan w:val="5"/>
          </w:tcPr>
          <w:p>
            <w:pPr>
              <w:jc w:val="right"/>
              <w:ind w:right="635"/>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37,817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21,923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88,704</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40,280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Income tax benefit for the six months ended June 30, 2021 and 2022 was zero and $49.1 million, respectively. Income taxes for these periods are recorded at the Company’s estimated annual effective income tax rate, subject to adjustments for discrete events should they occur. The Company’s estimated annual effective tax rate was —% and 0.27% for the three and six months ended June 30, 2022, respectively.</w:t>
      </w:r>
    </w:p>
    <w:p>
      <w:pPr>
        <w:spacing w:after="0" w:line="13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difference between the Company’s effective tax rates in 2022 and 2021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primary related to its net operating loss carryforwards and tax credit carryforwards.</w:t>
      </w:r>
    </w:p>
    <w:p>
      <w:pPr>
        <w:spacing w:after="0" w:line="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Company’s acquisition of GeneDx, the Company recorded a deferred tax liability of $51.8 million in purchase accounting. This deferred tax liability serves as a source of future taxable income to support a release of valuation allowance of $48.6 million, which resulted in a deferred tax benefit recorded discretely in the three months ended June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Basic and diluted loss per share attributable to common stockholders was calculated as follows (amounts in thousands, except for share and per share amounts):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1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(85,742)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(46,161)</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Denominator for basic and diluted earnings per share-weighted-average common shares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337,752,029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1,100,734</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r>
      <w:tr>
        <w:trPr>
          <w:trHeight w:val="466"/>
        </w:trPr>
        <w:tc>
          <w:tcPr>
            <w:tcW w:w="8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(162,638)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(237,936)</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Denominator for basic and diluted earnings per share-weighted-average common shares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291,318,351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826,778</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w:t>
            </w: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a result of the Business Combination Merger, the Company has retroactively adjusted the weighted-average number of shares of common stock outstanding prior to the Business Combination Merger by multiplying them by the conversion ratio of 123.8339 used to determine the number of shares of common stock into which they converted. The common stock issued as a result of the redeemable convertible preferred stock conversion upon closing of the Business Combination Merger was included in the basic and diluted earnings/(loss) per share calculation on a prospective basis.</w:t>
      </w:r>
    </w:p>
    <w:p>
      <w:pPr>
        <w:spacing w:after="0" w:line="13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Prior to the consummation of the Business Combination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Business Combination Merger, all outstanding Legacy Sema4 Class B common stock has been retroactively converted to the Sema4 Holdings Class A common stock.</w:t>
      </w:r>
    </w:p>
    <w:p>
      <w:pPr>
        <w:spacing w:after="0" w:line="11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and RSUs to purchase Class A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56,844,468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28,903,180</w:t>
            </w:r>
          </w:p>
        </w:tc>
      </w:tr>
      <w:tr>
        <w:trPr>
          <w:trHeight w:val="251"/>
        </w:trPr>
        <w:tc>
          <w:tcPr>
            <w:tcW w:w="8180" w:type="dxa"/>
            <w:vAlign w:val="bottom"/>
          </w:tcPr>
          <w:p>
            <w:pPr>
              <w:ind w:left="20"/>
              <w:spacing w:after="0"/>
              <w:rPr>
                <w:sz w:val="20"/>
                <w:szCs w:val="20"/>
                <w:color w:val="auto"/>
              </w:rPr>
            </w:pPr>
            <w:r>
              <w:rPr>
                <w:rFonts w:ascii="Arial" w:cs="Arial" w:eastAsia="Arial" w:hAnsi="Arial"/>
                <w:sz w:val="18"/>
                <w:szCs w:val="18"/>
                <w:color w:val="auto"/>
              </w:rPr>
              <w:t>Outstanding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2,239,220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Outstanding earn-out RSUs</w:t>
            </w:r>
          </w:p>
        </w:tc>
        <w:tc>
          <w:tcPr>
            <w:tcW w:w="1480" w:type="dxa"/>
            <w:vAlign w:val="bottom"/>
          </w:tcPr>
          <w:p>
            <w:pPr>
              <w:jc w:val="right"/>
              <w:spacing w:after="0"/>
              <w:rPr>
                <w:sz w:val="20"/>
                <w:szCs w:val="20"/>
                <w:color w:val="auto"/>
              </w:rPr>
            </w:pPr>
            <w:r>
              <w:rPr>
                <w:rFonts w:ascii="Arial" w:cs="Arial" w:eastAsia="Arial" w:hAnsi="Arial"/>
                <w:sz w:val="18"/>
                <w:szCs w:val="18"/>
                <w:color w:val="auto"/>
              </w:rPr>
              <w:t>16,782,356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171,535,213</w:t>
            </w:r>
          </w:p>
        </w:tc>
      </w:tr>
      <w:tr>
        <w:trPr>
          <w:trHeight w:val="219"/>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97,861,016</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200,438,393</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18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six months ended June 30, 2022, the Compensation Committee of the Company’s Board of Directors approved by written consents, dated February 17, 2022 and May 2, 2022 a restructuring plan that was executed by management and restructuring charges were incurred and recorded in connection therewith. These costs include severance packages offered to the employees impacted by the plan and third party consulting costs. Additionally, the Board of Directors approved additional headcount reductions in an effort to streamline operations, and the Company recognized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1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additional expenses during the second quarter of 2022. The table below provides certain information concerning restructuring activity during the six months: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Reserve Balance at December 31,</w:t>
            </w:r>
          </w:p>
        </w:tc>
        <w:tc>
          <w:tcPr>
            <w:tcW w:w="140" w:type="dxa"/>
            <w:vAlign w:val="bottom"/>
          </w:tcPr>
          <w:p>
            <w:pPr>
              <w:spacing w:after="0"/>
              <w:rPr>
                <w:sz w:val="14"/>
                <w:szCs w:val="14"/>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Charged to Costs and Expenses</w:t>
            </w:r>
          </w:p>
        </w:tc>
        <w:tc>
          <w:tcPr>
            <w:tcW w:w="300" w:type="dxa"/>
            <w:vAlign w:val="bottom"/>
          </w:tcPr>
          <w:p>
            <w:pPr>
              <w:spacing w:after="0"/>
              <w:rPr>
                <w:sz w:val="14"/>
                <w:szCs w:val="14"/>
                <w:color w:val="auto"/>
              </w:rPr>
            </w:pPr>
          </w:p>
        </w:tc>
        <w:tc>
          <w:tcPr>
            <w:tcW w:w="2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Payments and Other</w:t>
            </w:r>
          </w:p>
        </w:tc>
        <w:tc>
          <w:tcPr>
            <w:tcW w:w="1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Reserve Balance at June 30, 202</w:t>
            </w: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vMerge w:val="restart"/>
          </w:tcPr>
          <w:p>
            <w:pPr>
              <w:jc w:val="right"/>
              <w:ind w:right="8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The Company may incur additional expenses not currently contemplated due to events associated with the reduction in force. The charges that the Company expects to incur in connection with the reduction in force are estimates and subject to a number of assumptions, and actual results may differ materially. In addition, see Note 16, “Subsequent Events” for a discussion of additional exit activities subsequent to June 30,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Financial Information</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payable and accrued expenses consisted of the following (in thousands):</w:t>
      </w:r>
    </w:p>
    <w:p>
      <w:pPr>
        <w:spacing w:after="0" w:line="108" w:lineRule="exact"/>
        <w:rPr>
          <w:sz w:val="20"/>
          <w:szCs w:val="20"/>
          <w:color w:val="auto"/>
        </w:rPr>
      </w:pPr>
    </w:p>
    <w:tbl>
      <w:tblPr>
        <w:tblLayout w:type="fixed"/>
        <w:tblInd w:w="86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As of June 30, 2022</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4"/>
        </w:trPr>
        <w:tc>
          <w:tcPr>
            <w:tcW w:w="1360" w:type="dxa"/>
            <w:vAlign w:val="bottom"/>
            <w:vMerge w:val="continue"/>
          </w:tcPr>
          <w:p>
            <w:pPr>
              <w:spacing w:after="0"/>
              <w:rPr>
                <w:sz w:val="15"/>
                <w:szCs w:val="15"/>
                <w:color w:val="auto"/>
              </w:rPr>
            </w:pPr>
          </w:p>
        </w:tc>
        <w:tc>
          <w:tcPr>
            <w:tcW w:w="1320" w:type="dxa"/>
            <w:vAlign w:val="bottom"/>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9525</wp:posOffset>
            </wp:positionV>
            <wp:extent cx="6995160" cy="151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5113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p>
      <w:pPr>
        <w:spacing w:after="0" w:line="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995160" cy="16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Reserves for refunds to insurance carriers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995160" cy="168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68275"/>
                    </a:xfrm>
                    <a:prstGeom prst="rect">
                      <a:avLst/>
                    </a:prstGeom>
                    <a:noFill/>
                  </pic:spPr>
                </pic:pic>
              </a:graphicData>
            </a:graphic>
          </wp:anchor>
        </w:drawing>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318770</wp:posOffset>
            </wp:positionV>
            <wp:extent cx="6995160" cy="151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53,302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140" w:type="dxa"/>
            <w:vAlign w:val="bottom"/>
          </w:tcPr>
          <w:p>
            <w:pPr>
              <w:spacing w:after="0"/>
              <w:rPr>
                <w:sz w:val="24"/>
                <w:szCs w:val="2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As of December 31</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80" w:space="720"/>
            <w:col w:w="2840"/>
          </w:cols>
          <w:pgMar w:left="320" w:top="313" w:right="239" w:bottom="1440" w:gutter="0" w:footer="0" w:header="0"/>
          <w:type w:val="continuous"/>
        </w:sectPr>
      </w:pPr>
    </w:p>
    <w:p>
      <w:pPr>
        <w:spacing w:after="0" w:line="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bonus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995160" cy="160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benefits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699516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Indemnification liabilities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Current portion of the contingent consideration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69951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52"/>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2"/>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6"/>
        </w:trPr>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19"/>
        </w:trPr>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6" w:lineRule="exact"/>
        <w:rPr>
          <w:sz w:val="20"/>
          <w:szCs w:val="20"/>
          <w:color w:val="auto"/>
        </w:rPr>
      </w:pPr>
    </w:p>
    <w:p>
      <w:pPr>
        <w:sectPr>
          <w:pgSz w:w="11900" w:h="16838" w:orient="portrait"/>
          <w:cols w:equalWidth="0" w:num="2">
            <w:col w:w="7780" w:space="720"/>
            <w:col w:w="2840"/>
          </w:cols>
          <w:pgMar w:left="320" w:top="313" w:right="239" w:bottom="1440" w:gutter="0" w:footer="0" w:header="0"/>
          <w:type w:val="continuous"/>
        </w:sectPr>
      </w:pPr>
    </w:p>
    <w:p>
      <w:pPr>
        <w:jc w:val="both"/>
        <w:ind w:right="100" w:firstLine="318"/>
        <w:spacing w:after="0" w:line="306" w:lineRule="auto"/>
        <w:rPr>
          <w:sz w:val="20"/>
          <w:szCs w:val="20"/>
          <w:color w:val="auto"/>
        </w:rPr>
      </w:pPr>
      <w:r>
        <w:rPr>
          <w:rFonts w:ascii="Arial" w:cs="Arial" w:eastAsia="Arial" w:hAnsi="Arial"/>
          <w:sz w:val="15"/>
          <w:szCs w:val="15"/>
          <w:color w:val="auto"/>
        </w:rPr>
        <w:t>During the third quarter of 2022, the Board of Directors approved a restructuring plan that contemplates exiting the Company’s somatic tumor testing business and closing the Company’s laboratory in Branford, CT, by December 31, 2022. In connection with the plan, the Company is also eliminating approximately 250 positions, representing about 13% of its workforce, which, combined with the Company’s prior reductions in force during 2022, will result in the elimination of approximately 30% of the roles from the Legacy Sema4 business. As a result of this decision, the Company currently estimates the impact of these actions to result in between $8.5 million and $11.5 million of cash charges primarily related to severance packages offered to the employees impacted by the plan to be incurred primarily during the second half of the year. The amount of this expected charge is an estimate, and the amount and timing of actual charges may vary due to a variety of factors. The Company also expects to incur non-cash charges, which are currently not able to be estimated.</w:t>
      </w: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320" w:top="313"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2021 and the related notes in our Annual Report on Form 10-K for the year ended December 31, 2021.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leading health intelligence company—one that can unlock insights from data, leading to healthier lives and a healthier society. We are focused on delivering a portfolio of genomic and data solutions to guide patients through their family health journey. That includes family planning, delivery, pediatrics, hereditary cancer screening, and rare disorders for children and adults.</w:t>
      </w:r>
    </w:p>
    <w:p>
      <w:pPr>
        <w:spacing w:after="0" w:line="1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June 1, 2017, we signed a contribution and funding agreement and other agreements with Icahn School of Medicine at Mount Sinai, or ISMMS, whereby ISMMS contributed certain assets and liabilities related to our operations, provided certain services to us, and also committed to funding us up to $55.0 million in future capital contributions in exchange for equity in Legacy Sema4, of which $55.0 million was drawn as of December 31, 2019. Following the transaction, we commenced operations as a commercial entity that could effectively engage diverse patient populations and health care institutions at scale.</w:t>
      </w:r>
    </w:p>
    <w:p>
      <w:pPr>
        <w:spacing w:after="0" w:line="1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have since established a market leading health intelligence platform, accelerating the use of genomics and leveraging large-scale clinical data to enhance the standard of care through extensive precision medicine solutions. Our business was further strengthened in April 2022 by the acquisition of GeneDx, a leader in genomic testing and analysis for rare disorders. We believe the transaction positions Sema4 as one of the largest and most advanced providers of genomic testing in the U.S. and further strengthens our health information database to transform patient care and improve therapeutic development. We now maintain a database that includes patient data available for research on approximately 12 million patients from a number of public and proprietary sources. More than five million patients are available with clinical data through our partnership health systems and genomic testing solutions that may include structured and unstructured data available for deeper curation to construct more comprehensive natural histories of patients.</w:t>
      </w:r>
    </w:p>
    <w:p>
      <w:pPr>
        <w:spacing w:after="0" w:line="1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Currently, we derive the majority of our revenue from our diagnostic test solutions. Our diagnostic business generates revenue and engages with healthcare professionals working with patients primarily through our Reproductive Health/Women’s Health and Pediatrics/NICU solutions.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Reproductive Health/Women’s Health solutions sequence and analyze an industry-leading number of genes and use interpretive information tools to translate raw sequencing and clinical data efficiently and accurately into digestible clinical reports that guide decision-making by patients and physicians. These solutions also include Sema4 Signal Hereditary Cancer, which determines if a patient carries an inherited genetic change that increases the risk of cancer or informs on cancer treatment.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Pediatrics/NICU offerings include testing solutions for children, both inpatient in the neonatal intensive care unit (NICU) and pediatric intensive care unit (PICU) and outpatient for developmental delay and neurodevelopmental delay as well as rare disease for children and adults. We have the industry-leading exome, which includes comprehensive CNV (copy number variation) analysis and have an extensive database of over 375,000 clinically sequenced exomes and more than two million structured phenotypes.</w:t>
      </w:r>
    </w:p>
    <w:p>
      <w:pPr>
        <w:spacing w:after="0" w:line="151"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We will be discontinuing our somatic tumor profiling business by December 31, 2022. This business represents less than 1% of our revenue and approximately $35 million of our annual expenses. We expect that exiting this business will result in significant cost savings during the second half of 2022 and 2023, and will positively impact our gross margins. Additionally, beginning in May of 2020 through March 31, 2022, we provided diagnostic testing services to identify the presence of COVID-19.</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lifecycle, from next-generation drug discovery and development, to post-market efficacy surveillance, to informing on bioavailability, toxicity, tolerability, and other features critical to drug development.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In particular, we are currently engaged in discussions with one of our third-party payors regarding certain overpayments we allegedly received from the payor for services that the payor alleges are not covered by, or were not otherwise properly billed to, the payor. As a result of this matter and other potential settlements with payors, we have established certain liabilities and reversed certain of our previously recorded revenue. We intend to seek to resolve this matter and any other recovery or recoupment claims in a mutually satisfactory manner, although it is possible that any such settlement may also result in lowered contracted reimbursement</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rates for our tests. For more information regarding this matter, see Note 4, “Revenue Recognition” to our unaudited condensed consolidated financial statements included within this Quarterly Report.</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9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7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spacing w:after="0" w:line="15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six months ended June 30, 2022, we resulted 276,171 tests in our laboratories, 73,408 tests of which were for COVID-19, compared to the six months ended June 30, 2021, in which we resulted 357,785 tests in our laboratories, 218,757 of which were for COVID-19. This 46% increase in resulted volumes, excluding COVID-19 tests volumes, was as a result of the inclusion of volumes from GeneDx’s laboratories following the closing of the GeneDx acquisition.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COVID-19 has had, and continues to have, an extensive impact on the global health and economic environments since the initial outbreak in March 2020.</w:t>
      </w:r>
    </w:p>
    <w:p>
      <w:pPr>
        <w:spacing w:after="0" w:line="2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While test volumes have since improved, we continue to experience changes in the mix of tests due to the impact of COVID-19.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w:t>
      </w:r>
    </w:p>
    <w:p>
      <w:pPr>
        <w:spacing w:after="0" w:line="15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Funds provided under the ERC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funds received under the ERC and recorded the proceeds in other liabilities on the condensed consolidated balance sheets.</w:t>
      </w:r>
    </w:p>
    <w:p>
      <w:pPr>
        <w:spacing w:after="0" w:line="156" w:lineRule="exact"/>
        <w:rPr>
          <w:sz w:val="20"/>
          <w:szCs w:val="20"/>
          <w:color w:val="auto"/>
        </w:rPr>
      </w:pPr>
    </w:p>
    <w:p>
      <w:pPr>
        <w:ind w:right="540" w:firstLine="318"/>
        <w:spacing w:after="0" w:line="453"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Acquisition of GeneDx</w:t>
      </w:r>
    </w:p>
    <w:p>
      <w:pPr>
        <w:jc w:val="both"/>
        <w:ind w:firstLine="318"/>
        <w:spacing w:after="0" w:line="264" w:lineRule="auto"/>
        <w:rPr>
          <w:sz w:val="20"/>
          <w:szCs w:val="20"/>
          <w:color w:val="auto"/>
        </w:rPr>
      </w:pPr>
      <w:r>
        <w:rPr>
          <w:rFonts w:ascii="Arial" w:cs="Arial" w:eastAsia="Arial" w:hAnsi="Arial"/>
          <w:sz w:val="17"/>
          <w:szCs w:val="17"/>
          <w:color w:val="auto"/>
        </w:rPr>
        <w:t>In January 2022, we and our wholly-owned subsidiaries, Orion Merger Sub I, Inc., or Merger Sub I, and Orion Merger Sub II, LLC, or Merger Sub II, entered into an Agreement and Plan of Merger and Reorganization (which we refer to, as amended, as the “Acquisition Merger Agreement”), with GeneDx, Inc., a New Jersey corporation, or GeneDx, and a wholly-owned subsidiary of OPKO Health, Inc., or OPKO, GeneDx Holding 2, Inc., or Holdco, and OPKO to acquire 100% of GeneDx (which we refer to as the “Acquisition”). Subject to the terms and conditions of the Acquisition Merger Agreement, we agreed to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were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our Class A common stock (valued at $4.86 per share, subject to adjustment for stock splits and similar changes), with such mix to be determined in our sole discretion.</w:t>
      </w:r>
    </w:p>
    <w:p>
      <w:pPr>
        <w:spacing w:after="0" w:line="14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Acquisition closed on April 29, 2022. Our net loss for the three and six months ended June 30, 2022 includes the results of operations of GeneDx from the date of acquisition.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Concurrently with the execution of the Acquisition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(which we refer to as the “Acquisition PIPE Investment”). The Acquisition PIPE Investment was consummated substantially concurrently with the closing of the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7"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We derive the majority of our revenue from diagnostic testing services, which primarily relate to Reproductive Health/Women’s Health, Pediatrics/NICU and COVID-19. We also recognize revenue from collaboration service agreements with Biopharma companies and other third parties pursuant to which we provide diagnostic testing and related data aggregation reporting services. As discussed above, we discontinued COVID-19 testing services as of March 31, 2022 and no longer provide such testing services. We also intend to discontinue our somatic tumor profiling business by December 31, 2022.</w:t>
      </w:r>
    </w:p>
    <w:p>
      <w:pPr>
        <w:spacing w:after="0" w:line="106"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9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1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and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Related party expenses consist of amounts due to ISMMS for expenses under our Transition Services Agreement with ISMMS, or the ISMMS TSA, which expired at the end of the first quarter of 2021, and other service agreements. In addition, GeneDx and OPKO entered into a Transition Services Agreement dated as of April 29, 2022, or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Additional information can be found in the audited financial statements in Note 7,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included within our Annual Report on Form 10-K for the year ended December 31, 2021, and our unaudited condensed consolidated financial statements in Note 7, </w:t>
      </w: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included within this Quarterly Report.</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 and following the expiration of the OPKO TSA.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7"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Interest expense consists of interest costs related to our finance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report. No amounts have been drawn under the revolving credit facility as of June 30,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Other income consists of funding received under the CARES Act. We recognized $5.6 million of additional funding received under the CARES Act during the first quarter of 2021 and the amount is included in other income for the six months ended June 30, 2021.</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2022 and 2021</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w w:val="99"/>
              </w:rPr>
              <w:t>2021 (1)</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34,004</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44,803</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48,179</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Gross profit (loss)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18,574</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(45,448)</w:t>
            </w:r>
          </w:p>
        </w:tc>
      </w:tr>
      <w:tr>
        <w:trPr>
          <w:trHeight w:val="106"/>
        </w:trPr>
        <w:tc>
          <w:tcPr>
            <w:tcW w:w="8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52"/>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81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(46,161)</w:t>
            </w:r>
          </w:p>
        </w:tc>
      </w:tr>
    </w:tbl>
    <w:p>
      <w:pPr>
        <w:spacing w:after="0" w:line="83" w:lineRule="exact"/>
        <w:rPr>
          <w:sz w:val="20"/>
          <w:szCs w:val="20"/>
          <w:color w:val="auto"/>
        </w:rPr>
      </w:pPr>
    </w:p>
    <w:p>
      <w:pPr>
        <w:ind w:firstLine="6"/>
        <w:spacing w:after="0" w:line="254" w:lineRule="auto"/>
        <w:tabs>
          <w:tab w:leader="none" w:pos="2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2380" w:type="dxa"/>
            <w:vAlign w:val="bottom"/>
            <w:gridSpan w:val="4"/>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3"/>
          </w:tcPr>
          <w:p>
            <w:pPr>
              <w:jc w:val="right"/>
              <w:ind w:right="18"/>
              <w:spacing w:after="0"/>
              <w:rPr>
                <w:sz w:val="20"/>
                <w:szCs w:val="20"/>
                <w:color w:val="auto"/>
              </w:rPr>
            </w:pPr>
            <w:r>
              <w:rPr>
                <w:rFonts w:ascii="Arial" w:cs="Arial" w:eastAsia="Arial" w:hAnsi="Arial"/>
                <w:sz w:val="14"/>
                <w:szCs w:val="14"/>
                <w:b w:val="1"/>
                <w:bCs w:val="1"/>
                <w:color w:val="auto"/>
                <w:w w:val="88"/>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44,803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36,169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47,015</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decreased by $10.8 million, or 23%, to $36.2 million for the three months ended June 30, 2022, from $47.0 million for the three months ended June 30, 2021.</w:t>
      </w:r>
    </w:p>
    <w:p>
      <w:pPr>
        <w:spacing w:after="0" w:line="15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Diagnostic test revenue period over period overall decreased by $10.8 million, or 24%, to $34.0 million for the three months ended June 30, 2022, from $44.8 million for the three months ended June 30, 2021. The decrease was primarily attributable to a reversal of revenue recorded in the second quarter of 2022 related to a third party-payor’s allegation regarding certain overpayments we allegedly received from the payor for services alleged to be uncovered by, or were not otherwise properly billed to, the payor. This revenue reversal relates both to this matter and other potential settlements with payors, and the vast majority of this revenue reversal was related to periods prior to the second quarter of 2022. For more information regarding this matter, see Note 4, “Revenue Recognition” to our unaudited condensed consolidated financial statements included within this Quarterly Report. This decrease was offset by an increase of $26.1 million in revenue due to the GeneDx acquisition and its revenue generated for May and June 2022.</w:t>
      </w:r>
    </w:p>
    <w:p>
      <w:pPr>
        <w:sectPr>
          <w:pgSz w:w="11900" w:h="16838" w:orient="portrait"/>
          <w:cols w:equalWidth="0" w:num="1">
            <w:col w:w="11240"/>
          </w:cols>
          <w:pgMar w:left="320" w:top="140" w:right="339" w:bottom="1440" w:gutter="0" w:footer="0" w:header="0"/>
        </w:sect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240"/>
          </w:cols>
          <w:pgMar w:left="320" w:top="14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80" w:firstLine="318"/>
        <w:spacing w:after="0" w:line="464" w:lineRule="auto"/>
        <w:rPr>
          <w:sz w:val="20"/>
          <w:szCs w:val="20"/>
          <w:color w:val="auto"/>
        </w:rPr>
      </w:pPr>
      <w:r>
        <w:rPr>
          <w:rFonts w:ascii="Arial" w:cs="Arial" w:eastAsia="Arial" w:hAnsi="Arial"/>
          <w:sz w:val="18"/>
          <w:szCs w:val="18"/>
          <w:color w:val="auto"/>
        </w:rPr>
        <w:t xml:space="preserve">Other revenue decreased by a nominal amount for the three months ended June 30, 2022, from the three months ended June 30, 2021. </w:t>
      </w:r>
      <w:r>
        <w:rPr>
          <w:rFonts w:ascii="Arial" w:cs="Arial" w:eastAsia="Arial" w:hAnsi="Arial"/>
          <w:sz w:val="18"/>
          <w:szCs w:val="18"/>
          <w:b w:val="1"/>
          <w:bCs w:val="1"/>
          <w:i w:val="1"/>
          <w:iCs w:val="1"/>
          <w:color w:val="auto"/>
        </w:rPr>
        <w:t>Cost of Services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65,767</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48,179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17,588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bl>
    <w:p>
      <w:pPr>
        <w:spacing w:after="0" w:line="25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Cost of services increased by $17.6 million, or 37%, to $65.8 million for the three months ended June 30, 2022, from $48.2 million for the three months ended June 30, 2021. The increase was primarily driven by the following components: a $5.4 million increase in overall personnel-related expenses driven by increase in headcount; and a $13.8 million increase in lab reagents, supplies and kits driven by increased sales volume. This increase was offset by a $1.6 million decrease in outside labor costs as the need for temporary hires contracted to perform COVID-19 testing activities was no longer required.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27,168</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11,952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15,216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Research and development expense increased by $15.2 million, or 127%, to $27.2 million for the three months ended June 30, 2022, from $12.0 million for the three months ended June 30, 2021. The increase was primarily attributable to a $6.9 million increase in stock-based compensation expense; a $6.1 million increase in other personnel-related expenses driven by increase in headcount; an increase of $1.7 million in consultant services for product development related activities; and an increase of $0.4 million in depreciation and amortization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36,118</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18,574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17,544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bl>
    <w:p>
      <w:pPr>
        <w:spacing w:after="0" w:line="25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Selling and marketing expense increased by $17.5 million, or 94%, to $36.1 million for the three months ended June 30, 2022, from $18.6 million for the three months ended June 30, 2021. The increase was primarily attributable to a $12.8 million increase in personnel-related costs driven by increase in headcount; a $1.0 million increase in other lab services for genetic counseling related to medical education; a $1.0 million increase in information technology-related expenses; a $1.3 million increase in business travel and business expenses due to the lifting of COVID-19 travel restrictions. Additionally, there was an increase of $0.8 million in amortization expense related to acquisition intangible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68,034</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12,870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55,164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r>
      <w:tr>
        <w:trPr>
          <w:trHeight w:val="715"/>
        </w:trPr>
        <w:tc>
          <w:tcPr>
            <w:tcW w:w="516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General and administrative expense increased by $55.2 million, or 429%, to $68.0 million for the three months ended June 30, 2022, from $12.9 million for the three months ended June 30, 2021. The decrease was primarily attributable to $13.9 million and $11.9 million increases in stock-based compensation expense and other personnel-related costs driven by increase in headcount; a $18.2 million increase in professional services incurred in connection with the Acquisition related to due diligence, advisory, legal and business integration services; a $3.9 million increase in information technology related expenses due to increased cloud storage requirements; a $2.0 million increase in insurance expenses driven by the commencement of director’s insurance policy; a $3.1 million increase in depreciation and amortization expense driven by computer equipment and acquisition intangibles; a $1.0 million increase in tax expenses; and a $1.0 million increase due to reallocation of certain costs between departments during the fourth quarter of 2021 as a result of a change in estimate.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60"/>
              <w:spacing w:after="0"/>
              <w:rPr>
                <w:sz w:val="20"/>
                <w:szCs w:val="20"/>
                <w:color w:val="auto"/>
              </w:rPr>
            </w:pPr>
            <w:r>
              <w:rPr>
                <w:rFonts w:ascii="Arial" w:cs="Arial" w:eastAsia="Arial" w:hAnsi="Arial"/>
                <w:sz w:val="14"/>
                <w:szCs w:val="14"/>
                <w:b w:val="1"/>
                <w:bCs w:val="1"/>
                <w:color w:val="auto"/>
                <w:w w:val="90"/>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00" w:type="dxa"/>
            <w:vAlign w:val="bottom"/>
          </w:tcPr>
          <w:p>
            <w:pPr>
              <w:ind w:left="56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1"/>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88"/>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1,731</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843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expenses increased by $0.8 million, or 95%, to $1.7 million for the three months ended June 30, 2022, from $0.9 million for the three months ended June 30, 2021. The increase was primarily attributable to fees related to support certain services pursuant to the OPKO TSA as a result of the acquisition of GeneDx and an increase in information technology related services provided by ISMMS.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88"/>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4144 %</w:t>
            </w:r>
          </w:p>
        </w:tc>
      </w:tr>
    </w:tbl>
    <w:p>
      <w:pPr>
        <w:spacing w:after="0" w:line="2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Interest income increased by $0.4 million, or 4144%, to $0.4 million for the three months ended June 30, 2022, from a nominal amount for the three months ended June 30, 2021. The increase was due to increases in the average cash balances held in interest-bearing and money market deposit accounts.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1"/>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88"/>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2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expense increased by a nominal amount for the three months ended June 30, 2022, from the three months ended June 30,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(dollars in thousands)</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increased by a nominal amount for the three months ended June 30, 2022, from the three months ended June 30, 2021.</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2022 and 2021</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w w:val="99"/>
              </w:rPr>
              <w:t>2021 (1)</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86,499</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107,563</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111,216</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116,703</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Gross profit (loss)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53,940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114,908</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(242,105)</w:t>
            </w:r>
          </w:p>
        </w:tc>
      </w:tr>
      <w:tr>
        <w:trPr>
          <w:trHeight w:val="87"/>
        </w:trPr>
        <w:tc>
          <w:tcPr>
            <w:tcW w:w="8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52"/>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31"/>
        </w:trPr>
        <w:tc>
          <w:tcPr>
            <w:tcW w:w="81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(237,936)</w:t>
            </w:r>
          </w:p>
        </w:tc>
      </w:tr>
    </w:tbl>
    <w:p>
      <w:pPr>
        <w:spacing w:after="0" w:line="83" w:lineRule="exact"/>
        <w:rPr>
          <w:sz w:val="20"/>
          <w:szCs w:val="20"/>
          <w:color w:val="auto"/>
        </w:rPr>
      </w:pPr>
    </w:p>
    <w:p>
      <w:pPr>
        <w:ind w:firstLine="6"/>
        <w:spacing w:after="0" w:line="254" w:lineRule="auto"/>
        <w:tabs>
          <w:tab w:leader="none" w:pos="2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3020" w:type="dxa"/>
            <w:vAlign w:val="bottom"/>
            <w:gridSpan w:val="6"/>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3020" w:type="dxa"/>
            <w:vAlign w:val="bottom"/>
            <w:gridSpan w:val="6"/>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Pr>
          <w:p>
            <w:pPr>
              <w:spacing w:after="0"/>
              <w:rPr>
                <w:sz w:val="16"/>
                <w:szCs w:val="16"/>
                <w:color w:val="auto"/>
              </w:rPr>
            </w:pPr>
          </w:p>
        </w:tc>
        <w:tc>
          <w:tcPr>
            <w:tcW w:w="128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3"/>
          </w:tcPr>
          <w:p>
            <w:pPr>
              <w:jc w:val="right"/>
              <w:ind w:right="18"/>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86,499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111,216</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decreased by $21.1 million, or 19%, to $90.1 million for the six months ended June 30, 2022, from $111.2 million for the six months ended June 30, 2021.</w:t>
      </w:r>
    </w:p>
    <w:p>
      <w:pPr>
        <w:spacing w:after="0" w:line="15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Diagnostic test revenue period over period overall decreased by $21.1 million, or 20%, to $86.5 million for the six months ended June 30, 2022, from $107.6 million for the six months ended June 30, 2021. The decrease was primarily attributable to a reversal of revenue recorded in the second quarter of 2022 related a third party-payor’s allegation regarding certain overpayments we allegedly received from the payor for services alleged to be uncovered by, or were not otherwise properly billed to, the payor. This revenue reversal relates both to this matter and other potential settlements with payors, and the vast majority of this revenue reversal was related to periods prior to the second quarter of 2022. For more information regarding this matter, see Note 4, “Revenue Recognition” to our unaudited condensed consolidated financial statements included within this Quarterly Report. This decrease was offset by an increase of $26.1 million in revenue due to the GeneDx acquisition and its revenue generated for May and June 2022.</w:t>
      </w:r>
    </w:p>
    <w:p>
      <w:pPr>
        <w:sectPr>
          <w:pgSz w:w="11900" w:h="16838" w:orient="portrait"/>
          <w:cols w:equalWidth="0" w:num="1">
            <w:col w:w="11240"/>
          </w:cols>
          <w:pgMar w:left="320" w:top="140" w:right="339" w:bottom="1440" w:gutter="0" w:footer="0" w:header="0"/>
        </w:sect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240"/>
          </w:cols>
          <w:pgMar w:left="320" w:top="140"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revenue decreased by a nominal amount for the six months ended June 30, 2022, from the six months ended June 30,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8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114,083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(2,620)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Cost of services decreased by $2.6 million, or 2%, to $114.1 million for the six months ended June 30, 2022, from $116.7 million for the six months ended June 30, 2021. The decrease was primarily driven by the following components: a $15.0 million decrease in stock-based compensation expense is due to the higher expense recorded in the first quarter of 2021 as a result of the increased fair value of the awards and related expenses recorded under liability accounting; a $4.1 million decrease in outside labor costs as the need for temporary hires contracted to perform COVID-19 testing activities was no longer required; and a $2.1 million decrease in inventory obsolescence write-off as a result of discontinuing COVID-19 testing. These decreases were offset by a $13.8 million increase in lab reagents, supplies and kits driven by increased sales activities and an increase of $4.6 million in other personnel-related expenses driven by increase in headcount.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(dollars in thousands)</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48,483</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65,085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2"/>
              </w:rPr>
              <w:t>(16,602)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5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Research and development expense decreased by $16.6 million, or 26%, to $48.5 million for the six months ended June 30, 2022, from $65.1 million for the six months ended June 30, 2021. The decrease was primarily attributable to a $26.9 million decrease in stock-based compensation expense due to the higher expense recorded in the first quarter of 2021 as a result of the increased fair value of the awards and related expenses recorded under liability accounting and a decrease in cost incurred for reagents and laboratory supplies and laboratory software of $1.0 million for research and development activities, which was partially offset by an increase of $8.7 million in other personnel-related expenses driven by increase in headcount; an increase of $1.7 million in consultant services for product development related activities; and an increase of $1.0 million in depreciation and amortization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7"/>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65,665</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53,940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11,725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Selling and marketing expense increased by $11.7 million, or 22%, to $65.7 million for the six months ended June 30, 2022, from $53.9 million for the six months ended June 30, 2021. The increase was primarily attributable to a $18.2 million increase in personnel-related costs driven by increase in headcount, which was offset by a $15.5 million decrease in stock-based compensation expense due to the higher expense recorded in the first quarter of 2021 as a result of the increased fair value of the awards and related expenses recorded under liability accounting. Additionally, a $2.5 million increase in business travel and business expenses due to the lifting of COVID-19 travel restrictions; a $2.0 million increase in consulting service expenses to support revenue cycle transformation initiatives; an increase of $1.6 million in other lab services for genetic counseling related to medical education; an increase of $1.0 million in information technology-related expenses; an increase of $1.0 million in amortization expense for acquisition intangible assets; and an increase of $0.9 million in sponsored research.</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8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110,818</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(4,090)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General and administrative expense decreased by $4.1 million, or 4%, to $110.8 million for the six months ended June 30, 2022, from $114.9 million for the six months ended June 30, 2021. The decrease was primarily attributable to a $66.8 million decrease in stock-based compensation expense due to the higher expense recorded in the first quarter of 2021 as a result of the increased fair value of the awards and related expenses recorded under liability accounting. This decrease was partially offset by an increase in expenses of $24.7 million for professional services incurred in connection with the Acquisition related to due diligence, advisory, legal and business integration services; an increase of $21.9 million in other personnel-related costs driven by increase in headcount; a $6.3 million increase in information technology related expenses due to increased cloud storage requirements; a $3.7 million increase in insurance expenses driven by the commencement of director’s insurance policy; a $2.8 million increase in depreciation and amortization expense driven by intangibles and computer equipment; a $2.0 million increase due to reallocation of certain costs between departments during the fourth quarter of 2021 as a result of a change in estimate; a $1.0 million increase in state income taxes; and a $0.4 million increase in travel and business expenses due to the lifting of COVID-19 travel restrictions.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center"/>
              <w:ind w:left="23"/>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88"/>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3,015</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expenses increased by $0.3 million, or 12%, to $3.0 million for the six months ended June 30, 2022, from $2.7 million for the six months ended June 30, 2021. The increase was primarily attributable to fees related to support certain services pursuant to the OPKO TSA as a result of the acquisition of GeneDx.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88"/>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1263 %</w:t>
            </w:r>
          </w:p>
        </w:tc>
      </w:tr>
    </w:tbl>
    <w:p>
      <w:pPr>
        <w:spacing w:after="0" w:line="2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Interest income increased by $0.4 million, or 1263%, to $0.4 million for the six months ended June 30, 2022, from a nominal amount for the six months ended June 30, 2021. The increase was due to increases in the average cash balances held in interest-bearing and money market deposit accounts.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8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8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(1,598)</w:t>
            </w:r>
          </w:p>
        </w:tc>
        <w:tc>
          <w:tcPr>
            <w:tcW w:w="92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1"/>
              </w:rPr>
              <w:t>(1,445)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rPr>
              <w:t>(153)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expense increased by $0.2 million, or 11%, to $1.6 million for the six months ended June 30, 2022, from $1.4 million for the six months ended June 30, 2021. The increase was driven by the unused line fee and amortization of deferred transaction costs related to the loan and security agreement entered into with Silicon Valley Bank at the end of 2021.</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1000" w:type="dxa"/>
            <w:vAlign w:val="bottom"/>
          </w:tcPr>
          <w:p>
            <w:pPr>
              <w:jc w:val="right"/>
              <w:ind w:right="83"/>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w w:val="88"/>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94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(5,528)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Other income decreased by $5.5 million, to $0.1 million for the six months ended June 30, 2022, from $5.6 million for the six months ended June 30, 2021. This was attributable to the $5.6 million in funding that was received and recognized as other income under the CARES Act in the first quarter of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4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48"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9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Adjusted Gross Profit is a non-GAAP financial measure that we define as revenue less cost of services, excluding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is a reconciliation of revenue to our Adjusted Gross Profit and Adjusted Gross Margin for the three months ended June 30, 2022 and 2021:</w:t>
      </w: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18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191"/>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36,169</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47,015</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65,767</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48,179</w:t>
            </w:r>
          </w:p>
        </w:tc>
      </w:tr>
      <w:tr>
        <w:trPr>
          <w:trHeight w:val="325"/>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(29,598)</w:t>
            </w:r>
          </w:p>
        </w:tc>
        <w:tc>
          <w:tcPr>
            <w:tcW w:w="100" w:type="dxa"/>
            <w:vAlign w:val="bottom"/>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w:t>
            </w:r>
          </w:p>
        </w:tc>
      </w:tr>
      <w:tr>
        <w:trPr>
          <w:trHeight w:val="218"/>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36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54"/>
              <w:spacing w:after="0"/>
              <w:rPr>
                <w:sz w:val="20"/>
                <w:szCs w:val="20"/>
                <w:color w:val="auto"/>
              </w:rPr>
            </w:pPr>
            <w:r>
              <w:rPr>
                <w:rFonts w:ascii="Arial" w:cs="Arial" w:eastAsia="Arial" w:hAnsi="Arial"/>
                <w:sz w:val="18"/>
                <w:szCs w:val="18"/>
                <w:b w:val="1"/>
                <w:bCs w:val="1"/>
                <w:color w:val="auto"/>
              </w:rPr>
              <w:t>(2)%</w:t>
            </w: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(306)</w:t>
            </w:r>
          </w:p>
        </w:tc>
      </w:tr>
      <w:tr>
        <w:trPr>
          <w:trHeight w:val="226"/>
        </w:trPr>
        <w:tc>
          <w:tcPr>
            <w:tcW w:w="81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324"/>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Gross Profit (Loss)</w:t>
            </w:r>
          </w:p>
        </w:tc>
        <w:tc>
          <w:tcPr>
            <w:tcW w:w="36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(27,583)</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(1,470)</w:t>
            </w:r>
          </w:p>
        </w:tc>
      </w:tr>
      <w:tr>
        <w:trPr>
          <w:trHeight w:val="305"/>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8"/>
                <w:shd w:val="clear" w:color="auto" w:fill="CCEEFF"/>
              </w:rPr>
              <w:t>Adjusted Gross Margin</w:t>
            </w:r>
          </w:p>
        </w:tc>
        <w:tc>
          <w:tcPr>
            <w:tcW w:w="63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(3)%</w:t>
            </w:r>
          </w:p>
        </w:tc>
      </w:tr>
      <w:tr>
        <w:trPr>
          <w:trHeight w:val="254"/>
        </w:trPr>
        <w:tc>
          <w:tcPr>
            <w:tcW w:w="1800" w:type="dxa"/>
            <w:vAlign w:val="bottom"/>
          </w:tcPr>
          <w:p>
            <w:pPr>
              <w:spacing w:after="0"/>
              <w:rPr>
                <w:sz w:val="20"/>
                <w:szCs w:val="20"/>
                <w:color w:val="auto"/>
              </w:rPr>
            </w:pPr>
            <w:r>
              <w:rPr>
                <w:rFonts w:ascii="Arial" w:cs="Arial" w:eastAsia="Arial" w:hAnsi="Arial"/>
                <w:sz w:val="14"/>
                <w:szCs w:val="14"/>
                <w:color w:val="auto"/>
              </w:rPr>
              <w:t>__________________</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ind w:left="320" w:hanging="314"/>
        <w:spacing w:after="0"/>
        <w:tabs>
          <w:tab w:leader="none" w:pos="3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costs incurred for restructuring activities, which include severance packages offered to impacted employees and third party consulting costs incurred in the second quarter of 2022.</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is a reconciliation of revenue to our Adjusted Gross Profit and Adjusted Gross Margin for the six months ended June 30,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18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191"/>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90,110</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111,216</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114,083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116,703</w:t>
            </w:r>
          </w:p>
        </w:tc>
      </w:tr>
      <w:tr>
        <w:trPr>
          <w:trHeight w:val="325"/>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(23,973)</w:t>
            </w:r>
          </w:p>
        </w:tc>
        <w:tc>
          <w:tcPr>
            <w:tcW w:w="100" w:type="dxa"/>
            <w:vAlign w:val="bottom"/>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(5,487)</w:t>
            </w:r>
          </w:p>
        </w:tc>
      </w:tr>
      <w:tr>
        <w:trPr>
          <w:trHeight w:val="219"/>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36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(5)%</w:t>
            </w: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18,169</w:t>
            </w:r>
          </w:p>
        </w:tc>
      </w:tr>
      <w:tr>
        <w:trPr>
          <w:trHeight w:val="226"/>
        </w:trPr>
        <w:tc>
          <w:tcPr>
            <w:tcW w:w="81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6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(20,471)</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12,682</w:t>
            </w:r>
          </w:p>
        </w:tc>
      </w:tr>
      <w:tr>
        <w:trPr>
          <w:trHeight w:val="305"/>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8"/>
                <w:shd w:val="clear" w:color="auto" w:fill="CCEEFF"/>
              </w:rPr>
              <w:t>Adjusted Gross Margin</w:t>
            </w:r>
          </w:p>
        </w:tc>
        <w:tc>
          <w:tcPr>
            <w:tcW w:w="63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11%</w:t>
            </w:r>
          </w:p>
        </w:tc>
      </w:tr>
      <w:tr>
        <w:trPr>
          <w:trHeight w:val="254"/>
        </w:trPr>
        <w:tc>
          <w:tcPr>
            <w:tcW w:w="1800" w:type="dxa"/>
            <w:vAlign w:val="bottom"/>
          </w:tcPr>
          <w:p>
            <w:pPr>
              <w:spacing w:after="0"/>
              <w:rPr>
                <w:sz w:val="20"/>
                <w:szCs w:val="20"/>
                <w:color w:val="auto"/>
              </w:rPr>
            </w:pPr>
            <w:r>
              <w:rPr>
                <w:rFonts w:ascii="Arial" w:cs="Arial" w:eastAsia="Arial" w:hAnsi="Arial"/>
                <w:sz w:val="14"/>
                <w:szCs w:val="14"/>
                <w:color w:val="auto"/>
              </w:rPr>
              <w:t>_________________</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151"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costs incurred for restructuring activities, which include severance packages offered to impacted employees and third party consulting costs incurred in the first half of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net, depreciation and amortization, stock-based compensation expenses, transaction, acquisition and business integration costs, restructuring costs, change in fair market value of warrant and earn-out contingent liabilities and other income. We believe Adjusted EBITDA is useful in evaluating our operating performance compared to that of other companies in our industry,</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this metric generally eliminates the effects of certain factors that may vary from company to company for reasons unrelated to overall operating performance.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June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(85,742)</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5,619</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Transaction, acquisition and business integration costs </w:t>
            </w:r>
            <w:r>
              <w:rPr>
                <w:rFonts w:ascii="Arial" w:cs="Arial" w:eastAsia="Arial" w:hAnsi="Arial"/>
                <w:sz w:val="22"/>
                <w:szCs w:val="22"/>
                <w:color w:val="auto"/>
                <w:vertAlign w:val="superscript"/>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3,151</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2"/>
                <w:szCs w:val="22"/>
                <w:color w:val="auto"/>
                <w:vertAlign w:val="superscript"/>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180" w:type="dxa"/>
            <w:vAlign w:val="bottom"/>
          </w:tcPr>
          <w:p>
            <w:pPr>
              <w:ind w:left="56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(115,033)</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(37,197)</w:t>
            </w:r>
          </w:p>
        </w:tc>
      </w:tr>
      <w:tr>
        <w:trPr>
          <w:trHeight w:val="20"/>
        </w:trPr>
        <w:tc>
          <w:tcPr>
            <w:tcW w:w="8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680" w:hanging="314"/>
        <w:spacing w:after="0" w:line="253" w:lineRule="auto"/>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ind w:left="320" w:right="320" w:hanging="314"/>
        <w:spacing w:after="0" w:line="299" w:lineRule="auto"/>
        <w:tabs>
          <w:tab w:leader="none" w:pos="312"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professional service costs incurred in connection with pursuing the business combination transaction that did not meet the requirement for capitalization in 2021. For the second quarter of 2022, this represents professional service costs incurred in connection with the Acquisition transaction, which include due diligence, legal and business integration costs.</w:t>
      </w:r>
    </w:p>
    <w:p>
      <w:pPr>
        <w:ind w:left="320" w:hanging="314"/>
        <w:spacing w:after="0"/>
        <w:tabs>
          <w:tab w:leader="none" w:pos="3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Represents costs incurred for restructuring activities, which include severance packages offered to impacted employees and third party consulting costs incurred in the second quarter of 2022.</w:t>
      </w:r>
    </w:p>
    <w:p>
      <w:pPr>
        <w:spacing w:after="0" w:line="25" w:lineRule="exact"/>
        <w:rPr>
          <w:rFonts w:ascii="Arial" w:cs="Arial" w:eastAsia="Arial" w:hAnsi="Arial"/>
          <w:sz w:val="12"/>
          <w:szCs w:val="12"/>
          <w:color w:val="auto"/>
        </w:rPr>
      </w:pPr>
    </w:p>
    <w:p>
      <w:pPr>
        <w:ind w:left="320" w:right="220" w:hanging="314"/>
        <w:spacing w:after="0" w:line="266" w:lineRule="auto"/>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change in fair market value of the liabilities associated with our public warrants and private placement warrants and the earn-out shares issuable under the terms of the merger agreement related to our business combination with CMLS.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six months ended June 30,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(162,638)</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(237,936)</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10,521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164,443</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Transaction, acquisition and business integration costs </w:t>
            </w:r>
            <w:r>
              <w:rPr>
                <w:rFonts w:ascii="Arial" w:cs="Arial" w:eastAsia="Arial" w:hAnsi="Arial"/>
                <w:sz w:val="22"/>
                <w:szCs w:val="22"/>
                <w:color w:val="auto"/>
                <w:vertAlign w:val="superscript"/>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5,105</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2"/>
                <w:szCs w:val="22"/>
                <w:color w:val="auto"/>
                <w:vertAlign w:val="superscript"/>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2"/>
                <w:szCs w:val="22"/>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18"/>
        </w:trPr>
        <w:tc>
          <w:tcPr>
            <w:tcW w:w="8180" w:type="dxa"/>
            <w:vAlign w:val="bottom"/>
          </w:tcPr>
          <w:p>
            <w:pPr>
              <w:ind w:left="56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(173,910)</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(62,036)</w:t>
            </w:r>
          </w:p>
        </w:tc>
      </w:tr>
      <w:tr>
        <w:trPr>
          <w:trHeight w:val="20"/>
        </w:trPr>
        <w:tc>
          <w:tcPr>
            <w:tcW w:w="8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70" w:lineRule="exact"/>
        <w:rPr>
          <w:sz w:val="20"/>
          <w:szCs w:val="20"/>
          <w:color w:val="auto"/>
        </w:rPr>
      </w:pPr>
    </w:p>
    <w:p>
      <w:pPr>
        <w:ind w:left="320" w:right="680" w:hanging="314"/>
        <w:spacing w:after="0" w:line="262" w:lineRule="auto"/>
        <w:tabs>
          <w:tab w:leader="none" w:pos="31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ind w:left="320" w:right="60" w:hanging="314"/>
        <w:spacing w:after="0" w:line="269" w:lineRule="auto"/>
        <w:tabs>
          <w:tab w:leader="none" w:pos="312"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professional service costs incurred in connection with pursuing the business combination transaction that did not meet the requirement for capitalization in 2021. For the first half of 2022, this represents professional service costs incurred in connection with the Acquisition transaction, which include due diligence, legal and business integration costs.</w:t>
      </w:r>
    </w:p>
    <w:p>
      <w:pPr>
        <w:ind w:left="320" w:hanging="314"/>
        <w:spacing w:after="0"/>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costs incurred for restructuring activities, which include severance packages offered to impacted employees and third party consulting costs incurred in the first half of 2022.</w:t>
      </w:r>
    </w:p>
    <w:p>
      <w:pPr>
        <w:spacing w:after="0" w:line="18" w:lineRule="exact"/>
        <w:rPr>
          <w:rFonts w:ascii="Arial" w:cs="Arial" w:eastAsia="Arial" w:hAnsi="Arial"/>
          <w:sz w:val="13"/>
          <w:szCs w:val="13"/>
          <w:color w:val="auto"/>
        </w:rPr>
      </w:pPr>
    </w:p>
    <w:p>
      <w:pPr>
        <w:ind w:left="320" w:right="220" w:hanging="314"/>
        <w:spacing w:after="0" w:line="273" w:lineRule="auto"/>
        <w:tabs>
          <w:tab w:leader="none" w:pos="312"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change in fair market value of the liabilities associated with our public warrants and private placement warrants and the earn-out shares issuable under the terms of the merger agreement related to our business combination with CMLS.</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the six months ended June 30, 2021, the amount represents funding received under the CARES Act Provider Relief Fund in the first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July 22, 2021, we completed the business combination with CMLS, consummated the related private placement financing, and received net cash proceeds of $510 million.</w:t>
      </w:r>
    </w:p>
    <w:p>
      <w:pPr>
        <w:spacing w:after="0" w:line="15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spacing w:after="0" w:line="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April 29, 2022, upon the closing of the Acquisition of GeneDx,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believes that our cash and cash equivalents, and funds available under the SVB Agreement provides us with sufficient liquidity for at least twelve months from the filing date of this Quarterly Report.</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may file with the SEC a shelf registration statement, which if declared effective by the SEC, may permit us to sell from time to time additional shares of our Class A common stock or other securities in one or more offerings in amounts, at prices and on the terms that we will determine at the time of offering, although we do not intend to issue shares of our Class A common stock at current market prices.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8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The following is a description of commitments for known and reasonably likely cash requirements as of June 30, 2022 and December 31, 2021. We anticipate fulfilling such commitments with our existing cash and cash equivalents, which amounted to $284.6 million and $400.6 million as of June 30, 2022 and December 31, 2021, respectively, or through additional capital raised to finance our operations;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w:t>
      </w:r>
    </w:p>
    <w:p>
      <w:pPr>
        <w:spacing w:after="0" w:line="11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Our future minimum payments under non-cancellable operating lease agreements were $81.7 million as of June 30, 2022 and $68.3 million as of December 31, 2021. The timing of these future payments, by year, can be found in our audited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within our Annual Report on Form 10-K for the year ended December 31, 2021, and our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statements in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included within this Quarterly Report, respectively.</w:t>
      </w:r>
    </w:p>
    <w:p>
      <w:pPr>
        <w:spacing w:after="0" w:line="1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Our future payments under finance leases were $63.2 million as of June 30, 2022. The timing of these future payments, by year, can be found in our audited financial statements in Note 9,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included within our Annual Report on Form 10-K for the year ended December 31, 2021, and our unaudited condensed consolidated financial statements in Note 9, </w:t>
      </w:r>
      <w:r>
        <w:rPr>
          <w:rFonts w:ascii="Arial" w:cs="Arial" w:eastAsia="Arial" w:hAnsi="Arial"/>
          <w:sz w:val="15"/>
          <w:szCs w:val="15"/>
          <w:i w:val="1"/>
          <w:iCs w:val="1"/>
          <w:color w:val="auto"/>
        </w:rPr>
        <w:t>“Leases,”</w:t>
      </w:r>
      <w:r>
        <w:rPr>
          <w:rFonts w:ascii="Arial" w:cs="Arial" w:eastAsia="Arial" w:hAnsi="Arial"/>
          <w:sz w:val="15"/>
          <w:szCs w:val="15"/>
          <w:color w:val="auto"/>
        </w:rPr>
        <w:t xml:space="preserve"> included within this Quarterly Report, respectively.</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261"/>
              <w:spacing w:after="0"/>
              <w:rPr>
                <w:sz w:val="20"/>
                <w:szCs w:val="20"/>
                <w:color w:val="auto"/>
              </w:rPr>
            </w:pPr>
            <w:r>
              <w:rPr>
                <w:rFonts w:ascii="Arial" w:cs="Arial" w:eastAsia="Arial" w:hAnsi="Arial"/>
                <w:sz w:val="18"/>
                <w:szCs w:val="18"/>
                <w:color w:val="auto"/>
                <w:w w:val="90"/>
              </w:rPr>
              <w:t>(166,139)</w:t>
            </w:r>
          </w:p>
        </w:tc>
        <w:tc>
          <w:tcPr>
            <w:tcW w:w="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center"/>
              <w:ind w:left="261"/>
              <w:spacing w:after="0"/>
              <w:rPr>
                <w:sz w:val="20"/>
                <w:szCs w:val="20"/>
                <w:color w:val="auto"/>
              </w:rPr>
            </w:pPr>
            <w:r>
              <w:rPr>
                <w:rFonts w:ascii="Arial" w:cs="Arial" w:eastAsia="Arial" w:hAnsi="Arial"/>
                <w:sz w:val="18"/>
                <w:szCs w:val="18"/>
                <w:color w:val="auto"/>
                <w:w w:val="90"/>
              </w:rPr>
              <w:t>(134,210)</w:t>
            </w:r>
          </w:p>
        </w:tc>
        <w:tc>
          <w:tcPr>
            <w:tcW w:w="5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(9,475)</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301"/>
              <w:spacing w:after="0"/>
              <w:rPr>
                <w:sz w:val="20"/>
                <w:szCs w:val="20"/>
                <w:color w:val="auto"/>
              </w:rPr>
            </w:pPr>
            <w:r>
              <w:rPr>
                <w:rFonts w:ascii="Arial" w:cs="Arial" w:eastAsia="Arial" w:hAnsi="Arial"/>
                <w:sz w:val="18"/>
                <w:szCs w:val="18"/>
                <w:color w:val="auto"/>
                <w:w w:val="89"/>
              </w:rPr>
              <w:t>197,897</w:t>
            </w:r>
          </w:p>
        </w:tc>
        <w:tc>
          <w:tcPr>
            <w:tcW w:w="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Net cash used in operating activities during the six months ended June 30, 2022 was $166.1 million, which was primarily attributable to a net loss of $162.6 million and a change in fair value of the warrant and earn-out liabilities of $41.4 million and an income tax benefit of $49.1 million. This was partially offset by non-cash depreciation and amortization of $14.8 million, non-cash stock-based compensation expense of $40.3 million, a provision for excess and obsolete inventory of $0.4 million and non-cash lease expense of $0.3 million. The net change in our operating assets and liabilities primarily reflected a $2.3 million increase in inventories driven by an increase in reagents and a reduction in inventory reserves, a $35.7 million increase in accounts payable and accrued expenses driven by reserves for refunds to insurance carriers established during the second quarter of 2022, a $4.8 million decrease in other current liabilities mainly driven by the payment of 2021 bonuses, offset by the accrual of the 2022 expected bonus payment, a $2.4 million decrease in accounts receivable primarily from institutional payors and a $2.9 million decrease in prepaid expenses and other current assets mainly driven by the amortization of insurance policy premiums.</w:t>
      </w:r>
    </w:p>
    <w:p>
      <w:pPr>
        <w:spacing w:after="0" w:line="14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Net cash used in operating activities during the six months ended June 30, 2021 was $67.5 million, which was primarily attributable to a net loss of $237.9 million, partially offset by non-cash depreciation and amortization of $10.5 million and non-cash stock-based compensation expense of $164.4 million. The net change in our operating assets and liabilities primarily reflected a $7.5 million decrease in accounts receivable due to a significant decrease in COVID-19 tests performed during the second quarter of 2021, a $6.6 million increase in inventories driven by a higher volume of purchases to support increasing testing volumes, a $9.7 million increase in prepaid expenses and other current assets mainly driven by professional services costs directly related to the business combination transaction, a $10.0 million increase in accounts payable and accrued expenses due to the timing of vendor payments of large vendors, and an $7.8 million decrease in other current liabilities mainly driven by a decline in our bonus accrual following bonus payments in March 2021 and other personnel related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during the six months ended June 30, 2022 was $134.2 million, which was attributable to $127 million cash consideration for the acquisition of GeneDx, $2.7 million in purchases of property and equipment and $4.5 million of costs related to development of internal-use software assets.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six months ended June 30, 2021 was $9.5 million, which was attributable to $3.3 million in purchases of property and equipment and $6.2 million of costs related to development of internal-use software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six months ended June 30, 2022 was $197.9 million, which was driven by proceeds from the Acquisition PIPE Investment, net of issuance costs of $197.7 million, and the exercise of stock options of $1.8 million which was offset by $1.6 million of finance lease principal payments.</w:t>
      </w:r>
    </w:p>
    <w:p>
      <w:pPr>
        <w:spacing w:after="0" w:line="14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Net cash used in financing activities during the six months ended June 30, 2021 was $4.6 million, which was attributable to $2.8 million in payments for the capitalized portion of the transaction costs related to the business combination transaction, $2.0 million in principal payments on our capital lease obligations and $0.8 million in principal payments on our long-term debt obligations, offset by $1.0 million cash received from stock option exercises.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unaudited condensed consolidated financial statements, which have been prepared in accordance with U.S. GAAP. The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Except as described in Note 2, </w:t>
      </w:r>
      <w:r>
        <w:rPr>
          <w:rFonts w:ascii="Arial" w:cs="Arial" w:eastAsia="Arial" w:hAnsi="Arial"/>
          <w:sz w:val="17"/>
          <w:szCs w:val="17"/>
          <w:i w:val="1"/>
          <w:iCs w:val="1"/>
          <w:color w:val="auto"/>
        </w:rPr>
        <w:t>“Summary of Significant Accounting Policies–Recent Accounting Pronouncement Issued but Not Yet Adopted,”</w:t>
      </w:r>
      <w:r>
        <w:rPr>
          <w:rFonts w:ascii="Arial" w:cs="Arial" w:eastAsia="Arial" w:hAnsi="Arial"/>
          <w:sz w:val="17"/>
          <w:szCs w:val="17"/>
          <w:color w:val="auto"/>
        </w:rPr>
        <w:t xml:space="preserve"> to our unaudited condensed consolidated financial statements included in this Quarterly Report, 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Additional information on recent accounting pronouncements can be found in the audited financial statements in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included within our Annual Report on Form 10-K for the year ended December 31, 2021, and our unaudited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statements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within this Quarterly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Our cash, cash equivalents, and restricted cash consists of bank deposits and money market funds, which totaled $299.0 million at June 30, 2022 and $401.5 million as of December 31, 2021.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Our loan and financing obligation are recorded at amortized cost and include variable interest rate term. Therefore, change in interest rates can impact our interest payments we are obligated to pay. Additional information on our long-term debt can be found in Sema4’s audited financial statements in Note 8, </w:t>
      </w: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and Sema4’s unaudited condensed consolidated financial statements in Note 8,</w:t>
      </w:r>
      <w:r>
        <w:rPr>
          <w:rFonts w:ascii="Arial" w:cs="Arial" w:eastAsia="Arial" w:hAnsi="Arial"/>
          <w:sz w:val="17"/>
          <w:szCs w:val="17"/>
          <w:i w:val="1"/>
          <w:iCs w:val="1"/>
          <w:color w:val="auto"/>
        </w:rPr>
        <w:t xml:space="preserve"> “Long-Term Debt.”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without limitation, controls and procedures designed to ensure that information required to be disclosed in our reports filed or submitted under the Exchange Act is accumulated and communicated to our management, including our Chief Executive Officer and Interim Chief Financial Officer, to allow timely decisions regarding required disclosure.</w:t>
      </w:r>
    </w:p>
    <w:p>
      <w:pPr>
        <w:spacing w:after="0" w:line="16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required by Rules 13a-15 and 15d-15 under the Exchange Act, our Chief Executive Officer and Interim Chief Financial Officer carried out an evaluation of the effectiveness of the design and operation of our disclosure controls and procedures as of June 30, 2022. Based on that evaluation, our Chief Executive Officer and Interim Chief Financial Officer concluded that our disclosure controls and procedures were not effective as of June 30, 2022 because of the material weaknesses in internal control over financial reporting as of December 31, 2021 that we previously identified in Item 9A. “Controls and Procedures” of our Annual Report on Form 10-K for the year ended December 31, 2021 and had not been fully remediated as of June 30, 2022.</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Reported Material Weaknesses</w:t>
      </w:r>
    </w:p>
    <w:p>
      <w:pPr>
        <w:spacing w:after="0" w:line="19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described in more detail in Item 9A. “Controls and Procedures” of our Annual Report on Form 10-K for the year ended December 31, 2021, the material weaknesses identified related to the fact that we did not design and maintain accounting policies, procedures and controls to ensure complete, accurate and timely financial reporting in accordance with U.S. GAAP.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and these remediation activities are continuing in 2022. In addition to the remediation actions undertaken during 2021 and described in more detail in Item 9A. “Controls and Procedures” of our Annual Report on Form 10-K for the year ended December 31, 2021, we expect to engage in additional activities, including, but not limited to:</w:t>
      </w:r>
    </w:p>
    <w:p>
      <w:pPr>
        <w:spacing w:after="0" w:line="239"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Hiring more technical accounting resources to enhance our control environment;</w:t>
      </w:r>
    </w:p>
    <w:p>
      <w:pPr>
        <w:spacing w:after="0" w:line="28" w:lineRule="exact"/>
        <w:rPr>
          <w:rFonts w:ascii="Arial" w:cs="Arial" w:eastAsia="Arial" w:hAnsi="Arial"/>
          <w:sz w:val="21"/>
          <w:szCs w:val="21"/>
          <w:color w:val="auto"/>
        </w:rPr>
      </w:pPr>
    </w:p>
    <w:p>
      <w:pPr>
        <w:ind w:left="640" w:hanging="316"/>
        <w:spacing w:after="0" w:line="250" w:lineRule="auto"/>
        <w:tabs>
          <w:tab w:leader="none" w:pos="635" w:val="left"/>
        </w:tabs>
        <w:numPr>
          <w:ilvl w:val="0"/>
          <w:numId w:val="30"/>
        </w:numPr>
        <w:rPr>
          <w:rFonts w:ascii="Arial" w:cs="Arial" w:eastAsia="Arial" w:hAnsi="Arial"/>
          <w:sz w:val="20"/>
          <w:szCs w:val="20"/>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20" w:lineRule="exact"/>
        <w:rPr>
          <w:rFonts w:ascii="Arial" w:cs="Arial" w:eastAsia="Arial" w:hAnsi="Arial"/>
          <w:sz w:val="20"/>
          <w:szCs w:val="20"/>
          <w:color w:val="auto"/>
        </w:rPr>
      </w:pPr>
    </w:p>
    <w:p>
      <w:pPr>
        <w:jc w:val="both"/>
        <w:ind w:left="640" w:hanging="316"/>
        <w:spacing w:after="0" w:line="253" w:lineRule="auto"/>
        <w:tabs>
          <w:tab w:leader="none" w:pos="635" w:val="left"/>
        </w:tabs>
        <w:numPr>
          <w:ilvl w:val="0"/>
          <w:numId w:val="30"/>
        </w:numPr>
        <w:rPr>
          <w:rFonts w:ascii="Arial" w:cs="Arial" w:eastAsia="Arial" w:hAnsi="Arial"/>
          <w:sz w:val="20"/>
          <w:szCs w:val="20"/>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21" w:lineRule="exact"/>
        <w:rPr>
          <w:rFonts w:ascii="Arial" w:cs="Arial" w:eastAsia="Arial" w:hAnsi="Arial"/>
          <w:sz w:val="20"/>
          <w:szCs w:val="20"/>
          <w:color w:val="auto"/>
        </w:rPr>
      </w:pPr>
    </w:p>
    <w:p>
      <w:pPr>
        <w:ind w:left="640" w:hanging="316"/>
        <w:spacing w:after="0" w:line="232"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internal control over financial reporting and disclosure controls and procedures, and we will make any changes to the design of our plan and take such other actions that we deem appropriate given the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There was no change in our internal control over financial reporting that occurred during the three months ended June 30, 2022 covered by this Quarterly Report on Form 10-Q that has materially affected, or is reasonably likely to materially affect, our internal control over financial reporting, other than as described herein. We are continuing to take steps to remediate the material weaknesses in our internal control over financial reporting, as discussed above.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19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management, including our Chief Executive Officer and Interim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3"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We, and our subsidiary, are currently not a party to, and our property is not currently the subject of, any material pending legal proceedings; however, we may become involved in various claims and legal actions arising in the ordinary course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You should carefully review and consider the following risk factors and the other information contained in this Quarterly Report on Form 10-Q before deciding whether to invest in our Class A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3"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101"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138"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third-party payors, including managed care organizations, private health insurers and government health plans, do not provide adequate reimbursement for our tests, or seek to amend or renegotiate their fee reimbursement schedules, if we are unable to comply with their requirements for reimbursement, or if we are unable to respond to payor audits or resolve payor overpayment claims favorably our commercial success could be negatively affected.</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have limited experience with the development and commercialization of our databases and our health information and genomic platforms.</w:t>
      </w:r>
    </w:p>
    <w:p>
      <w:pPr>
        <w:spacing w:after="0" w:line="1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8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0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right="2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8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0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8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expect to make significant investments in our continued research and development of new products and services, which may not be successful.</w:t>
      </w:r>
    </w:p>
    <w:p>
      <w:pPr>
        <w:spacing w:after="0" w:line="172"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2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77" w:lineRule="exact"/>
        <w:rPr>
          <w:rFonts w:ascii="Arial" w:cs="Arial" w:eastAsia="Arial" w:hAnsi="Arial"/>
          <w:sz w:val="17"/>
          <w:szCs w:val="17"/>
          <w:color w:val="auto"/>
        </w:rPr>
      </w:pPr>
    </w:p>
    <w:p>
      <w:pPr>
        <w:ind w:left="640" w:hanging="316"/>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be successful following the Acquisition depends upon our efforts to integrate Sema4’s and GeneDx’s businesses and operations.</w:t>
      </w:r>
    </w:p>
    <w:p>
      <w:pPr>
        <w:spacing w:after="0" w:line="158"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ability to be successful is further dependent upon the efforts of our key personnel, including the key personnel of GeneDx following the Acquisition. The loss of key personnel could negatively impact our operations and profitability our financial condition could suffer as a result.</w:t>
      </w:r>
    </w:p>
    <w:p>
      <w:pPr>
        <w:spacing w:after="0" w:line="64" w:lineRule="exact"/>
        <w:rPr>
          <w:rFonts w:ascii="Arial" w:cs="Arial" w:eastAsia="Arial" w:hAnsi="Arial"/>
          <w:sz w:val="17"/>
          <w:szCs w:val="17"/>
          <w:color w:val="auto"/>
        </w:rPr>
      </w:pPr>
    </w:p>
    <w:p>
      <w:pPr>
        <w:ind w:left="640" w:hanging="31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Future changes in FDA enforcement discretion for LDTs could subject our operations to much more significant regulatory requirements.</w:t>
      </w:r>
    </w:p>
    <w:p>
      <w:pPr>
        <w:spacing w:after="0" w:line="149" w:lineRule="exact"/>
        <w:rPr>
          <w:rFonts w:ascii="Arial" w:cs="Arial" w:eastAsia="Arial" w:hAnsi="Arial"/>
          <w:sz w:val="17"/>
          <w:szCs w:val="17"/>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2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face uncertainty related to healthcare reform, pricing, coverage and reimbursement, which could reduce our revenue.</w:t>
      </w:r>
    </w:p>
    <w:p>
      <w:pPr>
        <w:spacing w:after="0" w:line="12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3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8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Throughout 2020 and 2021, both we and our partners also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Our business could be negatively affected in the future if it takes excessive, ineffective or inadequate precautions.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54" w:lineRule="exact"/>
        <w:rPr>
          <w:sz w:val="20"/>
          <w:szCs w:val="20"/>
          <w:color w:val="auto"/>
        </w:rPr>
      </w:pPr>
    </w:p>
    <w:p>
      <w:pPr>
        <w:jc w:val="both"/>
        <w:ind w:left="640" w:hanging="316"/>
        <w:spacing w:after="0" w:line="25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8"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33"/>
        </w:numPr>
        <w:rPr>
          <w:rFonts w:ascii="Arial" w:cs="Arial" w:eastAsia="Arial" w:hAnsi="Arial"/>
          <w:sz w:val="15"/>
          <w:szCs w:val="15"/>
          <w:color w:val="auto"/>
        </w:rPr>
      </w:pPr>
      <w:r>
        <w:rPr>
          <w:rFonts w:ascii="Arial" w:cs="Arial" w:eastAsia="Arial" w:hAnsi="Arial"/>
          <w:sz w:val="15"/>
          <w:szCs w:val="15"/>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84"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4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71" w:lineRule="exact"/>
        <w:rPr>
          <w:rFonts w:ascii="Arial" w:cs="Arial" w:eastAsia="Arial" w:hAnsi="Arial"/>
          <w:sz w:val="15"/>
          <w:szCs w:val="15"/>
          <w:color w:val="auto"/>
        </w:rPr>
      </w:pPr>
    </w:p>
    <w:p>
      <w:pPr>
        <w:ind w:left="640" w:hanging="316"/>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20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4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4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5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62"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7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2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June 30, 2022 and December 31, 2021.</w:t>
      </w:r>
    </w:p>
    <w:p>
      <w:pPr>
        <w:spacing w:after="0" w:line="13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2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reproductive health and women’s health and</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pediatrics and NICU screening products, health information services, and analytics, and data science services, and other diagnostic products. These competitors include:</w:t>
      </w:r>
    </w:p>
    <w:p>
      <w:pPr>
        <w:spacing w:after="0" w:line="154" w:lineRule="exact"/>
        <w:rPr>
          <w:sz w:val="20"/>
          <w:szCs w:val="20"/>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reproductive health and women’s health and pediatrics and NICU,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5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5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if we are unable to comply with their requirements for reimbursement, or if we are unable to respond to payor audits or resolve payor overpayment claims favorably, our commercial success could be negatively affected.</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payor’s determination that a test is appropriate, medically necessary, cost-effective and has received prior authorization. The commercial success of our current and future products, if approved, will depend on the extent to which</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customers receive coverage and adequate reimbursement from third-party payors, including managed care organizations and government payors (e.g., Medicare and Medicaid).</w:t>
      </w:r>
    </w:p>
    <w:p>
      <w:pPr>
        <w:spacing w:after="0" w:line="1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Since each payor makes its own decision as to whether to establish a policy or enter into a contract to cover our tests, as well as the amount it will reimburse for a test, seeking these approvals is a time-consuming and costly process. In addition, the determination by a payor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3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5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Furthermore, in cases where we or our partners have established reimbursement rates with third-party payors, we face additional challenges in complying with their procedural requirements for reimbursement. These requirements often vary from payor to payor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For example, we are currently engaged in discussions with one of our third-party payors regarding certain overpayments we allegedly received from the payor for services that the payor alleges are not covered by, or were not otherwise properly billed to, the payor. This payor has asserted that it will seek recovery or recoupment in relation to the alleged overpayments, if the matter cannot be settled. As a result of this matter and other potential settlements with payors, we have established certain liabilities and reversed certain of our previously recorded revenue. For more information regarding this matter, see Note 4, “Revenue Recognition” to our unaudited condensed consolidated financial statements included within this Quarterly Report. We have been required to repay certain amounts to payors as a result of such audits, and we could be adversely affected if we are required to repay other payors for alleged overpayments due to lack of compliance with their reimbursement policies as well as agree to lower contracted reimbursement rates in connection with resolving claims of alleged overpayments. In addition, we have experienced, and may continue to experience, delays in reimbursement when we transition to being an in-network provider with a payor.</w:t>
      </w:r>
    </w:p>
    <w:p>
      <w:pPr>
        <w:spacing w:after="0" w:line="3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with the development and commercialization of our databases and our health information and genomic platforms.</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w:t>
      </w: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Ethical, legal and social concerns related to the use of genomic medicine and health information analysis could reduce demand for our tests.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7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GeneDx’s Business and Operations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GeneDx needs to scale its infrastructure in advance of demand for its tests, and its failure to generate sufficient demand for its tests would have a negative impact on its business and its ability to attain profitability.</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GeneDx is not able to continue to generate substantial demand of its tests, its commercial success will be negatively affected.</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spacing w:after="0" w:line="3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awareness and demand for these products through our sales and marketing operations</w:t>
      </w:r>
      <w:r>
        <w:rPr>
          <w:rFonts w:ascii="Arial" w:cs="Arial" w:eastAsia="Arial" w:hAnsi="Arial"/>
          <w:sz w:val="21"/>
          <w:szCs w:val="21"/>
          <w:color w:val="008080"/>
        </w:rPr>
        <w:t>.</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GeneDx’s laboratories become inoperable due to disasters, health epidemics or for any other reasons, it will be unable to perform tests and its business will be harmed.</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GeneDx performs all of its tests at its production facilities in Gaithersburg, Maryland. GeneDx’s laboratories and the equipment it uses to perform its tests would be costly to replace and could require substantial lead time to replace and</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9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5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64" w:lineRule="exact"/>
        <w:rPr>
          <w:sz w:val="20"/>
          <w:szCs w:val="20"/>
          <w:color w:val="auto"/>
        </w:rPr>
      </w:pPr>
    </w:p>
    <w:p>
      <w:pPr>
        <w:jc w:val="both"/>
        <w:ind w:left="640" w:hanging="316"/>
        <w:spacing w:after="0" w:line="25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6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5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5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54" w:lineRule="exact"/>
        <w:rPr>
          <w:sz w:val="20"/>
          <w:szCs w:val="20"/>
          <w:color w:val="auto"/>
        </w:rPr>
      </w:pPr>
    </w:p>
    <w:p>
      <w:pPr>
        <w:jc w:val="both"/>
        <w:ind w:left="64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48"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17"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30"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7" w:lineRule="exact"/>
        <w:rPr>
          <w:sz w:val="20"/>
          <w:szCs w:val="20"/>
          <w:color w:val="auto"/>
        </w:rPr>
      </w:pPr>
    </w:p>
    <w:p>
      <w:pPr>
        <w:ind w:right="160" w:firstLine="318"/>
        <w:spacing w:after="0" w:line="267" w:lineRule="auto"/>
        <w:rPr>
          <w:sz w:val="20"/>
          <w:szCs w:val="20"/>
          <w:color w:val="auto"/>
        </w:rPr>
      </w:pPr>
      <w:r>
        <w:rPr>
          <w:rFonts w:ascii="Arial" w:cs="Arial" w:eastAsia="Arial" w:hAnsi="Arial"/>
          <w:sz w:val="17"/>
          <w:szCs w:val="17"/>
          <w:color w:val="auto"/>
        </w:rPr>
        <w:t>Additionally, our customers and collaborators, including the Mount Sinai Health System, which refer to together with its related entities as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estimated the sizes of the markets for our current and future products and services, and these markets may be smaller than we estimate.</w:t>
      </w:r>
    </w:p>
    <w:p>
      <w:pPr>
        <w:spacing w:after="0" w:line="22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1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relatively limited experience developing and commercializing products and services outside of the fields of reproductive health and women’s health and pediatrics and NICU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35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3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development of the data necessary to obtain regulatory clearance and approval of tests is time-consuming and carries with it the risk of not yielding the desired results. The performance achieved in published studies may not be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repeated in later studies that may be required to obtain premarket clearance or approval from the U.S. Food and Drug Administration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2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5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4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1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June 30, 2022 and December 31, 2021, we have an accumulated deficit of approximately $738.1 million and $575.4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7"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our success in marketing and selling, and changes in demand for, our tests, and the level of reimbursement and collection obtained for such tests;</w:t>
      </w:r>
    </w:p>
    <w:p>
      <w:pPr>
        <w:spacing w:after="0" w:line="225"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4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8"/>
        </w:numPr>
        <w:rPr>
          <w:rFonts w:ascii="Arial" w:cs="Arial" w:eastAsia="Arial" w:hAnsi="Arial"/>
          <w:sz w:val="15"/>
          <w:szCs w:val="15"/>
          <w:color w:val="auto"/>
        </w:rPr>
      </w:pPr>
      <w:r>
        <w:rPr>
          <w:rFonts w:ascii="Arial" w:cs="Arial" w:eastAsia="Arial" w:hAnsi="Arial"/>
          <w:sz w:val="15"/>
          <w:szCs w:val="15"/>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7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20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Sema4 has incurred net losses and negative cash flows from operations since its inception, including net losses of $245.4 million, $241.3 million and $29.7 million for the years ended December 31, 2021, 2020 and 2019, respectively. The net loss was $162.6 million for the six months ended June 30, 2022. As of June 30, 2022, we had an accumulated deficit of $738.1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 For example, we may file with the SEC a shelf registration statement, which if declared effective by the SEC may permit us to sell from time to time additional shares of our Class A common stock or other securities in one or more offerings in amounts, at prices and on the terms that we will determine at the time of offering, although we do not intend to issue shares of our Class A common stock at current market prices.</w:t>
      </w:r>
    </w:p>
    <w:p>
      <w:pPr>
        <w:spacing w:after="0" w:line="1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54"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7"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rate of progress in establishing payor coverage and reimbursement arrangements with commercial third-party payors and government payors;</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rate of progress in, and cost of research and development activities associated with, products and services in research and early development;</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20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June 30,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42" w:lineRule="exact"/>
        <w:rPr>
          <w:sz w:val="20"/>
          <w:szCs w:val="20"/>
          <w:color w:val="auto"/>
        </w:rPr>
      </w:pPr>
    </w:p>
    <w:p>
      <w:pPr>
        <w:ind w:left="64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01"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hanging="316"/>
        <w:spacing w:after="0" w:line="264"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87"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67"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“Item 4. Controls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Procedures.” However, as noted above, as of June 30, 2022, the material weaknesses have not yet been fully remediated.</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5"/>
          <w:szCs w:val="15"/>
          <w:i w:val="1"/>
          <w:iCs w:val="1"/>
          <w:color w:val="auto"/>
        </w:rPr>
        <w:t>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5"/>
          <w:szCs w:val="15"/>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5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Furthermore, under Section 382 of the Internal Revenue Code of 1986, as amended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with CMLS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payors,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rely on Mount Sinai, which is a related party, and its clinicians for a portion of our test volumes in connection with our diagnostic solutions and for substantially all of the de-identified clinical records in our databases. In addition, we sublease certain facilities from Mount Sinai, we provide certain research and data services to Mount Sinai, and we and Mount Sinai have entered into certain collaborative and commercial arrangements. Certain of our employees perform duties for or on behalf of Mount Sinai. Furthermore, we may in the future enter into other contracts for services or other engagements with Mount Sinai.</w:t>
      </w:r>
    </w:p>
    <w:p>
      <w:pPr>
        <w:spacing w:after="0" w:line="16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3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Icahn School of Medicine at Mount Sinai, or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b w:val="1"/>
          <w:bCs w:val="1"/>
          <w:i w:val="1"/>
          <w:iCs w:val="1"/>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result of the Acquisition, OPKO became the owner of 80 million shares of Class A common stock as of the Closing Date. OPKO is subject to transfer restrictions and requirements to dispose of its shares in marketed sales processes under the shareholder agreements that were entered into in connection with the Acquisition, but those restrictions and requirements are finite and subject to exceptions.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the shares held by OPKO or the other holders party such shareholder agreements are sold, or if it is perceived that they will be sold in the public market, the trading price of our Class A common stock could decline.</w:t>
      </w:r>
    </w:p>
    <w:p>
      <w:pPr>
        <w:spacing w:after="0" w:line="141" w:lineRule="exact"/>
        <w:rPr>
          <w:sz w:val="20"/>
          <w:szCs w:val="20"/>
          <w:color w:val="auto"/>
        </w:rPr>
      </w:pPr>
    </w:p>
    <w:p>
      <w:pPr>
        <w:ind w:right="140"/>
        <w:spacing w:after="0" w:line="365" w:lineRule="auto"/>
        <w:rPr>
          <w:sz w:val="20"/>
          <w:szCs w:val="20"/>
          <w:color w:val="auto"/>
        </w:rPr>
      </w:pPr>
      <w:r>
        <w:rPr>
          <w:rFonts w:ascii="Arial" w:cs="Arial" w:eastAsia="Arial" w:hAnsi="Arial"/>
          <w:sz w:val="15"/>
          <w:szCs w:val="15"/>
          <w:b w:val="1"/>
          <w:bCs w:val="1"/>
          <w:i w:val="1"/>
          <w:iCs w:val="1"/>
          <w:color w:val="auto"/>
        </w:rPr>
        <w:t>Our ability to be successful is dependent following the Acquisition depends upon our efforts to integrate Sema4’s and GeneDx’s business and operations, and the anticipated benefits of the Acquisition may not be realized fully or at all or may take longer to realize than expected.</w:t>
      </w:r>
    </w:p>
    <w:p>
      <w:pPr>
        <w:spacing w:after="0" w:line="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of the Acquisition,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be successful is further dependent upon the efforts of our key personnel, including the key personnel of GeneDx following the Acquisition.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negatively impact our operations and profitability our financial condition could suffer as a result.</w:t>
      </w:r>
    </w:p>
    <w:p>
      <w:pPr>
        <w:spacing w:after="0" w:line="16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ability to be successful is dependent upon the efforts of our key personnel, including the key personnel of GeneDx (who became our employees as of the closing of the Acquisition. Although our key personnel are expected to continue remain with the Company in their current roles, it is possible that we will lose some key personnel, the loss of which could negatively impact the operations and profitability of our business.</w:t>
      </w:r>
    </w:p>
    <w:p>
      <w:pPr>
        <w:spacing w:after="0" w:line="1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will continue to incur significant transaction and transition costs in connection with the Acquisition.</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Acquisition’s benefits do not meet the expectations of investors, stockholders or financial analysts, the market price of our securities may decline.</w:t>
      </w:r>
    </w:p>
    <w:p>
      <w:pPr>
        <w:spacing w:after="0" w:line="2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benefits of the Acquisition do not meet the expectations of investors or securities analysts, the market price of our securities may decline. For additional factors that may affect the trading price of our securities see “</w:t>
      </w:r>
      <w:r>
        <w:rPr>
          <w:rFonts w:ascii="Arial" w:cs="Arial" w:eastAsia="Arial" w:hAnsi="Arial"/>
          <w:sz w:val="18"/>
          <w:szCs w:val="18"/>
          <w:i w:val="1"/>
          <w:iCs w:val="1"/>
          <w:color w:val="auto"/>
        </w:rPr>
        <w:t>—Risks Related to Being a Public Company—If we do not meet the expectations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investors, stockholders or financial analysts, the market price of our securities may decline</w:t>
      </w:r>
      <w:r>
        <w:rPr>
          <w:rFonts w:ascii="Arial" w:cs="Arial" w:eastAsia="Arial" w:hAnsi="Arial"/>
          <w:sz w:val="18"/>
          <w:szCs w:val="18"/>
          <w:color w:val="auto"/>
        </w:rPr>
        <w:t>.”</w:t>
      </w:r>
    </w:p>
    <w:p>
      <w:pPr>
        <w:spacing w:after="0" w:line="14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We have been the target of transaction related lawsuits as result of the Acquisition, which could result in substantial costs, and we have also assumed GeneDx’s risks arising from various legal proceedings.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as of the Closing, we assumed GeneDx’s risks arising from legal proceedings.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spacing w:after="0" w:line="1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Finally, the Acquisition may result in post-transaction disputes with OPKO or the other counterparties to the Acquisition Merger Agreement and the related agreements regarding a number of matters, including any post-closing adjustments to the Cash Consideration, the occurrence or non-occurrence of any Milestone Event (as defined in the Acquisition Merger Agreement for the Acquisition) or payment of any Milestone Payment (as defined in the Acquisition Merger Agreement) or any liabilities for which we or OPKO believes it was indemnified under the Acquisition Merger Agreement.</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4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From time to time, we may consider additional opportunities to acquire other products or technologies that may enhance our product platform or technology, expand the breadth of our markets or customer base, or advance our business strategies. In addition, we plan to exit our somatic tumor testing business, which may involve a divestiture of this business, and we may consider disposing other assets or businesses in the future.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acquisitions involve numerous risks, including:</w:t>
      </w:r>
    </w:p>
    <w:p>
      <w:pPr>
        <w:spacing w:after="0" w:line="124" w:lineRule="exact"/>
        <w:rPr>
          <w:sz w:val="20"/>
          <w:szCs w:val="20"/>
          <w:color w:val="auto"/>
        </w:rPr>
      </w:pPr>
    </w:p>
    <w:p>
      <w:pPr>
        <w:ind w:left="1280" w:hanging="638"/>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37" w:lineRule="exact"/>
        <w:rPr>
          <w:rFonts w:ascii="Arial" w:cs="Arial" w:eastAsia="Arial" w:hAnsi="Arial"/>
          <w:sz w:val="18"/>
          <w:szCs w:val="18"/>
          <w:color w:val="auto"/>
        </w:rPr>
      </w:pPr>
    </w:p>
    <w:p>
      <w:pPr>
        <w:ind w:left="1280" w:hanging="638"/>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37" w:lineRule="exact"/>
        <w:rPr>
          <w:rFonts w:ascii="Arial" w:cs="Arial" w:eastAsia="Arial" w:hAnsi="Arial"/>
          <w:sz w:val="18"/>
          <w:szCs w:val="18"/>
          <w:color w:val="auto"/>
        </w:rPr>
      </w:pPr>
    </w:p>
    <w:p>
      <w:pPr>
        <w:ind w:left="1280" w:hanging="638"/>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Dispositions may similarly involve </w:t>
      </w:r>
      <w:r>
        <w:rPr>
          <w:rFonts w:ascii="Arial" w:cs="Arial" w:eastAsia="Arial" w:hAnsi="Arial"/>
          <w:sz w:val="15"/>
          <w:szCs w:val="15"/>
          <w:color w:val="212529"/>
        </w:rPr>
        <w:t>risks associated with the potential disruption of our ongoing business and distraction of our management team, and the</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 xml:space="preserve">anticipated benefits and cost savings of these transactions may not be realized fully, or at all, or take longer to realize than anticipated. In addition, dispositions </w:t>
      </w:r>
      <w:r>
        <w:rPr>
          <w:rFonts w:ascii="Arial" w:cs="Arial" w:eastAsia="Arial" w:hAnsi="Arial"/>
          <w:sz w:val="18"/>
          <w:szCs w:val="18"/>
          <w:color w:val="000000"/>
        </w:rPr>
        <w:t>may involve our continued financial involvement in a divested 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had to expand our training and compliance efforts in line with our increasing reliance on personnel in our sales, marketing and billing functions, and our expansion of these functions in line with the overall growth in our business.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5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We currently offer a laboratory-develop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w:t>
      </w: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Recently, the FDA has also taken a more active role in certain diagnostic areas, including the oversight of pharmacogenetic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6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request to down classify the device into Class II or Class I, which would not require a PMA. In the </w:t>
      </w:r>
      <w:r>
        <w:rPr>
          <w:rFonts w:ascii="Arial" w:cs="Arial" w:eastAsia="Arial" w:hAnsi="Arial"/>
          <w:sz w:val="15"/>
          <w:szCs w:val="15"/>
          <w:i w:val="1"/>
          <w:iCs w:val="1"/>
          <w:color w:val="auto"/>
        </w:rPr>
        <w:t xml:space="preserve">de novo </w:t>
      </w:r>
      <w:r>
        <w:rPr>
          <w:rFonts w:ascii="Arial" w:cs="Arial" w:eastAsia="Arial" w:hAnsi="Arial"/>
          <w:sz w:val="15"/>
          <w:szCs w:val="15"/>
          <w:color w:val="auto"/>
        </w:rPr>
        <w:t>process, the FDA must determine that general and special controls are sufficient to provide reasonable assurance of the safety and effectiveness of a</w:t>
      </w:r>
      <w:r>
        <w:rPr>
          <w:rFonts w:ascii="Arial" w:cs="Arial" w:eastAsia="Arial" w:hAnsi="Arial"/>
          <w:sz w:val="15"/>
          <w:szCs w:val="15"/>
          <w:i w:val="1"/>
          <w:iCs w:val="1"/>
          <w:color w:val="auto"/>
        </w:rPr>
        <w:t xml:space="preserve"> </w:t>
      </w:r>
      <w:r>
        <w:rPr>
          <w:rFonts w:ascii="Arial" w:cs="Arial" w:eastAsia="Arial" w:hAnsi="Arial"/>
          <w:sz w:val="15"/>
          <w:szCs w:val="15"/>
          <w:color w:val="auto"/>
        </w:rPr>
        <w:t>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33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7"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90"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31" w:lineRule="exact"/>
        <w:rPr>
          <w:rFonts w:ascii="Arial" w:cs="Arial" w:eastAsia="Arial" w:hAnsi="Arial"/>
          <w:sz w:val="17"/>
          <w:szCs w:val="17"/>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the FDA disagrees with our determination, which it may not review until we submit an annual report or the FDA conducts an inspection or other inquiry, and requires us to seek new clearances, authorizations or approvals for</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41"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we or our partners, fail to comply with these laws and regulations, it could incur significant fines and penalties and our reputation and prospects could suffer. Additionally, any such partners could be forced to cease offering our products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51" w:lineRule="exact"/>
        <w:rPr>
          <w:sz w:val="20"/>
          <w:szCs w:val="20"/>
          <w:color w:val="auto"/>
        </w:rPr>
      </w:pPr>
    </w:p>
    <w:p>
      <w:pPr>
        <w:ind w:left="640" w:hanging="316"/>
        <w:spacing w:after="0" w:line="294"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30" w:lineRule="exact"/>
        <w:rPr>
          <w:rFonts w:ascii="Arial" w:cs="Arial" w:eastAsia="Arial" w:hAnsi="Arial"/>
          <w:sz w:val="17"/>
          <w:szCs w:val="17"/>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9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9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33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payor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6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4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54" w:lineRule="exact"/>
        <w:rPr>
          <w:sz w:val="20"/>
          <w:szCs w:val="20"/>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4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7"/>
        </w:numPr>
        <w:rPr>
          <w:rFonts w:ascii="Arial" w:cs="Arial" w:eastAsia="Arial" w:hAnsi="Arial"/>
          <w:sz w:val="15"/>
          <w:szCs w:val="15"/>
          <w:color w:val="auto"/>
        </w:rPr>
      </w:pPr>
      <w:r>
        <w:rPr>
          <w:rFonts w:ascii="Arial" w:cs="Arial" w:eastAsia="Arial" w:hAnsi="Arial"/>
          <w:sz w:val="15"/>
          <w:szCs w:val="15"/>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7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General Data Protection Regulation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61"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31" w:lineRule="exact"/>
        <w:rPr>
          <w:rFonts w:ascii="Arial" w:cs="Arial" w:eastAsia="Arial" w:hAnsi="Arial"/>
          <w:sz w:val="17"/>
          <w:szCs w:val="17"/>
          <w:color w:val="auto"/>
        </w:rPr>
      </w:pPr>
    </w:p>
    <w:p>
      <w:pPr>
        <w:ind w:left="640" w:right="2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40"/>
        <w:spacing w:after="0" w:line="277" w:lineRule="auto"/>
        <w:rPr>
          <w:sz w:val="20"/>
          <w:szCs w:val="20"/>
          <w:color w:val="auto"/>
        </w:rPr>
      </w:pPr>
      <w:r>
        <w:rPr>
          <w:rFonts w:ascii="Arial" w:cs="Arial" w:eastAsia="Arial" w:hAnsi="Arial"/>
          <w:sz w:val="17"/>
          <w:szCs w:val="17"/>
          <w:color w:val="auto"/>
        </w:rPr>
        <w:t>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45" w:lineRule="exact"/>
        <w:rPr>
          <w:sz w:val="20"/>
          <w:szCs w:val="20"/>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5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1"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4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payor, including private insurers;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5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8"/>
        </w:numPr>
        <w:rPr>
          <w:rFonts w:ascii="Arial" w:cs="Arial" w:eastAsia="Arial" w:hAnsi="Arial"/>
          <w:sz w:val="15"/>
          <w:szCs w:val="15"/>
          <w:color w:val="auto"/>
        </w:rPr>
      </w:pPr>
      <w:r>
        <w:rPr>
          <w:rFonts w:ascii="Arial" w:cs="Arial" w:eastAsia="Arial" w:hAnsi="Arial"/>
          <w:sz w:val="15"/>
          <w:szCs w:val="15"/>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40"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48"/>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payors;</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related to healthcare reform, pricing, coverage and reimbursement and other regulatory changes, which could reduce our revenue.</w:t>
      </w:r>
    </w:p>
    <w:p>
      <w:pPr>
        <w:spacing w:after="0" w:line="21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5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payor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payors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Coverage of our screening products that we may develop may also depend, in whole or in part, on whether payors determine, or courts and/or regulatory authorities determine, coverage is required under applicable federal or state laws mandating coverage of certain cancer screening services.</w:t>
      </w:r>
    </w:p>
    <w:p>
      <w:pPr>
        <w:spacing w:after="0" w:line="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payors may disagree about how these</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Further, in June 2022, the U.S. Supreme Court in </w:t>
      </w:r>
      <w:r>
        <w:rPr>
          <w:rFonts w:ascii="Arial" w:cs="Arial" w:eastAsia="Arial" w:hAnsi="Arial"/>
          <w:sz w:val="18"/>
          <w:szCs w:val="18"/>
          <w:i w:val="1"/>
          <w:iCs w:val="1"/>
          <w:color w:val="auto"/>
        </w:rPr>
        <w:t>Dobbs v. Jackson Women's Health Organization</w:t>
      </w:r>
      <w:r>
        <w:rPr>
          <w:rFonts w:ascii="Arial" w:cs="Arial" w:eastAsia="Arial" w:hAnsi="Arial"/>
          <w:sz w:val="18"/>
          <w:szCs w:val="18"/>
          <w:color w:val="auto"/>
        </w:rPr>
        <w:t xml:space="preserve"> reversed </w:t>
      </w:r>
      <w:r>
        <w:rPr>
          <w:rFonts w:ascii="Arial" w:cs="Arial" w:eastAsia="Arial" w:hAnsi="Arial"/>
          <w:sz w:val="18"/>
          <w:szCs w:val="18"/>
          <w:i w:val="1"/>
          <w:iCs w:val="1"/>
          <w:color w:val="auto"/>
        </w:rPr>
        <w:t>Roe v. Wade</w:t>
      </w:r>
      <w:r>
        <w:rPr>
          <w:rFonts w:ascii="Arial" w:cs="Arial" w:eastAsia="Arial" w:hAnsi="Arial"/>
          <w:sz w:val="18"/>
          <w:szCs w:val="18"/>
          <w:color w:val="auto"/>
        </w:rPr>
        <w:t xml:space="preserve"> by holding that there is no constitutional right to abortion. Consequently, certain states have recently enacted or proposed restrictive abortion laws that may also implicate our reproductive health and women’s health screening products, which may decrease the demand for or coverage of our reproductive health and women’s health screening products. We cannot predict the timing or impact of any future rulemaking, court decisions or other changes in the law, or in how such laws, once enacted, would be interpreted and enforced.</w:t>
      </w:r>
    </w:p>
    <w:p>
      <w:pPr>
        <w:spacing w:after="0" w:line="15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Outside of the U.S., we would largely depend on public or government-controlled payors for coverage of our oncology tests. As compared to many more routine diagnostic tests, our oncology tests are more complicated, expensive and are performed in a central, specialized lab. In order to accommodate the unique characteristics of our diagnostic products, public payors in certain non-U.S. markets have designed reimbursement frameworks specifically for each test type. These payors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payors covering the test or the number of orders placed. Public payors could condition reimbursement of our tests upon performance of our tests locally or, even in laboratories owned or operated by the payors.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payors or patients.</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increasingly complex taxation rules and practices, which may affect how we conduct our business and our results of operations.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3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6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our proprietary technologies under certain jurisdictions and legal regimes could harm our competitive position.</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adversely affect our ability to obtain commercially relevant or competitively advantageous patent protection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subsequent case law, affect the legal concept of subject matter eligibility by seemingly narrowing the scope of the statute defining patentable inventions.</w:t>
      </w:r>
    </w:p>
    <w:p>
      <w:pPr>
        <w:spacing w:after="0" w:line="16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5"/>
          <w:szCs w:val="15"/>
          <w:i w:val="1"/>
          <w:iCs w:val="1"/>
          <w:color w:val="auto"/>
        </w:rPr>
        <w:t>Mayo, Association for Molecular Pathology v. Myriad Genetics, Inc.</w:t>
      </w:r>
      <w:r>
        <w:rPr>
          <w:rFonts w:ascii="Arial" w:cs="Arial" w:eastAsia="Arial" w:hAnsi="Arial"/>
          <w:sz w:val="15"/>
          <w:szCs w:val="15"/>
          <w:color w:val="auto"/>
        </w:rPr>
        <w:t xml:space="preserve">, and </w:t>
      </w:r>
      <w:r>
        <w:rPr>
          <w:rFonts w:ascii="Arial" w:cs="Arial" w:eastAsia="Arial" w:hAnsi="Arial"/>
          <w:sz w:val="15"/>
          <w:szCs w:val="15"/>
          <w:i w:val="1"/>
          <w:iCs w:val="1"/>
          <w:color w:val="auto"/>
        </w:rPr>
        <w:t>Alice</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Corporation Pty. Ltd. v. CLS Bank International</w:t>
      </w:r>
      <w:r>
        <w:rPr>
          <w:rFonts w:ascii="Arial" w:cs="Arial" w:eastAsia="Arial" w:hAnsi="Arial"/>
          <w:sz w:val="15"/>
          <w:szCs w:val="15"/>
          <w:color w:val="auto"/>
        </w:rPr>
        <w:t>, and others. The guidance indicates that claims directed to a law of nature, a natural phenomenon, or an</w:t>
      </w:r>
      <w:r>
        <w:rPr>
          <w:rFonts w:ascii="Arial" w:cs="Arial" w:eastAsia="Arial" w:hAnsi="Arial"/>
          <w:sz w:val="15"/>
          <w:szCs w:val="15"/>
          <w:i w:val="1"/>
          <w:iCs w:val="1"/>
          <w:color w:val="auto"/>
        </w:rPr>
        <w:t xml:space="preserve"> </w:t>
      </w:r>
      <w:r>
        <w:rPr>
          <w:rFonts w:ascii="Arial" w:cs="Arial" w:eastAsia="Arial" w:hAnsi="Arial"/>
          <w:sz w:val="15"/>
          <w:szCs w:val="15"/>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w:t>
      </w: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5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3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6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4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4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7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payors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5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payors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4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6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spacing w:after="0" w:line="12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w:t>
      </w: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of a trend toward more stringent privacy legislation, which could increase our potential liability and adversely affect our business, results of operations, and financial condition.</w:t>
      </w:r>
    </w:p>
    <w:p>
      <w:pPr>
        <w:spacing w:after="0" w:line="1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6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21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7"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202" w:lineRule="exact"/>
        <w:rPr>
          <w:rFonts w:ascii="Arial" w:cs="Arial" w:eastAsia="Arial" w:hAnsi="Arial"/>
          <w:sz w:val="17"/>
          <w:szCs w:val="17"/>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that the Acquisition disrupts our current plans and operations or affects our ability to retain or recruit key employees;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the Acquisition on our business relationships (including, without limitation customers, strategic partners, collaborators and suppliers), operating results and business generally;</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officers or significant stockholders or the perception that such sales could occur;</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comply with the requirements of the Nasdaq;</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9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62"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Charter and Restated Bylaws, as well as provisions of Delaware law, could impair a takeover attempt.</w:t>
      </w:r>
    </w:p>
    <w:p>
      <w:pPr>
        <w:spacing w:after="0" w:line="21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19"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Class A common stock; and</w:t>
      </w:r>
    </w:p>
    <w:p>
      <w:pPr>
        <w:spacing w:after="0" w:line="15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4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6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41"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Restated Bylaws or as to which the General Corporation Law confers jurisdiction on the Court of Chancery of the State of Delaware:</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5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June 30,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0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Included on our balance sheet as of June 30, 2022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had outstanding 379,896,799 shares of Class A common stock as of June 30, 2022. We have filed a registration statement which registers the offer and sale from time to time by certain selling stockholders of up to 160,864,198 shares of our Class A common stock, although the 110,864,198 shares registered on behalf of OPKO pursuant to this registration statement will be subject to transfer restrictions pursuant to the shareholder agreements that were entered into in connection with the Acquisition. In addition, we have filed a separate registration statement that the registers the offer and sale from time to time by certain selling security holders of up to an additional 229,657,978 shares of our Class A common stock. To the extent shares are sold into the market pursuant to these effective registration statements, under Rule 144 under the Securities Act or otherwise, particularly in substantial quantities and including following the end of the transfer restrictions provided for in the shareholder agreements in the case of OPKO and the other holders party such shareholder agreements, the market price of our Class A common stock could decline.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exercise price for the public warrants is $11.50 per share of Class A common stock. There is no guarantee that the public warrants will ever be in the money prior to their expiration, and as such, the public warrants may expire worthless.</w:t>
      </w:r>
    </w:p>
    <w:p>
      <w:pPr>
        <w:spacing w:after="0" w:line="15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7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Class A common stock and public warrants are listed on the Nasdaq under the symbols “SMFR” and “SMFRW,” respectively. However, we cannot ensure that we will be able to satisfy the continued listing standards of Nasdaq, including the minimum closing bid price requirement, going forward. If we cannot satisfy the continued listing standards going forward, The Nasdaq Stock Market may commence delisting procedures against us, which could result in our Class A common stock or public warrants being removed from listing on Nasdaq. If either of our Class A common stock or public warrants were to be delisted, the liquidity of our Class A common stock or warrants could be adversely affected and the market price of our Class A common stock or warrants could decrease. Delisting could also adversely affect our securityholders’ ability to trade or obtain quotations on our securities because of lower trading volumes and transaction delays. These factors could contribute to lower prices and larger spreads in the bid and ask price for our securities. Investors may also not be able to resell their Class A common stock or warrants at or above the price they paid for such securities or at all.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3" w:lineRule="exact"/>
        <w:rPr>
          <w:sz w:val="20"/>
          <w:szCs w:val="20"/>
          <w:color w:val="auto"/>
        </w:rPr>
      </w:pPr>
    </w:p>
    <w:p>
      <w:pPr>
        <w:ind w:left="320" w:right="280"/>
        <w:spacing w:after="0" w:line="264" w:lineRule="auto"/>
        <w:rPr>
          <w:sz w:val="20"/>
          <w:szCs w:val="20"/>
          <w:color w:val="auto"/>
        </w:rPr>
      </w:pPr>
      <w:r>
        <w:rPr>
          <w:rFonts w:ascii="Arial" w:cs="Arial" w:eastAsia="Arial" w:hAnsi="Arial"/>
          <w:sz w:val="18"/>
          <w:szCs w:val="18"/>
          <w:color w:val="auto"/>
        </w:rPr>
        <w:t>The information required by this Item 2 related to the Acquisition PIPE Investment is contained in the Current Report on Form 8-K, filed with SEC on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w:t>
      </w:r>
      <w:r>
        <w:rPr>
          <w:rFonts w:ascii="Arial" w:cs="Arial" w:eastAsia="Arial" w:hAnsi="Arial"/>
          <w:sz w:val="18"/>
          <w:szCs w:val="18"/>
          <w:color w:val="auto"/>
        </w:rPr>
        <w:t>s</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Associated with Exit or Disposal Activities.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August 11, 2022, the Board of Directors approved a plan to exit the Company’s somatic tumor testing business, including the planned closure of its laboratory in Branford, CT, effective December 31, 2022. In connection with the plan, the Company is also eliminating approximately 250 positions, representing about 13% of its workforce, which, combined with the Company’s prior reductions in force during 2022, will result in the elimination of approximately 30% of the roles from the Legacy Sema4 business. As a result of this decision, the Company currently estimates the impact of these actions to result in between $8.5 million and ### of cash charges primarily related to severance packages offered to the employees impacted by the plan to be incurred primarily during the second half of the year. The amount of this expected charge is an estimate, and the amount and timing of actual charges may vary due to a variety of factors. The Company also expects to incur non-cash charges, which it is currently not able to be estimated.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Directors or Certain Officers.</w:t>
      </w:r>
    </w:p>
    <w:p>
      <w:pPr>
        <w:spacing w:after="0" w:line="230" w:lineRule="exact"/>
        <w:rPr>
          <w:sz w:val="20"/>
          <w:szCs w:val="20"/>
          <w:color w:val="auto"/>
        </w:rPr>
      </w:pPr>
    </w:p>
    <w:p>
      <w:pPr>
        <w:jc w:val="both"/>
        <w:ind w:right="260" w:firstLine="318"/>
        <w:spacing w:after="0" w:line="239" w:lineRule="auto"/>
        <w:rPr>
          <w:sz w:val="20"/>
          <w:szCs w:val="20"/>
          <w:color w:val="auto"/>
        </w:rPr>
      </w:pPr>
      <w:r>
        <w:rPr>
          <w:rFonts w:ascii="Arial" w:cs="Arial" w:eastAsia="Arial" w:hAnsi="Arial"/>
          <w:sz w:val="18"/>
          <w:szCs w:val="18"/>
          <w:color w:val="auto"/>
        </w:rPr>
        <w:t>On August 11, 2022, our Board of Directors approved, and on August 12, 2022, Eric Schadt, Ph.D., our President and Chief Research &amp; Development Officer, and we mutually agreed the terms under which Dr. Schadt will leave us to pursue other career opportunities. Dr. Schadt’s departure is not related to any disagreement with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with Certain Officers</w:t>
      </w:r>
      <w:r>
        <w:rPr>
          <w:rFonts w:ascii="Arial" w:cs="Arial" w:eastAsia="Arial" w:hAnsi="Arial"/>
          <w:sz w:val="18"/>
          <w:szCs w:val="18"/>
          <w:color w:val="auto"/>
        </w:rPr>
        <w:t>.</w:t>
      </w:r>
    </w:p>
    <w:p>
      <w:pPr>
        <w:spacing w:after="0" w:line="1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Dr. Schadt’s departure, we and Dr. Schadt have entered into a Separation Agreement (the “Separation Agreement”), pursuant to which Dr. Schadt will receive severance in the form of 24-months of continued salary, 24 months of reimbursement of COBRA continuation benefits, and an extended exercise period for certain of his outstanding stock options, in exchange for a customary release of claims against us.</w:t>
      </w:r>
    </w:p>
    <w:p>
      <w:pPr>
        <w:spacing w:after="0" w:line="131"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foregoing description of the Separation Agreement does not purport to be complete and is qualified in its entirety by reference to the full text of the Separation Agreement, a copy of which is attached as Exhibit 10.6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Certain Officers.</w:t>
      </w:r>
    </w:p>
    <w:p>
      <w:pPr>
        <w:spacing w:after="0" w:line="230"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auto"/>
        </w:rPr>
        <w:t>In connection with Dr. Schadt’s departure, on August 11, 2022, the Board of Directors approved the appointment of Katherine Stueland, our current Chief Executive Officer and a director, to also be our President, with such appointment to become effective as of August 15, 2022.</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Ms. Stueland’s biographical information is incorporated herein by reference as set forth in our definitive proxy statement filed with the SEC on March 31, 2022 (the “Proxy Statement”).</w:t>
      </w:r>
    </w:p>
    <w:p>
      <w:pPr>
        <w:spacing w:after="0" w:line="207"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The information regarding family relationships between Ms. Stueland and any our directors or executive officers required to reported pursuant to Item 401(d) of Regulation S-K, and relationships or related transactions between Ms. Stueland and us that are required to be reported pursuant to Item 404(a) of Regulation S-K, is incorporated herein by reference as set forth in the Proxy Statement and our Current Report on Form 8-K filed with the SEC on May 2,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with Certain Officers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In connection with Dr. Schadt’s departure, we and Dr. Schadt have entered into a Separation Agreement (the “Separation Agreement”), pursuant to which Dr. Schadt will receive severance in the form of 24-months of continued salary, 24 months of reimbursement of COBRA continuation benefits, and an extended exercise period for certain of his outstanding stock options, in exchange for a customary release of claims against us.</w:t>
      </w:r>
    </w:p>
    <w:p>
      <w:pPr>
        <w:spacing w:after="0" w:line="197"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The foregoing description of the Separation Agreement does not purport to be complete and is qualified in its entirety by reference to the full text of the Separation Agreement, a copy of which is attached as Exhibit 10.6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Events</w:t>
      </w:r>
    </w:p>
    <w:p>
      <w:pPr>
        <w:spacing w:after="0" w:line="230" w:lineRule="exact"/>
        <w:rPr>
          <w:sz w:val="20"/>
          <w:szCs w:val="20"/>
          <w:color w:val="auto"/>
        </w:rPr>
      </w:pPr>
    </w:p>
    <w:p>
      <w:pPr>
        <w:ind w:right="200" w:firstLine="318"/>
        <w:spacing w:after="0" w:line="233" w:lineRule="auto"/>
        <w:rPr>
          <w:sz w:val="20"/>
          <w:szCs w:val="20"/>
          <w:color w:val="auto"/>
        </w:rPr>
      </w:pPr>
      <w:r>
        <w:rPr>
          <w:rFonts w:ascii="Arial" w:cs="Arial" w:eastAsia="Arial" w:hAnsi="Arial"/>
          <w:sz w:val="18"/>
          <w:szCs w:val="18"/>
          <w:color w:val="auto"/>
        </w:rPr>
        <w:t>In addition to the management changes discussed above, Matthew Davis, formerly Head of AI &amp; Data at Invitae Corp. (NYSE: NVTA), is joining us as Chief Technology and Product Officer. Mr. Davis will work in close partnership with Chief Science Officer, Gustavo Stolovitzky, to drive scientific and product innovation to deliver on our data strategy for health systems and biopharma partners. Further, Daniel Clark, our general counsel, and Anthony Prentice, our Chief Product Officer, will be leaving us to pursue other career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0"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180" w:type="dxa"/>
            <w:vAlign w:val="bottom"/>
            <w:tcBorders>
              <w:bottom w:val="single" w:sz="8" w:color="CCEEFF"/>
            </w:tcBorders>
          </w:tcPr>
          <w:p>
            <w:pPr>
              <w:spacing w:after="0"/>
              <w:rPr>
                <w:sz w:val="20"/>
                <w:szCs w:val="20"/>
                <w:color w:val="auto"/>
              </w:rPr>
            </w:pPr>
          </w:p>
        </w:tc>
        <w:tc>
          <w:tcPr>
            <w:tcW w:w="4060" w:type="dxa"/>
            <w:vAlign w:val="bottom"/>
            <w:tcBorders>
              <w:top w:val="single" w:sz="8" w:color="auto"/>
              <w:bottom w:val="single" w:sz="8" w:color="auto"/>
            </w:tcBorders>
            <w:gridSpan w:val="20"/>
          </w:tcPr>
          <w:p>
            <w:pPr>
              <w:spacing w:after="0"/>
              <w:rPr>
                <w:sz w:val="20"/>
                <w:szCs w:val="20"/>
                <w:color w:val="auto"/>
              </w:rPr>
            </w:pPr>
            <w:r>
              <w:rPr>
                <w:rFonts w:ascii="Arial" w:cs="Arial" w:eastAsia="Arial" w:hAnsi="Arial"/>
                <w:sz w:val="16"/>
                <w:szCs w:val="16"/>
                <w:b w:val="1"/>
                <w:bCs w:val="1"/>
                <w:color w:val="auto"/>
              </w:rPr>
              <w:t>Description of Exhibit</w:t>
            </w:r>
          </w:p>
        </w:tc>
        <w:tc>
          <w:tcPr>
            <w:tcW w:w="160" w:type="dxa"/>
            <w:vAlign w:val="bottom"/>
            <w:tcBorders>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Exhibit</w:t>
            </w:r>
          </w:p>
        </w:tc>
        <w:tc>
          <w:tcPr>
            <w:tcW w:w="1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Filed Herewith</w:t>
            </w: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w w:val="95"/>
              </w:rPr>
            </w:pPr>
            <w:hyperlink r:id="rId34">
              <w:r>
                <w:rPr>
                  <w:rFonts w:ascii="Arial" w:cs="Arial" w:eastAsia="Arial" w:hAnsi="Arial"/>
                  <w:sz w:val="16"/>
                  <w:szCs w:val="16"/>
                  <w:color w:val="0000FF"/>
                  <w:w w:val="95"/>
                </w:rPr>
                <w:t>Certificate of Amendment to the Third Amended and Restated</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80" w:type="dxa"/>
            <w:vAlign w:val="bottom"/>
            <w:tcBorders>
              <w:top w:val="single" w:sz="8" w:color="0000FF"/>
            </w:tcBorders>
            <w:gridSpan w:val="18"/>
            <w:shd w:val="clear" w:color="auto" w:fill="CCEEFF"/>
          </w:tcPr>
          <w:p>
            <w:pPr>
              <w:spacing w:after="0" w:line="152" w:lineRule="exact"/>
              <w:rPr>
                <w:rFonts w:ascii="Arial" w:cs="Arial" w:eastAsia="Arial" w:hAnsi="Arial"/>
                <w:sz w:val="16"/>
                <w:szCs w:val="16"/>
                <w:color w:val="0000FF"/>
              </w:rPr>
            </w:pPr>
            <w:hyperlink r:id="rId34">
              <w:r>
                <w:rPr>
                  <w:rFonts w:ascii="Arial" w:cs="Arial" w:eastAsia="Arial" w:hAnsi="Arial"/>
                  <w:sz w:val="16"/>
                  <w:szCs w:val="16"/>
                  <w:color w:val="0000FF"/>
                </w:rPr>
                <w:t>Certificate of Incorporation of Sema4 Holdings Corp.</w:t>
              </w:r>
            </w:hyperlink>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w w:val="96"/>
              </w:rPr>
            </w:pPr>
            <w:hyperlink r:id="rId35">
              <w:r>
                <w:rPr>
                  <w:rFonts w:ascii="Arial" w:cs="Arial" w:eastAsia="Arial" w:hAnsi="Arial"/>
                  <w:sz w:val="16"/>
                  <w:szCs w:val="16"/>
                  <w:color w:val="0000FF"/>
                  <w:w w:val="96"/>
                </w:rPr>
                <w:t>Transition Services Agreement, dated as of April 29, 2022, by</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6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rPr>
            </w:pPr>
            <w:hyperlink r:id="rId35">
              <w:r>
                <w:rPr>
                  <w:rFonts w:ascii="Arial" w:cs="Arial" w:eastAsia="Arial" w:hAnsi="Arial"/>
                  <w:sz w:val="16"/>
                  <w:szCs w:val="16"/>
                  <w:color w:val="0000FF"/>
                </w:rPr>
                <w:t xml:space="preserve">and between GeneDx, Inc. and OPKO Health, </w:t>
              </w:r>
              <w:r>
                <w:rPr>
                  <w:rFonts w:ascii="Arial" w:cs="Arial" w:eastAsia="Arial" w:hAnsi="Arial"/>
                  <w:sz w:val="16"/>
                  <w:szCs w:val="16"/>
                  <w:color w:val="000000"/>
                </w:rPr>
                <w:t>Inc</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rPr>
            </w:pPr>
            <w:hyperlink r:id="rId36">
              <w:r>
                <w:rPr>
                  <w:rFonts w:ascii="Arial" w:cs="Arial" w:eastAsia="Arial" w:hAnsi="Arial"/>
                  <w:sz w:val="16"/>
                  <w:szCs w:val="16"/>
                  <w:color w:val="0000FF"/>
                </w:rPr>
                <w:t>Employment Agreement, dated as of January 14, 2022, as</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2"/>
        </w:trPr>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700" w:type="dxa"/>
            <w:vAlign w:val="bottom"/>
            <w:tcBorders>
              <w:top w:val="single" w:sz="8" w:color="0000FF"/>
              <w:bottom w:val="single" w:sz="8" w:color="0000FF"/>
            </w:tcBorders>
            <w:gridSpan w:val="11"/>
            <w:shd w:val="clear" w:color="auto" w:fill="CCEEFF"/>
          </w:tcPr>
          <w:p>
            <w:pPr>
              <w:spacing w:after="0" w:line="152" w:lineRule="exact"/>
              <w:rPr>
                <w:rFonts w:ascii="Arial" w:cs="Arial" w:eastAsia="Arial" w:hAnsi="Arial"/>
                <w:sz w:val="16"/>
                <w:szCs w:val="16"/>
                <w:color w:val="0000FF"/>
                <w:w w:val="88"/>
              </w:rPr>
            </w:pPr>
            <w:hyperlink r:id="rId36">
              <w:r>
                <w:rPr>
                  <w:rFonts w:ascii="Arial" w:cs="Arial" w:eastAsia="Arial" w:hAnsi="Arial"/>
                  <w:sz w:val="16"/>
                  <w:szCs w:val="16"/>
                  <w:color w:val="0000FF"/>
                  <w:w w:val="88"/>
                </w:rPr>
                <w:t>amended April 29, 2022, by and between Sema4 Holdings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8"/>
        </w:trPr>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220" w:type="dxa"/>
            <w:vAlign w:val="bottom"/>
            <w:gridSpan w:val="21"/>
            <w:shd w:val="clear" w:color="auto" w:fill="CCEEFF"/>
          </w:tcPr>
          <w:p>
            <w:pPr>
              <w:spacing w:after="0" w:line="165" w:lineRule="exact"/>
              <w:rPr>
                <w:rFonts w:ascii="Arial" w:cs="Arial" w:eastAsia="Arial" w:hAnsi="Arial"/>
                <w:sz w:val="16"/>
                <w:szCs w:val="16"/>
                <w:color w:val="0000FF"/>
              </w:rPr>
            </w:pPr>
            <w:hyperlink r:id="rId36">
              <w:r>
                <w:rPr>
                  <w:rFonts w:ascii="Arial" w:cs="Arial" w:eastAsia="Arial" w:hAnsi="Arial"/>
                  <w:sz w:val="16"/>
                  <w:szCs w:val="16"/>
                  <w:color w:val="0000FF"/>
                </w:rPr>
                <w:t>Corp. and Katherine Stueland.</w:t>
              </w:r>
            </w:hyperlink>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10.3</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w w:val="96"/>
              </w:rPr>
            </w:pPr>
            <w:hyperlink r:id="rId37">
              <w:r>
                <w:rPr>
                  <w:rFonts w:ascii="Arial" w:cs="Arial" w:eastAsia="Arial" w:hAnsi="Arial"/>
                  <w:sz w:val="16"/>
                  <w:szCs w:val="16"/>
                  <w:color w:val="0000FF"/>
                  <w:w w:val="96"/>
                </w:rPr>
                <w:t>Amendment No.1 to the Amended and Restated Employment</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06/14/2022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2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rPr>
            </w:pPr>
            <w:hyperlink r:id="rId37">
              <w:r>
                <w:rPr>
                  <w:rFonts w:ascii="Arial" w:cs="Arial" w:eastAsia="Arial" w:hAnsi="Arial"/>
                  <w:sz w:val="16"/>
                  <w:szCs w:val="16"/>
                  <w:color w:val="0000FF"/>
                </w:rPr>
                <w:t>of Agreement of Eric Schadt, dated June 14, 2022.</w:t>
              </w:r>
            </w:hyperlink>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10.4</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rPr>
            </w:pPr>
            <w:hyperlink r:id="rId38">
              <w:r>
                <w:rPr>
                  <w:rFonts w:ascii="Arial" w:cs="Arial" w:eastAsia="Arial" w:hAnsi="Arial"/>
                  <w:sz w:val="16"/>
                  <w:szCs w:val="16"/>
                  <w:color w:val="0000FF"/>
                </w:rPr>
                <w:t>Consulting Agreement with Isaac Ro, dated as of June 14,</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06/14/2022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rFonts w:ascii="Arial" w:cs="Arial" w:eastAsia="Arial" w:hAnsi="Arial"/>
                <w:sz w:val="16"/>
                <w:szCs w:val="16"/>
                <w:color w:val="0000FF"/>
              </w:rPr>
            </w:pPr>
            <w:hyperlink r:id="rId38">
              <w:r>
                <w:rPr>
                  <w:rFonts w:ascii="Arial" w:cs="Arial" w:eastAsia="Arial" w:hAnsi="Arial"/>
                  <w:sz w:val="16"/>
                  <w:szCs w:val="16"/>
                  <w:color w:val="0000FF"/>
                </w:rPr>
                <w:t>2022.</w:t>
              </w:r>
            </w:hyperlink>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10.5</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w w:val="99"/>
              </w:rPr>
            </w:pPr>
            <w:hyperlink r:id="rId39">
              <w:r>
                <w:rPr>
                  <w:rFonts w:ascii="Arial" w:cs="Arial" w:eastAsia="Arial" w:hAnsi="Arial"/>
                  <w:sz w:val="16"/>
                  <w:szCs w:val="16"/>
                  <w:color w:val="0000FF"/>
                  <w:w w:val="99"/>
                </w:rPr>
                <w:t>Separation Agreement and General Release with Isaac Ro,</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740" w:type="dxa"/>
            <w:vAlign w:val="bottom"/>
            <w:tcBorders>
              <w:top w:val="single" w:sz="8" w:color="0000FF"/>
            </w:tcBorders>
            <w:gridSpan w:val="13"/>
            <w:shd w:val="clear" w:color="auto" w:fill="CCEEFF"/>
          </w:tcPr>
          <w:p>
            <w:pPr>
              <w:spacing w:after="0" w:line="152" w:lineRule="exact"/>
              <w:rPr>
                <w:rFonts w:ascii="Arial" w:cs="Arial" w:eastAsia="Arial" w:hAnsi="Arial"/>
                <w:sz w:val="16"/>
                <w:szCs w:val="16"/>
                <w:color w:val="0000FF"/>
              </w:rPr>
            </w:pPr>
            <w:hyperlink r:id="rId39">
              <w:r>
                <w:rPr>
                  <w:rFonts w:ascii="Arial" w:cs="Arial" w:eastAsia="Arial" w:hAnsi="Arial"/>
                  <w:sz w:val="16"/>
                  <w:szCs w:val="16"/>
                  <w:color w:val="0000FF"/>
                </w:rPr>
                <w:t>dated as of August 11, 2022</w:t>
              </w:r>
            </w:hyperlink>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10.6</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w w:val="98"/>
              </w:rPr>
            </w:pPr>
            <w:hyperlink r:id="rId40">
              <w:r>
                <w:rPr>
                  <w:rFonts w:ascii="Arial" w:cs="Arial" w:eastAsia="Arial" w:hAnsi="Arial"/>
                  <w:sz w:val="16"/>
                  <w:szCs w:val="16"/>
                  <w:color w:val="0000FF"/>
                  <w:w w:val="98"/>
                </w:rPr>
                <w:t>Separation Agreement, dated as of August 12, 2022, by and</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800" w:type="dxa"/>
            <w:vAlign w:val="bottom"/>
            <w:tcBorders>
              <w:top w:val="single" w:sz="8" w:color="0000FF"/>
            </w:tcBorders>
            <w:gridSpan w:val="14"/>
            <w:shd w:val="clear" w:color="auto" w:fill="CCEEFF"/>
          </w:tcPr>
          <w:p>
            <w:pPr>
              <w:spacing w:after="0" w:line="152" w:lineRule="exact"/>
              <w:rPr>
                <w:rFonts w:ascii="Arial" w:cs="Arial" w:eastAsia="Arial" w:hAnsi="Arial"/>
                <w:sz w:val="16"/>
                <w:szCs w:val="16"/>
                <w:color w:val="0000FF"/>
              </w:rPr>
            </w:pPr>
            <w:hyperlink r:id="rId40">
              <w:r>
                <w:rPr>
                  <w:rFonts w:ascii="Arial" w:cs="Arial" w:eastAsia="Arial" w:hAnsi="Arial"/>
                  <w:sz w:val="16"/>
                  <w:szCs w:val="16"/>
                  <w:color w:val="0000FF"/>
                </w:rPr>
                <w:t>between Sema4 Holdings Corp. and Eric Schadt</w:t>
              </w:r>
            </w:hyperlink>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6"/>
              </w:rPr>
              <w:t>31.1*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rPr>
            </w:pPr>
            <w:hyperlink r:id="rId41">
              <w:r>
                <w:rPr>
                  <w:rFonts w:ascii="Arial" w:cs="Arial" w:eastAsia="Arial" w:hAnsi="Arial"/>
                  <w:sz w:val="16"/>
                  <w:szCs w:val="16"/>
                  <w:color w:val="0000FF"/>
                </w:rPr>
                <w:t>Certification of Principal Executive Officer Pursuant to</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1"/>
            <w:shd w:val="clear" w:color="auto" w:fill="CCEEFF"/>
          </w:tcPr>
          <w:p>
            <w:pPr>
              <w:spacing w:after="0" w:line="152" w:lineRule="exact"/>
              <w:rPr>
                <w:rFonts w:ascii="Arial" w:cs="Arial" w:eastAsia="Arial" w:hAnsi="Arial"/>
                <w:sz w:val="16"/>
                <w:szCs w:val="16"/>
                <w:color w:val="0000FF"/>
                <w:w w:val="96"/>
              </w:rPr>
            </w:pPr>
            <w:hyperlink r:id="rId41">
              <w:r>
                <w:rPr>
                  <w:rFonts w:ascii="Arial" w:cs="Arial" w:eastAsia="Arial" w:hAnsi="Arial"/>
                  <w:sz w:val="16"/>
                  <w:szCs w:val="16"/>
                  <w:color w:val="0000FF"/>
                  <w:w w:val="96"/>
                </w:rPr>
                <w:t>Securities Exchange Act Rules 13a-14(a) and 15(d)-14(a), as</w:t>
              </w:r>
            </w:hyperlink>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66"/>
        </w:trPr>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65" w:lineRule="exact"/>
              <w:rPr>
                <w:rFonts w:ascii="Arial" w:cs="Arial" w:eastAsia="Arial" w:hAnsi="Arial"/>
                <w:sz w:val="16"/>
                <w:szCs w:val="16"/>
                <w:color w:val="0000FF"/>
                <w:w w:val="95"/>
              </w:rPr>
            </w:pPr>
            <w:hyperlink r:id="rId41">
              <w:r>
                <w:rPr>
                  <w:rFonts w:ascii="Arial" w:cs="Arial" w:eastAsia="Arial" w:hAnsi="Arial"/>
                  <w:sz w:val="16"/>
                  <w:szCs w:val="16"/>
                  <w:color w:val="0000FF"/>
                  <w:w w:val="95"/>
                </w:rPr>
                <w:t>adopted Pursuant to Section 302 of the Sarbanes-Oxley Act of</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rFonts w:ascii="Arial" w:cs="Arial" w:eastAsia="Arial" w:hAnsi="Arial"/>
                <w:sz w:val="16"/>
                <w:szCs w:val="16"/>
                <w:color w:val="0000FF"/>
              </w:rPr>
            </w:pPr>
            <w:hyperlink r:id="rId41">
              <w:r>
                <w:rPr>
                  <w:rFonts w:ascii="Arial" w:cs="Arial" w:eastAsia="Arial" w:hAnsi="Arial"/>
                  <w:sz w:val="16"/>
                  <w:szCs w:val="16"/>
                  <w:color w:val="0000FF"/>
                </w:rPr>
                <w:t>2002.</w:t>
              </w:r>
            </w:hyperlink>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6"/>
              </w:rPr>
              <w:t>31.2*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rPr>
            </w:pPr>
            <w:hyperlink r:id="rId42">
              <w:r>
                <w:rPr>
                  <w:rFonts w:ascii="Arial" w:cs="Arial" w:eastAsia="Arial" w:hAnsi="Arial"/>
                  <w:sz w:val="16"/>
                  <w:szCs w:val="16"/>
                  <w:color w:val="0000FF"/>
                </w:rPr>
                <w:t>Certification of Principal Financial Officer Pursuant to</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CCEEFF"/>
            </w:tcBorders>
            <w:gridSpan w:val="6"/>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300" w:type="dxa"/>
            <w:vAlign w:val="bottom"/>
            <w:gridSpan w:val="7"/>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1"/>
            <w:shd w:val="clear" w:color="auto" w:fill="CCEEFF"/>
          </w:tcPr>
          <w:p>
            <w:pPr>
              <w:spacing w:after="0" w:line="152" w:lineRule="exact"/>
              <w:rPr>
                <w:rFonts w:ascii="Arial" w:cs="Arial" w:eastAsia="Arial" w:hAnsi="Arial"/>
                <w:sz w:val="16"/>
                <w:szCs w:val="16"/>
                <w:color w:val="0000FF"/>
                <w:w w:val="96"/>
              </w:rPr>
            </w:pPr>
            <w:hyperlink r:id="rId42">
              <w:r>
                <w:rPr>
                  <w:rFonts w:ascii="Arial" w:cs="Arial" w:eastAsia="Arial" w:hAnsi="Arial"/>
                  <w:sz w:val="16"/>
                  <w:szCs w:val="16"/>
                  <w:color w:val="0000FF"/>
                  <w:w w:val="96"/>
                </w:rPr>
                <w:t>Securities Exchange Act Rules 13a-14(a) and 15(d)-14(a), as</w:t>
              </w:r>
            </w:hyperlink>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65"/>
        </w:trPr>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65" w:lineRule="exact"/>
              <w:rPr>
                <w:rFonts w:ascii="Arial" w:cs="Arial" w:eastAsia="Arial" w:hAnsi="Arial"/>
                <w:sz w:val="16"/>
                <w:szCs w:val="16"/>
                <w:color w:val="0000FF"/>
                <w:w w:val="95"/>
              </w:rPr>
            </w:pPr>
            <w:hyperlink r:id="rId42">
              <w:r>
                <w:rPr>
                  <w:rFonts w:ascii="Arial" w:cs="Arial" w:eastAsia="Arial" w:hAnsi="Arial"/>
                  <w:sz w:val="16"/>
                  <w:szCs w:val="16"/>
                  <w:color w:val="0000FF"/>
                  <w:w w:val="95"/>
                </w:rPr>
                <w:t>adopted Pursuant to Section 302 of the Sarbanes-Oxley Act of</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9"/>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rFonts w:ascii="Arial" w:cs="Arial" w:eastAsia="Arial" w:hAnsi="Arial"/>
                <w:sz w:val="16"/>
                <w:szCs w:val="16"/>
                <w:color w:val="0000FF"/>
              </w:rPr>
            </w:pPr>
            <w:hyperlink r:id="rId42">
              <w:r>
                <w:rPr>
                  <w:rFonts w:ascii="Arial" w:cs="Arial" w:eastAsia="Arial" w:hAnsi="Arial"/>
                  <w:sz w:val="16"/>
                  <w:szCs w:val="16"/>
                  <w:color w:val="0000FF"/>
                </w:rPr>
                <w:t>2002.</w:t>
              </w:r>
            </w:hyperlink>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32.1**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rPr>
            </w:pPr>
            <w:hyperlink r:id="rId43">
              <w:r>
                <w:rPr>
                  <w:rFonts w:ascii="Arial" w:cs="Arial" w:eastAsia="Arial" w:hAnsi="Arial"/>
                  <w:sz w:val="16"/>
                  <w:szCs w:val="16"/>
                  <w:color w:val="0000FF"/>
                </w:rPr>
                <w:t>Certification of Principal Executive Officer Pursuant to 18</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7"/>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1"/>
            <w:shd w:val="clear" w:color="auto" w:fill="CCEEFF"/>
          </w:tcPr>
          <w:p>
            <w:pPr>
              <w:spacing w:after="0" w:line="152" w:lineRule="exact"/>
              <w:rPr>
                <w:rFonts w:ascii="Arial" w:cs="Arial" w:eastAsia="Arial" w:hAnsi="Arial"/>
                <w:sz w:val="16"/>
                <w:szCs w:val="16"/>
                <w:color w:val="0000FF"/>
                <w:w w:val="92"/>
              </w:rPr>
            </w:pPr>
            <w:hyperlink r:id="rId43">
              <w:r>
                <w:rPr>
                  <w:rFonts w:ascii="Arial" w:cs="Arial" w:eastAsia="Arial" w:hAnsi="Arial"/>
                  <w:sz w:val="16"/>
                  <w:szCs w:val="16"/>
                  <w:color w:val="0000FF"/>
                  <w:w w:val="92"/>
                </w:rPr>
                <w:t>U.S.C. Section 1350, as adopted Pursuant to Section 906 of the</w:t>
              </w:r>
            </w:hyperlink>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19"/>
            <w:shd w:val="clear" w:color="auto" w:fill="CCEEFF"/>
          </w:tcPr>
          <w:p>
            <w:pPr>
              <w:spacing w:after="0" w:line="165" w:lineRule="exact"/>
              <w:rPr>
                <w:rFonts w:ascii="Arial" w:cs="Arial" w:eastAsia="Arial" w:hAnsi="Arial"/>
                <w:sz w:val="16"/>
                <w:szCs w:val="16"/>
                <w:color w:val="0000FF"/>
              </w:rPr>
            </w:pPr>
            <w:hyperlink r:id="rId43">
              <w:r>
                <w:rPr>
                  <w:rFonts w:ascii="Arial" w:cs="Arial" w:eastAsia="Arial" w:hAnsi="Arial"/>
                  <w:sz w:val="16"/>
                  <w:szCs w:val="16"/>
                  <w:color w:val="0000FF"/>
                </w:rPr>
                <w:t>Sarbanes-Oxley Act of 2002.</w:t>
              </w:r>
            </w:hyperlink>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32.2**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rPr>
            </w:pPr>
            <w:hyperlink r:id="rId44">
              <w:r>
                <w:rPr>
                  <w:rFonts w:ascii="Arial" w:cs="Arial" w:eastAsia="Arial" w:hAnsi="Arial"/>
                  <w:sz w:val="16"/>
                  <w:szCs w:val="16"/>
                  <w:color w:val="0000FF"/>
                </w:rPr>
                <w:t>Certification of Principal Financial Officer Pursuant to 18</w:t>
              </w:r>
            </w:hyperlink>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152"/>
        </w:trPr>
        <w:tc>
          <w:tcPr>
            <w:tcW w:w="8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3680" w:type="dxa"/>
            <w:vAlign w:val="bottom"/>
            <w:tcBorders>
              <w:top w:val="single" w:sz="8" w:color="0000FF"/>
            </w:tcBorders>
            <w:gridSpan w:val="10"/>
            <w:shd w:val="clear" w:color="auto" w:fill="CCEEFF"/>
          </w:tcPr>
          <w:p>
            <w:pPr>
              <w:spacing w:after="0" w:line="152" w:lineRule="exact"/>
              <w:rPr>
                <w:rFonts w:ascii="Arial" w:cs="Arial" w:eastAsia="Arial" w:hAnsi="Arial"/>
                <w:sz w:val="16"/>
                <w:szCs w:val="16"/>
                <w:color w:val="0000FF"/>
                <w:w w:val="89"/>
              </w:rPr>
            </w:pPr>
            <w:hyperlink r:id="rId44">
              <w:r>
                <w:rPr>
                  <w:rFonts w:ascii="Arial" w:cs="Arial" w:eastAsia="Arial" w:hAnsi="Arial"/>
                  <w:sz w:val="16"/>
                  <w:szCs w:val="16"/>
                  <w:color w:val="0000FF"/>
                  <w:w w:val="89"/>
                </w:rPr>
                <w:t>U.S.C. Section 1350, as adopted Pursuant to Section 906</w:t>
              </w:r>
            </w:hyperlink>
          </w:p>
        </w:tc>
        <w:tc>
          <w:tcPr>
            <w:tcW w:w="540" w:type="dxa"/>
            <w:vAlign w:val="bottom"/>
            <w:tcBorders>
              <w:top w:val="single" w:sz="8" w:color="CCEEFF"/>
            </w:tcBorders>
            <w:gridSpan w:val="11"/>
            <w:shd w:val="clear" w:color="auto" w:fill="CCEEFF"/>
          </w:tcPr>
          <w:p>
            <w:pPr>
              <w:spacing w:after="0" w:line="152" w:lineRule="exact"/>
              <w:rPr>
                <w:rFonts w:ascii="Arial" w:cs="Arial" w:eastAsia="Arial" w:hAnsi="Arial"/>
                <w:sz w:val="16"/>
                <w:szCs w:val="16"/>
                <w:color w:val="0000FF"/>
              </w:rPr>
            </w:pPr>
            <w:hyperlink r:id="rId44">
              <w:r>
                <w:rPr>
                  <w:rFonts w:ascii="Arial" w:cs="Arial" w:eastAsia="Arial" w:hAnsi="Arial"/>
                  <w:sz w:val="16"/>
                  <w:szCs w:val="16"/>
                  <w:color w:val="0000FF"/>
                </w:rPr>
                <w:t>of the</w:t>
              </w:r>
            </w:hyperlink>
          </w:p>
        </w:tc>
        <w:tc>
          <w:tcPr>
            <w:tcW w:w="1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19"/>
            <w:shd w:val="clear" w:color="auto" w:fill="CCEEFF"/>
          </w:tcPr>
          <w:p>
            <w:pPr>
              <w:spacing w:after="0" w:line="165" w:lineRule="exact"/>
              <w:rPr>
                <w:rFonts w:ascii="Arial" w:cs="Arial" w:eastAsia="Arial" w:hAnsi="Arial"/>
                <w:sz w:val="16"/>
                <w:szCs w:val="16"/>
                <w:color w:val="0000FF"/>
              </w:rPr>
            </w:pPr>
            <w:hyperlink r:id="rId44">
              <w:r>
                <w:rPr>
                  <w:rFonts w:ascii="Arial" w:cs="Arial" w:eastAsia="Arial" w:hAnsi="Arial"/>
                  <w:sz w:val="16"/>
                  <w:szCs w:val="16"/>
                  <w:color w:val="0000FF"/>
                </w:rPr>
                <w:t>Sarbanes-Oxley Act of 2002.</w:t>
              </w:r>
            </w:hyperlink>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101.INS</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XBRL Instance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6"/>
              </w:rPr>
              <w:t>101.CAL</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w w:val="98"/>
              </w:rPr>
              <w:t>XBRL Taxonomy Extension Calculation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2"/>
              </w:rPr>
              <w:t>101.SCH</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101.DEF</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7"/>
              </w:rPr>
              <w:t>101.LAB</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XBRL Taxonomy Extension Labels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7"/>
              </w:rPr>
              <w:t>101.PRE</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w w:val="96"/>
              </w:rPr>
              <w:t>XBRL Taxonomy Extension Presentation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76"/>
        </w:trPr>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104</w:t>
            </w:r>
          </w:p>
        </w:tc>
        <w:tc>
          <w:tcPr>
            <w:tcW w:w="180" w:type="dxa"/>
            <w:vAlign w:val="bottom"/>
            <w:tcBorders>
              <w:right w:val="single" w:sz="8" w:color="CCEEFF"/>
            </w:tcBorders>
            <w:shd w:val="clear" w:color="auto" w:fill="CCEEFF"/>
          </w:tcPr>
          <w:p>
            <w:pPr>
              <w:spacing w:after="0"/>
              <w:rPr>
                <w:sz w:val="15"/>
                <w:szCs w:val="15"/>
                <w:color w:val="auto"/>
              </w:rPr>
            </w:pPr>
          </w:p>
        </w:tc>
        <w:tc>
          <w:tcPr>
            <w:tcW w:w="4220" w:type="dxa"/>
            <w:vAlign w:val="bottom"/>
            <w:gridSpan w:val="21"/>
            <w:shd w:val="clear" w:color="auto" w:fill="CCEEFF"/>
          </w:tcPr>
          <w:p>
            <w:pPr>
              <w:spacing w:after="0" w:line="176" w:lineRule="exact"/>
              <w:rPr>
                <w:sz w:val="20"/>
                <w:szCs w:val="20"/>
                <w:color w:val="auto"/>
              </w:rPr>
            </w:pPr>
            <w:r>
              <w:rPr>
                <w:rFonts w:ascii="Arial" w:cs="Arial" w:eastAsia="Arial" w:hAnsi="Arial"/>
                <w:sz w:val="16"/>
                <w:szCs w:val="16"/>
                <w:color w:val="auto"/>
              </w:rPr>
              <w:t>Cover Page Interactive Data File (formatted as inline XBRL</w:t>
            </w: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X</w:t>
            </w:r>
          </w:p>
        </w:tc>
      </w:tr>
      <w:tr>
        <w:trPr>
          <w:trHeight w:val="185"/>
        </w:trPr>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w w:val="98"/>
              </w:rPr>
              <w:t>with applicable taxonomy extension information contained in</w:t>
            </w: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2"/>
        </w:trPr>
        <w:tc>
          <w:tcPr>
            <w:tcW w:w="8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Exhibits 101.)</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620"/>
          </w:cols>
          <w:pgMar w:left="320" w:top="140" w:right="9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hanging="416"/>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45" w:lineRule="exact"/>
        <w:rPr>
          <w:sz w:val="20"/>
          <w:szCs w:val="20"/>
          <w:color w:val="auto"/>
        </w:rPr>
      </w:pPr>
    </w:p>
    <w:p>
      <w:pPr>
        <w:ind w:left="440" w:right="3099" w:hanging="416"/>
        <w:spacing w:after="0" w:line="239"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200" w:lineRule="exact"/>
        <w:rPr>
          <w:sz w:val="20"/>
          <w:szCs w:val="20"/>
          <w:color w:val="auto"/>
        </w:rPr>
      </w:pPr>
    </w:p>
    <w:p>
      <w:pPr>
        <w:spacing w:after="0" w:line="3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139"/>
          </w:cols>
          <w:pgMar w:left="320" w:top="140" w:right="1440"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220" w:type="dxa"/>
            <w:vAlign w:val="bottom"/>
            <w:gridSpan w:val="2"/>
          </w:tcPr>
          <w:p>
            <w:pPr>
              <w:ind w:left="6240"/>
              <w:spacing w:after="0"/>
              <w:rPr>
                <w:sz w:val="20"/>
                <w:szCs w:val="20"/>
                <w:color w:val="auto"/>
              </w:rPr>
            </w:pPr>
            <w:r>
              <w:rPr>
                <w:rFonts w:ascii="Arial" w:cs="Arial" w:eastAsia="Arial" w:hAnsi="Arial"/>
                <w:sz w:val="18"/>
                <w:szCs w:val="18"/>
                <w:b w:val="1"/>
                <w:bCs w:val="1"/>
                <w:color w:val="auto"/>
              </w:rPr>
              <w:t>SEMA4 HOLDINGS CORP.</w:t>
            </w:r>
          </w:p>
        </w:tc>
        <w:tc>
          <w:tcPr>
            <w:tcW w:w="0" w:type="dxa"/>
            <w:vAlign w:val="bottom"/>
          </w:tcPr>
          <w:p>
            <w:pPr>
              <w:spacing w:after="0"/>
              <w:rPr>
                <w:sz w:val="1"/>
                <w:szCs w:val="1"/>
                <w:color w:val="auto"/>
              </w:rPr>
            </w:pPr>
          </w:p>
        </w:tc>
      </w:tr>
      <w:tr>
        <w:trPr>
          <w:trHeight w:val="517"/>
        </w:trPr>
        <w:tc>
          <w:tcPr>
            <w:tcW w:w="7040" w:type="dxa"/>
            <w:vAlign w:val="bottom"/>
          </w:tcPr>
          <w:p>
            <w:pPr>
              <w:spacing w:after="0"/>
              <w:rPr>
                <w:sz w:val="20"/>
                <w:szCs w:val="20"/>
                <w:color w:val="auto"/>
              </w:rPr>
            </w:pPr>
            <w:r>
              <w:rPr>
                <w:rFonts w:ascii="Arial" w:cs="Arial" w:eastAsia="Arial" w:hAnsi="Arial"/>
                <w:sz w:val="18"/>
                <w:szCs w:val="18"/>
                <w:color w:val="auto"/>
              </w:rPr>
              <w:t>Date: August 15, 2022</w:t>
            </w:r>
          </w:p>
        </w:tc>
        <w:tc>
          <w:tcPr>
            <w:tcW w:w="4180" w:type="dxa"/>
            <w:vAlign w:val="bottom"/>
          </w:tcPr>
          <w:p>
            <w:pPr>
              <w:ind w:left="20"/>
              <w:spacing w:after="0"/>
              <w:rPr>
                <w:sz w:val="20"/>
                <w:szCs w:val="20"/>
                <w:color w:val="auto"/>
              </w:rPr>
            </w:pPr>
            <w:r>
              <w:rPr>
                <w:rFonts w:ascii="Arial" w:cs="Arial" w:eastAsia="Arial" w:hAnsi="Arial"/>
                <w:sz w:val="18"/>
                <w:szCs w:val="18"/>
                <w:color w:val="auto"/>
              </w:rPr>
              <w:t>/s/ Katherine Stueland</w:t>
            </w:r>
          </w:p>
        </w:tc>
        <w:tc>
          <w:tcPr>
            <w:tcW w:w="0" w:type="dxa"/>
            <w:vAlign w:val="bottom"/>
          </w:tcPr>
          <w:p>
            <w:pPr>
              <w:spacing w:after="0"/>
              <w:rPr>
                <w:sz w:val="1"/>
                <w:szCs w:val="1"/>
                <w:color w:val="auto"/>
              </w:rPr>
            </w:pPr>
          </w:p>
        </w:tc>
      </w:tr>
      <w:tr>
        <w:trPr>
          <w:trHeight w:val="28"/>
        </w:trPr>
        <w:tc>
          <w:tcPr>
            <w:tcW w:w="7040" w:type="dxa"/>
            <w:vAlign w:val="bottom"/>
            <w:vMerge w:val="restart"/>
          </w:tcPr>
          <w:p>
            <w:pPr>
              <w:ind w:left="6240"/>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40" w:type="dxa"/>
            <w:vAlign w:val="bottom"/>
            <w:vMerge w:val="continue"/>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Katherine Stueland</w:t>
            </w:r>
          </w:p>
        </w:tc>
        <w:tc>
          <w:tcPr>
            <w:tcW w:w="0" w:type="dxa"/>
            <w:vAlign w:val="bottom"/>
          </w:tcPr>
          <w:p>
            <w:pPr>
              <w:spacing w:after="0"/>
              <w:rPr>
                <w:sz w:val="1"/>
                <w:szCs w:val="1"/>
                <w:color w:val="auto"/>
              </w:rPr>
            </w:pPr>
          </w:p>
        </w:tc>
      </w:tr>
      <w:tr>
        <w:trPr>
          <w:trHeight w:val="227"/>
        </w:trPr>
        <w:tc>
          <w:tcPr>
            <w:tcW w:w="7040" w:type="dxa"/>
            <w:vAlign w:val="bottom"/>
          </w:tcPr>
          <w:p>
            <w:pPr>
              <w:ind w:left="6240"/>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w w:val="92"/>
              </w:rPr>
              <w:t>Chief Executive Officer and Director (Principal Executive</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517"/>
        </w:trPr>
        <w:tc>
          <w:tcPr>
            <w:tcW w:w="7040" w:type="dxa"/>
            <w:vAlign w:val="bottom"/>
          </w:tcPr>
          <w:p>
            <w:pPr>
              <w:spacing w:after="0"/>
              <w:rPr>
                <w:sz w:val="20"/>
                <w:szCs w:val="20"/>
                <w:color w:val="auto"/>
              </w:rPr>
            </w:pPr>
            <w:r>
              <w:rPr>
                <w:rFonts w:ascii="Arial" w:cs="Arial" w:eastAsia="Arial" w:hAnsi="Arial"/>
                <w:sz w:val="18"/>
                <w:szCs w:val="18"/>
                <w:color w:val="auto"/>
              </w:rPr>
              <w:t>Date: August 15, 2022</w:t>
            </w:r>
          </w:p>
        </w:tc>
        <w:tc>
          <w:tcPr>
            <w:tcW w:w="4180" w:type="dxa"/>
            <w:vAlign w:val="bottom"/>
          </w:tcPr>
          <w:p>
            <w:pPr>
              <w:ind w:left="20"/>
              <w:spacing w:after="0"/>
              <w:rPr>
                <w:sz w:val="20"/>
                <w:szCs w:val="20"/>
                <w:color w:val="auto"/>
              </w:rPr>
            </w:pPr>
            <w:r>
              <w:rPr>
                <w:rFonts w:ascii="Arial" w:cs="Arial" w:eastAsia="Arial" w:hAnsi="Arial"/>
                <w:sz w:val="18"/>
                <w:szCs w:val="18"/>
                <w:color w:val="auto"/>
              </w:rPr>
              <w:t>/s/ Richard Miao</w:t>
            </w:r>
          </w:p>
        </w:tc>
        <w:tc>
          <w:tcPr>
            <w:tcW w:w="0" w:type="dxa"/>
            <w:vAlign w:val="bottom"/>
          </w:tcPr>
          <w:p>
            <w:pPr>
              <w:spacing w:after="0"/>
              <w:rPr>
                <w:sz w:val="1"/>
                <w:szCs w:val="1"/>
                <w:color w:val="auto"/>
              </w:rPr>
            </w:pPr>
          </w:p>
        </w:tc>
      </w:tr>
      <w:tr>
        <w:trPr>
          <w:trHeight w:val="28"/>
        </w:trPr>
        <w:tc>
          <w:tcPr>
            <w:tcW w:w="7040" w:type="dxa"/>
            <w:vAlign w:val="bottom"/>
            <w:vMerge w:val="restart"/>
          </w:tcPr>
          <w:p>
            <w:pPr>
              <w:ind w:left="6240"/>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40" w:type="dxa"/>
            <w:vAlign w:val="bottom"/>
            <w:vMerge w:val="continue"/>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Richard Miao</w:t>
            </w:r>
          </w:p>
        </w:tc>
        <w:tc>
          <w:tcPr>
            <w:tcW w:w="0" w:type="dxa"/>
            <w:vAlign w:val="bottom"/>
          </w:tcPr>
          <w:p>
            <w:pPr>
              <w:spacing w:after="0"/>
              <w:rPr>
                <w:sz w:val="1"/>
                <w:szCs w:val="1"/>
                <w:color w:val="auto"/>
              </w:rPr>
            </w:pPr>
          </w:p>
        </w:tc>
      </w:tr>
      <w:tr>
        <w:trPr>
          <w:trHeight w:val="227"/>
        </w:trPr>
        <w:tc>
          <w:tcPr>
            <w:tcW w:w="7040" w:type="dxa"/>
            <w:vAlign w:val="bottom"/>
          </w:tcPr>
          <w:p>
            <w:pPr>
              <w:ind w:left="6240"/>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rPr>
              <w:t>Interim Chief Financial Officer (Principal Financial</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742"/>
        </w:trPr>
        <w:tc>
          <w:tcPr>
            <w:tcW w:w="7040" w:type="dxa"/>
            <w:vAlign w:val="bottom"/>
          </w:tcPr>
          <w:p>
            <w:pPr>
              <w:ind w:left="5640"/>
              <w:spacing w:after="0"/>
              <w:rPr>
                <w:sz w:val="20"/>
                <w:szCs w:val="20"/>
                <w:color w:val="auto"/>
              </w:rPr>
            </w:pPr>
            <w:r>
              <w:rPr>
                <w:rFonts w:ascii="Arial" w:cs="Arial" w:eastAsia="Arial" w:hAnsi="Arial"/>
                <w:sz w:val="18"/>
                <w:szCs w:val="18"/>
                <w:color w:val="auto"/>
              </w:rPr>
              <w:t>111</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Roman"/>
      <w:start w:val="2"/>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lowerRoman"/>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5"/>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hyperlink" Target="https://www.sec.gov/Archives/edgar/data/1818331/000162828022011605/exhibit31-closing8xk.htm" TargetMode="External"/><Relationship Id="rId35" Type="http://schemas.openxmlformats.org/officeDocument/2006/relationships/hyperlink" Target="https://www.sec.gov/Archives/edgar/data/1818331/000162828022011605/exhibit101closing8-k.htm" TargetMode="External"/><Relationship Id="rId36" Type="http://schemas.openxmlformats.org/officeDocument/2006/relationships/hyperlink" Target="https://www.sec.gov/Archives/edgar/data/1818331/000162828022011605/exhibit102-closing8xk.htm" TargetMode="External"/><Relationship Id="rId37" Type="http://schemas.openxmlformats.org/officeDocument/2006/relationships/hyperlink" Target="https://www.sec.gov/Archives/edgar/data/1818331/000181833122000053/amendmentno1toeschadtaremp.htm" TargetMode="External"/><Relationship Id="rId38" Type="http://schemas.openxmlformats.org/officeDocument/2006/relationships/hyperlink" Target="https://www.sec.gov/Archives/edgar/data/1818331/000181833122000053/iroconsultingagreement.htm" TargetMode="External"/><Relationship Id="rId39" Type="http://schemas.openxmlformats.org/officeDocument/2006/relationships/hyperlink" Target="https://www.sec.gov/Archives/edgar/data/0001818331/000181833122000069/sema4-iroconsultingagreeme.htm" TargetMode="External"/><Relationship Id="rId40" Type="http://schemas.openxmlformats.org/officeDocument/2006/relationships/hyperlink" Target="https://www.sec.gov/Archives/edgar/data/0001818331/000181833122000069/sema4-agreementeschadt.htm" TargetMode="External"/><Relationship Id="rId41" Type="http://schemas.openxmlformats.org/officeDocument/2006/relationships/hyperlink" Target="https://www.sec.gov/Archives/edgar/data/0001818331/000181833122000069/ceocertificationfor-ex311x.htm" TargetMode="External"/><Relationship Id="rId42" Type="http://schemas.openxmlformats.org/officeDocument/2006/relationships/hyperlink" Target="https://www.sec.gov/Archives/edgar/data/0001818331/000181833122000069/cfocertificationfor-ex312x.htm" TargetMode="External"/><Relationship Id="rId43" Type="http://schemas.openxmlformats.org/officeDocument/2006/relationships/hyperlink" Target="https://www.sec.gov/Archives/edgar/data/0001818331/000181833122000069/ceocertificationfor-ex321x.htm" TargetMode="External"/><Relationship Id="rId44" Type="http://schemas.openxmlformats.org/officeDocument/2006/relationships/hyperlink" Target="https://www.sec.gov/Archives/edgar/data/0001818331/000181833122000069/cfocertificationfor-ex322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2022-08-15T18:33:59Z</dcterms:created>
  <dcterms:modified xsi:type="dcterms:W3CDTF">2022-08-15T18:33:59Z</dcterms:modified>
</cp:coreProperties>
</file>