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21, 2022</w:t>
      </w:r>
    </w:p>
    <w:p>
      <w:pPr>
        <w:spacing w:after="0" w:line="28" w:lineRule="exact"/>
        <w:rPr>
          <w:sz w:val="24"/>
          <w:szCs w:val="24"/>
          <w:color w:val="auto"/>
        </w:rPr>
      </w:pPr>
    </w:p>
    <w:p>
      <w:pPr>
        <w:ind w:left="9080"/>
        <w:spacing w:after="0"/>
        <w:rPr>
          <w:sz w:val="20"/>
          <w:szCs w:val="20"/>
          <w:color w:val="auto"/>
        </w:rPr>
      </w:pPr>
      <w:r>
        <w:rPr>
          <w:rFonts w:ascii="Arial" w:cs="Arial" w:eastAsia="Arial" w:hAnsi="Arial"/>
          <w:sz w:val="14"/>
          <w:szCs w:val="14"/>
          <w:b w:val="1"/>
          <w:bCs w:val="1"/>
          <w:color w:val="auto"/>
        </w:rPr>
        <w:t>Registration No. 333-258467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93980</wp:posOffset>
            </wp:positionV>
            <wp:extent cx="1191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92075</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94615</wp:posOffset>
            </wp:positionV>
            <wp:extent cx="119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09" w:lineRule="exact"/>
        <w:rPr>
          <w:sz w:val="24"/>
          <w:szCs w:val="24"/>
          <w:color w:val="auto"/>
        </w:rPr>
      </w:pPr>
    </w:p>
    <w:tbl>
      <w:tblPr>
        <w:tblLayout w:type="fixed"/>
        <w:tblInd w:w="900" w:type="dxa"/>
        <w:tblCellMar>
          <w:top w:w="0" w:type="dxa"/>
          <w:left w:w="0" w:type="dxa"/>
          <w:bottom w:w="0" w:type="dxa"/>
          <w:right w:w="0" w:type="dxa"/>
        </w:tblCellMar>
      </w:tblP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8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8000</w:t>
            </w:r>
          </w:p>
        </w:tc>
        <w:tc>
          <w:tcPr>
            <w:tcW w:w="250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85-1966622</w:t>
            </w:r>
          </w:p>
        </w:tc>
      </w:tr>
      <w:tr>
        <w:trPr>
          <w:trHeight w:val="147"/>
        </w:trPr>
        <w:tc>
          <w:tcPr>
            <w:tcW w:w="2860" w:type="dxa"/>
            <w:vAlign w:val="bottom"/>
          </w:tcPr>
          <w:p>
            <w:pPr>
              <w:jc w:val="center"/>
              <w:ind w:right="84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6"/>
              </w:rPr>
              <w:t>(Primary Standard Industrial</w:t>
            </w:r>
          </w:p>
        </w:tc>
        <w:tc>
          <w:tcPr>
            <w:tcW w:w="2500" w:type="dxa"/>
            <w:vAlign w:val="bottom"/>
          </w:tcPr>
          <w:p>
            <w:pPr>
              <w:jc w:val="center"/>
              <w:ind w:left="98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8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100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21" w:lineRule="auto"/>
        <w:rPr>
          <w:sz w:val="20"/>
          <w:szCs w:val="20"/>
          <w:color w:val="auto"/>
        </w:rPr>
      </w:pPr>
      <w:r>
        <w:rPr>
          <w:rFonts w:ascii="Arial" w:cs="Arial" w:eastAsia="Arial" w:hAnsi="Arial"/>
          <w:sz w:val="18"/>
          <w:szCs w:val="18"/>
          <w:b w:val="1"/>
          <w:bCs w:val="1"/>
          <w:color w:val="auto"/>
        </w:rPr>
        <w:t>Stamford, Connecticut 06902</w:t>
      </w:r>
    </w:p>
    <w:p>
      <w:pPr>
        <w:jc w:val="center"/>
        <w:spacing w:after="0" w:line="219" w:lineRule="auto"/>
        <w:rPr>
          <w:sz w:val="20"/>
          <w:szCs w:val="20"/>
          <w:color w:val="auto"/>
        </w:rPr>
      </w:pPr>
      <w:r>
        <w:rPr>
          <w:rFonts w:ascii="Arial" w:cs="Arial" w:eastAsia="Arial" w:hAnsi="Arial"/>
          <w:sz w:val="18"/>
          <w:szCs w:val="18"/>
          <w:b w:val="1"/>
          <w:bCs w:val="1"/>
          <w:color w:val="auto"/>
        </w:rPr>
        <w:t>(800) 298-6470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81915</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Schadt</w:t>
      </w:r>
    </w:p>
    <w:p>
      <w:pPr>
        <w:jc w:val="center"/>
        <w:spacing w:after="0" w:line="221" w:lineRule="auto"/>
        <w:rPr>
          <w:sz w:val="20"/>
          <w:szCs w:val="20"/>
          <w:color w:val="auto"/>
        </w:rPr>
      </w:pPr>
      <w:r>
        <w:rPr>
          <w:rFonts w:ascii="Arial" w:cs="Arial" w:eastAsia="Arial" w:hAnsi="Arial"/>
          <w:sz w:val="18"/>
          <w:szCs w:val="18"/>
          <w:b w:val="1"/>
          <w:bCs w:val="1"/>
          <w:color w:val="auto"/>
        </w:rPr>
        <w:t>Chief Executive Officer</w:t>
      </w:r>
    </w:p>
    <w:p>
      <w:pPr>
        <w:jc w:val="center"/>
        <w:spacing w:after="0" w:line="219" w:lineRule="auto"/>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19" w:lineRule="auto"/>
        <w:rPr>
          <w:sz w:val="20"/>
          <w:szCs w:val="20"/>
          <w:color w:val="auto"/>
        </w:rPr>
      </w:pPr>
      <w:r>
        <w:rPr>
          <w:rFonts w:ascii="Arial" w:cs="Arial" w:eastAsia="Arial" w:hAnsi="Arial"/>
          <w:sz w:val="18"/>
          <w:szCs w:val="18"/>
          <w:b w:val="1"/>
          <w:bCs w:val="1"/>
          <w:color w:val="auto"/>
        </w:rPr>
        <w:t>Stamford, Connecticut 06902</w:t>
      </w:r>
    </w:p>
    <w:p>
      <w:pPr>
        <w:jc w:val="center"/>
        <w:spacing w:after="0" w:line="219" w:lineRule="auto"/>
        <w:rPr>
          <w:sz w:val="20"/>
          <w:szCs w:val="20"/>
          <w:color w:val="auto"/>
        </w:rPr>
      </w:pPr>
      <w:r>
        <w:rPr>
          <w:rFonts w:ascii="Arial" w:cs="Arial" w:eastAsia="Arial" w:hAnsi="Arial"/>
          <w:sz w:val="18"/>
          <w:szCs w:val="18"/>
          <w:b w:val="1"/>
          <w:bCs w:val="1"/>
          <w:color w:val="auto"/>
        </w:rPr>
        <w:t>(800) 298-6470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81915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9" w:lineRule="exact"/>
        <w:rPr>
          <w:sz w:val="24"/>
          <w:szCs w:val="24"/>
          <w:color w:val="auto"/>
        </w:rPr>
      </w:pPr>
    </w:p>
    <w:tbl>
      <w:tblPr>
        <w:tblLayout w:type="fixed"/>
        <w:tblInd w:w="176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500" w:type="dxa"/>
            <w:vAlign w:val="bottom"/>
          </w:tcPr>
          <w:p>
            <w:pPr>
              <w:ind w:left="680"/>
              <w:spacing w:after="0"/>
              <w:rPr>
                <w:sz w:val="20"/>
                <w:szCs w:val="20"/>
                <w:color w:val="auto"/>
              </w:rPr>
            </w:pPr>
            <w:r>
              <w:rPr>
                <w:rFonts w:ascii="Arial" w:cs="Arial" w:eastAsia="Arial" w:hAnsi="Arial"/>
                <w:sz w:val="18"/>
                <w:szCs w:val="18"/>
                <w:b w:val="1"/>
                <w:bCs w:val="1"/>
                <w:color w:val="auto"/>
              </w:rPr>
              <w:t>Copies to:</w:t>
            </w:r>
          </w:p>
        </w:tc>
      </w:tr>
      <w:tr>
        <w:trPr>
          <w:trHeight w:val="292"/>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Ethan Skerry</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4"/>
              </w:rPr>
              <w:t>Daniel Clark</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Per B. Chilstrom</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General Counsel</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Fenwick &amp; West LLP</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Sema4 Holdings Corp.</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902 Broadway</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333 Ludlow Street, North Tower, 8th Floor</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10010</w:t>
            </w:r>
          </w:p>
        </w:tc>
        <w:tc>
          <w:tcPr>
            <w:tcW w:w="550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Stamford, Connecticut 06902</w:t>
            </w:r>
          </w:p>
        </w:tc>
      </w:tr>
      <w:tr>
        <w:trPr>
          <w:trHeight w:val="234"/>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(212) 430-2600</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2"/>
              </w:rPr>
              <w:t>(800) 298-6470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120015</wp:posOffset>
            </wp:positionV>
            <wp:extent cx="119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14"/>
          <w:szCs w:val="14"/>
          <w:color w:val="auto"/>
        </w:rPr>
        <w:t>Approximate date of commencement of proposed sale to the public: From time to time after the effective date of this registration statement.</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x</w:t>
      </w:r>
    </w:p>
    <w:p>
      <w:pPr>
        <w:spacing w:after="0" w:line="53"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520"/>
              <w:spacing w:after="0"/>
              <w:rPr>
                <w:sz w:val="20"/>
                <w:szCs w:val="20"/>
                <w:color w:val="auto"/>
              </w:rPr>
            </w:pPr>
            <w:r>
              <w:rPr>
                <w:rFonts w:ascii="Arial" w:cs="Arial" w:eastAsia="Arial" w:hAnsi="Arial"/>
                <w:sz w:val="14"/>
                <w:szCs w:val="14"/>
                <w:color w:val="auto"/>
              </w:rPr>
              <w:t>o</w:t>
            </w:r>
          </w:p>
        </w:tc>
        <w:tc>
          <w:tcPr>
            <w:tcW w:w="496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rPr>
                <w:sz w:val="20"/>
                <w:szCs w:val="20"/>
                <w:color w:val="auto"/>
              </w:rPr>
            </w:pPr>
            <w:r>
              <w:rPr>
                <w:rFonts w:ascii="Arial" w:cs="Arial" w:eastAsia="Arial" w:hAnsi="Arial"/>
                <w:sz w:val="14"/>
                <w:szCs w:val="14"/>
                <w:color w:val="auto"/>
              </w:rPr>
              <w:t>o</w:t>
            </w:r>
          </w:p>
        </w:tc>
      </w:tr>
      <w:tr>
        <w:trPr>
          <w:trHeight w:val="222"/>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96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6"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57" w:lineRule="exact"/>
        <w:rPr>
          <w:sz w:val="24"/>
          <w:szCs w:val="24"/>
          <w:color w:val="auto"/>
        </w:rPr>
      </w:pPr>
    </w:p>
    <w:p>
      <w:pPr>
        <w:jc w:val="both"/>
        <w:spacing w:after="0" w:line="22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August 4, 2021, the registrant filed a Registration Statement on Form S-1 (File No. 333-258467), which was subsequently declared effective by the U.S. Securities and Exchange Commission (the “SEC”) on August 12, 2021 (as amended, the “Registration Statement”). The Registration Statement initially registered the offer and sale from time to time of (A) up to 236,223,522 shares of our Class A common stock, par value $0.0001 per share (“Class A common stock” or “common stock”), (B) up to 7,236,667 warrants (the “private placement warrants”) and (C) (i) up to 14,758,333 shares of our Class A common stock that are issuable by us upon the exercise of 14,758,333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this prospectus.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14, 2022, the registrant filed Post-Effective Amendment No. 1 on Form S-1 to the Registration Statement to update the Registration Statement solely to (i) file a consent of Ernst &amp; Young LLP with respect to its report dated March 14, 2022 relating to the financial statements of Sema4 Holdings Corp. contained in the registrant’s Annual Report on Form 10-K for the year ended December 31, 2021 and (ii) to incorporate by reference certain additional exhibits that were not previously filed with the Registration Statement.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Post-Effective Amendment No. 2 on Form S-1 (this “Post-Effective Amendment No. 2”) is being filed by the registrant to (i) include information contained in our preliminary proxy statement filed with the SEC on March 15, 2022 regarding the proposed acquisition of GeneDx, Inc., (ii) include updated information regarding the Selling Securityholders, including a reduction in the number of shares of Class A common stock being offered by the Selling Securityholders, and (iii) update certain other information in the Registration Statement.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No. 2.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ind w:right="100"/>
        <w:spacing w:after="0" w:line="289" w:lineRule="auto"/>
        <w:rPr>
          <w:sz w:val="20"/>
          <w:szCs w:val="20"/>
          <w:color w:val="auto"/>
        </w:rPr>
      </w:pPr>
      <w:r>
        <w:rPr>
          <w:rFonts w:ascii="Arial" w:cs="Arial" w:eastAsia="Arial" w:hAnsi="Arial"/>
          <w:sz w:val="17"/>
          <w:szCs w:val="17"/>
          <w:b w:val="1"/>
          <w:bCs w:val="1"/>
          <w:color w:val="F1665F"/>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SUBJECT TO COMPLETION, DATED MARCH 21,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120015</wp:posOffset>
            </wp:positionV>
            <wp:extent cx="2357120"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236,223,401 Shares of Common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7,236,667 Warrants to Purchase Shares of Common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21,994,972 Shares of Common Stock 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53975</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prospectus relates to the offer and sale from time to time by the selling securityholders named in this prospectus (the “Selling Securityholders”) of (A) up to 236,223,401 shares of our Class A common stock, par value $0.0001 per share (“Class A common stock” or “common stock”), consisting of (i) up to 35,000,000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“Sponsor”); (iii) up to 182,918,105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14,039,689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herein).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this prospectus relates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this prospectus.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22, 2021, we consummated the transactions contemplated by that certain Agreement and Plan of Merger, dated as of February 9, 2021 (as amended, the “Prior Merger Agreement”), by and among CM Life Sciences, Inc. (“CMLS” and, after the consummation of the Business Combination, “Sema4 Holdings”), S-IV Sub, Inc. (“Merger Sub”) and Mount Sinai Genomics, Inc. d/b/a Sema4 (“Sema4”). In particular, on July 22, 2021, we consummated the merger contemplated by the Prior Merger Agreement, whereby Merger Sub merged with and into Sema4, with Sema4 surviving the merger as a wholly-owned subsidiary of CMLS (the “Merger” and, together with the other transactions contemplated by the Prior Merger Agreement, the “Business Combination”).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both"/>
        <w:ind w:right="20"/>
        <w:spacing w:after="0" w:line="277" w:lineRule="auto"/>
        <w:rPr>
          <w:sz w:val="20"/>
          <w:szCs w:val="20"/>
          <w:color w:val="auto"/>
        </w:rPr>
      </w:pPr>
      <w:r>
        <w:rPr>
          <w:rFonts w:ascii="Arial" w:cs="Arial" w:eastAsia="Arial" w:hAnsi="Arial"/>
          <w:sz w:val="18"/>
          <w:szCs w:val="18"/>
          <w:color w:val="auto"/>
        </w:rPr>
        <w:t>with the consummation of the Business Combination, CMLS changed its name to “Sema4 Holdings Corp.” and Sema4 changed its name to “Sema4 OpCo, Inc.”</w:t>
      </w:r>
    </w:p>
    <w:p>
      <w:pPr>
        <w:spacing w:after="0" w:line="116"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 or warrants, except with respect to amounts received by us upon the exercise of the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common stock or warrants. See “</w:t>
      </w:r>
      <w:hyperlink w:anchor="page162">
        <w:r>
          <w:rPr>
            <w:rFonts w:ascii="Arial" w:cs="Arial" w:eastAsia="Arial" w:hAnsi="Arial"/>
            <w:sz w:val="18"/>
            <w:szCs w:val="18"/>
            <w:i w:val="1"/>
            <w:iCs w:val="1"/>
            <w:u w:val="single" w:color="auto"/>
            <w:color w:val="0000FF"/>
          </w:rPr>
          <w:t>Plan of Distribution</w:t>
        </w:r>
      </w:hyperlink>
      <w:r>
        <w:rPr>
          <w:rFonts w:ascii="Arial" w:cs="Arial" w:eastAsia="Arial" w:hAnsi="Arial"/>
          <w:sz w:val="18"/>
          <w:szCs w:val="18"/>
          <w:color w:val="auto"/>
        </w:rPr>
        <w:t xml:space="preserve">” beginning on page </w:t>
      </w:r>
      <w:hyperlink w:anchor="page162">
        <w:r>
          <w:rPr>
            <w:rFonts w:ascii="Arial" w:cs="Arial" w:eastAsia="Arial" w:hAnsi="Arial"/>
            <w:sz w:val="18"/>
            <w:szCs w:val="18"/>
            <w:b w:val="1"/>
            <w:bCs w:val="1"/>
            <w:u w:val="single" w:color="auto"/>
            <w:color w:val="0000FF"/>
          </w:rPr>
          <w:t>150</w:t>
        </w:r>
      </w:hyperlink>
      <w:r>
        <w:rPr>
          <w:rFonts w:ascii="Arial" w:cs="Arial" w:eastAsia="Arial" w:hAnsi="Arial"/>
          <w:sz w:val="18"/>
          <w:szCs w:val="18"/>
          <w:color w:val="auto"/>
        </w:rPr>
        <w:t xml:space="preserve"> of this prospectus.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 “SMFR” and “SMFRW”, respectively. On March 18, 2022, the last reported sales price of our common stock was $ 3.08 per share and the last reported sales price of our public warrants was $ 0.67 per warrant.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6" w:lineRule="exact"/>
        <w:rPr>
          <w:sz w:val="20"/>
          <w:szCs w:val="20"/>
          <w:color w:val="auto"/>
        </w:rPr>
      </w:pPr>
    </w:p>
    <w:p>
      <w:pPr>
        <w:jc w:val="both"/>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securities involves risks. See the section entitled “</w:t>
      </w:r>
      <w:hyperlink w:anchor="page21">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b w:val="1"/>
          <w:bCs w:val="1"/>
          <w:i w:val="1"/>
          <w:iCs w:val="1"/>
          <w:color w:val="auto"/>
        </w:rPr>
        <w:t xml:space="preserve">” beginning on page </w:t>
      </w:r>
      <w:hyperlink w:anchor="page21">
        <w:r>
          <w:rPr>
            <w:rFonts w:ascii="Arial" w:cs="Arial" w:eastAsia="Arial" w:hAnsi="Arial"/>
            <w:sz w:val="18"/>
            <w:szCs w:val="18"/>
            <w:b w:val="1"/>
            <w:bCs w:val="1"/>
            <w:i w:val="1"/>
            <w:iCs w:val="1"/>
            <w:u w:val="single" w:color="auto"/>
            <w:color w:val="0000FF"/>
          </w:rPr>
          <w:t>9</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b w:val="1"/>
          <w:bCs w:val="1"/>
          <w:i w:val="1"/>
          <w:iCs w:val="1"/>
          <w:color w:val="auto"/>
        </w:rPr>
        <w:t>of this prospectus to read about factors you should consider before buying our securities.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8"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The date of this prospectus is March</w:t>
      </w:r>
      <w:r>
        <w:rPr>
          <w:sz w:val="20"/>
          <w:szCs w:val="20"/>
          <w:color w:val="auto"/>
        </w:rPr>
        <w:tab/>
      </w:r>
      <w:r>
        <w:rPr>
          <w:rFonts w:ascii="Arial" w:cs="Arial" w:eastAsia="Arial" w:hAnsi="Arial"/>
          <w:sz w:val="16"/>
          <w:szCs w:val="16"/>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1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201"/>
        </w:trPr>
        <w:tc>
          <w:tcPr>
            <w:tcW w:w="20" w:type="dxa"/>
            <w:vAlign w:val="bottom"/>
          </w:tcPr>
          <w:p>
            <w:pPr>
              <w:spacing w:after="0"/>
              <w:rPr>
                <w:sz w:val="17"/>
                <w:szCs w:val="17"/>
                <w:color w:val="auto"/>
              </w:rPr>
            </w:pPr>
          </w:p>
        </w:tc>
        <w:tc>
          <w:tcPr>
            <w:tcW w:w="7120" w:type="dxa"/>
            <w:vAlign w:val="bottom"/>
            <w:gridSpan w:val="17"/>
          </w:tcPr>
          <w:p>
            <w:pPr>
              <w:spacing w:after="0" w:line="201" w:lineRule="exact"/>
              <w:rPr>
                <w:rFonts w:ascii="Arial" w:cs="Arial" w:eastAsia="Arial" w:hAnsi="Arial"/>
                <w:sz w:val="18"/>
                <w:szCs w:val="18"/>
                <w:color w:val="0000FF"/>
              </w:rPr>
            </w:pPr>
            <w:hyperlink w:anchor="page5">
              <w:r>
                <w:rPr>
                  <w:rFonts w:ascii="Arial" w:cs="Arial" w:eastAsia="Arial" w:hAnsi="Arial"/>
                  <w:sz w:val="18"/>
                  <w:szCs w:val="18"/>
                  <w:color w:val="0000FF"/>
                </w:rPr>
                <w:t>About This Prospectus</w:t>
              </w:r>
            </w:hyperlink>
          </w:p>
        </w:tc>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tcPr>
          <w:p>
            <w:pPr>
              <w:jc w:val="right"/>
              <w:ind w:right="20"/>
              <w:spacing w:after="0" w:line="201"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w:t>
              </w:r>
            </w:hyperlink>
          </w:p>
        </w:tc>
      </w:tr>
      <w:tr>
        <w:trPr>
          <w:trHeight w:val="210"/>
        </w:trPr>
        <w:tc>
          <w:tcPr>
            <w:tcW w:w="20" w:type="dxa"/>
            <w:vAlign w:val="bottom"/>
          </w:tcPr>
          <w:p>
            <w:pPr>
              <w:spacing w:after="0"/>
              <w:rPr>
                <w:sz w:val="18"/>
                <w:szCs w:val="18"/>
                <w:color w:val="auto"/>
              </w:rPr>
            </w:pPr>
          </w:p>
        </w:tc>
        <w:tc>
          <w:tcPr>
            <w:tcW w:w="1440" w:type="dxa"/>
            <w:vAlign w:val="bottom"/>
            <w:tcBorders>
              <w:top w:val="single" w:sz="8" w:color="0000FF"/>
            </w:tcBorders>
            <w:gridSpan w:val="6"/>
          </w:tcPr>
          <w:p>
            <w:pPr>
              <w:spacing w:after="0"/>
              <w:rPr>
                <w:rFonts w:ascii="Arial" w:cs="Arial" w:eastAsia="Arial" w:hAnsi="Arial"/>
                <w:sz w:val="18"/>
                <w:szCs w:val="18"/>
                <w:color w:val="0000FF"/>
                <w:w w:val="87"/>
              </w:rPr>
            </w:pPr>
            <w:hyperlink w:anchor="page6">
              <w:r>
                <w:rPr>
                  <w:rFonts w:ascii="Arial" w:cs="Arial" w:eastAsia="Arial" w:hAnsi="Arial"/>
                  <w:sz w:val="18"/>
                  <w:szCs w:val="18"/>
                  <w:color w:val="0000FF"/>
                  <w:w w:val="87"/>
                </w:rPr>
                <w:t>Selected Definitions</w:t>
              </w:r>
            </w:hyperlink>
          </w:p>
        </w:tc>
        <w:tc>
          <w:tcPr>
            <w:tcW w:w="260" w:type="dxa"/>
            <w:vAlign w:val="bottom"/>
            <w:tcBorders>
              <w:top w:val="single" w:sz="8" w:color="0000FF"/>
            </w:tcBorders>
            <w:gridSpan w:val="2"/>
          </w:tcPr>
          <w:p>
            <w:pPr>
              <w:spacing w:after="0"/>
              <w:rPr>
                <w:sz w:val="18"/>
                <w:szCs w:val="18"/>
                <w:color w:val="auto"/>
              </w:rPr>
            </w:pPr>
          </w:p>
        </w:tc>
        <w:tc>
          <w:tcPr>
            <w:tcW w:w="5420" w:type="dxa"/>
            <w:vAlign w:val="bottom"/>
            <w:gridSpan w:val="9"/>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2"/>
          </w:tcPr>
          <w:p>
            <w:pPr>
              <w:jc w:val="right"/>
              <w:ind w:right="20"/>
              <w:spacing w:after="0"/>
              <w:rPr>
                <w:rFonts w:ascii="Arial" w:cs="Arial" w:eastAsia="Arial" w:hAnsi="Arial"/>
                <w:sz w:val="18"/>
                <w:szCs w:val="18"/>
                <w:color w:val="0000FF"/>
                <w:w w:val="74"/>
              </w:rPr>
            </w:pPr>
            <w:hyperlink w:anchor="page6">
              <w:r>
                <w:rPr>
                  <w:rFonts w:ascii="Arial" w:cs="Arial" w:eastAsia="Arial" w:hAnsi="Arial"/>
                  <w:sz w:val="18"/>
                  <w:szCs w:val="18"/>
                  <w:color w:val="0000FF"/>
                  <w:w w:val="74"/>
                </w:rPr>
                <w:t>ii</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gridSpan w:val="9"/>
          </w:tcPr>
          <w:p>
            <w:pPr>
              <w:spacing w:after="0"/>
              <w:rPr>
                <w:rFonts w:ascii="Arial" w:cs="Arial" w:eastAsia="Arial" w:hAnsi="Arial"/>
                <w:sz w:val="18"/>
                <w:szCs w:val="18"/>
                <w:color w:val="0000FF"/>
                <w:w w:val="87"/>
              </w:rPr>
            </w:pPr>
            <w:hyperlink w:anchor="page10">
              <w:r>
                <w:rPr>
                  <w:rFonts w:ascii="Arial" w:cs="Arial" w:eastAsia="Arial" w:hAnsi="Arial"/>
                  <w:sz w:val="18"/>
                  <w:szCs w:val="18"/>
                  <w:color w:val="0000FF"/>
                  <w:w w:val="87"/>
                </w:rPr>
                <w:t>Market and Industry Data</w:t>
              </w:r>
            </w:hyperlink>
          </w:p>
        </w:tc>
        <w:tc>
          <w:tcPr>
            <w:tcW w:w="5320" w:type="dxa"/>
            <w:vAlign w:val="bottom"/>
            <w:gridSpan w:val="8"/>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3"/>
          </w:tcPr>
          <w:p>
            <w:pPr>
              <w:jc w:val="right"/>
              <w:ind w:right="20"/>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vi</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15"/>
          </w:tcPr>
          <w:p>
            <w:pPr>
              <w:spacing w:after="0"/>
              <w:rPr>
                <w:rFonts w:ascii="Arial" w:cs="Arial" w:eastAsia="Arial" w:hAnsi="Arial"/>
                <w:sz w:val="18"/>
                <w:szCs w:val="18"/>
                <w:color w:val="0000FF"/>
                <w:w w:val="91"/>
              </w:rPr>
            </w:pPr>
            <w:hyperlink w:anchor="page11">
              <w:r>
                <w:rPr>
                  <w:rFonts w:ascii="Arial" w:cs="Arial" w:eastAsia="Arial" w:hAnsi="Arial"/>
                  <w:sz w:val="18"/>
                  <w:szCs w:val="18"/>
                  <w:color w:val="0000FF"/>
                  <w:w w:val="91"/>
                </w:rPr>
                <w:t>Cautionary Note Regarding Forward-Looking Statements</w:t>
              </w:r>
            </w:hyperlink>
          </w:p>
        </w:tc>
        <w:tc>
          <w:tcPr>
            <w:tcW w:w="2960" w:type="dxa"/>
            <w:vAlign w:val="bottom"/>
            <w:gridSpan w:val="2"/>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3"/>
          </w:tcPr>
          <w:p>
            <w:pPr>
              <w:jc w:val="right"/>
              <w:ind w:right="20"/>
              <w:spacing w:after="0"/>
              <w:rPr>
                <w:rFonts w:ascii="Arial" w:cs="Arial" w:eastAsia="Arial" w:hAnsi="Arial"/>
                <w:sz w:val="18"/>
                <w:szCs w:val="18"/>
                <w:color w:val="0000FF"/>
                <w:w w:val="70"/>
              </w:rPr>
            </w:pPr>
            <w:hyperlink w:anchor="page11">
              <w:r>
                <w:rPr>
                  <w:rFonts w:ascii="Arial" w:cs="Arial" w:eastAsia="Arial" w:hAnsi="Arial"/>
                  <w:sz w:val="18"/>
                  <w:szCs w:val="18"/>
                  <w:color w:val="0000FF"/>
                  <w:w w:val="70"/>
                </w:rPr>
                <w:t>vii</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7"/>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Prospectus Summary</w:t>
              </w:r>
            </w:hyperlink>
          </w:p>
        </w:tc>
        <w:tc>
          <w:tcPr>
            <w:tcW w:w="2620" w:type="dxa"/>
            <w:vAlign w:val="bottom"/>
            <w:gridSpan w:val="8"/>
          </w:tcPr>
          <w:p>
            <w:pPr>
              <w:spacing w:after="0"/>
              <w:rPr>
                <w:sz w:val="18"/>
                <w:szCs w:val="18"/>
                <w:color w:val="auto"/>
              </w:rPr>
            </w:pPr>
          </w:p>
        </w:tc>
        <w:tc>
          <w:tcPr>
            <w:tcW w:w="2960" w:type="dxa"/>
            <w:vAlign w:val="bottom"/>
            <w:gridSpan w:val="2"/>
          </w:tcPr>
          <w:p>
            <w:pPr>
              <w:spacing w:after="0"/>
              <w:rPr>
                <w:sz w:val="18"/>
                <w:szCs w:val="18"/>
                <w:color w:val="auto"/>
              </w:rPr>
            </w:pPr>
          </w:p>
        </w:tc>
        <w:tc>
          <w:tcPr>
            <w:tcW w:w="3940" w:type="dxa"/>
            <w:vAlign w:val="bottom"/>
            <w:gridSpan w:val="2"/>
          </w:tcPr>
          <w:p>
            <w:pPr>
              <w:spacing w:after="0"/>
              <w:rPr>
                <w:sz w:val="18"/>
                <w:szCs w:val="18"/>
                <w:color w:val="auto"/>
              </w:rPr>
            </w:pPr>
          </w:p>
        </w:tc>
        <w:tc>
          <w:tcPr>
            <w:tcW w:w="160" w:type="dxa"/>
            <w:vAlign w:val="bottom"/>
            <w:gridSpan w:val="3"/>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rFonts w:ascii="Arial" w:cs="Arial" w:eastAsia="Arial" w:hAnsi="Arial"/>
                <w:sz w:val="18"/>
                <w:szCs w:val="18"/>
                <w:color w:val="0000FF"/>
                <w:w w:val="87"/>
              </w:rPr>
            </w:pPr>
            <w:hyperlink w:anchor="page21">
              <w:r>
                <w:rPr>
                  <w:rFonts w:ascii="Arial" w:cs="Arial" w:eastAsia="Arial" w:hAnsi="Arial"/>
                  <w:sz w:val="18"/>
                  <w:szCs w:val="18"/>
                  <w:color w:val="0000FF"/>
                  <w:w w:val="87"/>
                </w:rPr>
                <w:t>Risk Factors</w:t>
              </w:r>
            </w:hyperlink>
          </w:p>
        </w:tc>
        <w:tc>
          <w:tcPr>
            <w:tcW w:w="620" w:type="dxa"/>
            <w:vAlign w:val="bottom"/>
            <w:gridSpan w:val="4"/>
          </w:tcPr>
          <w:p>
            <w:pPr>
              <w:spacing w:after="0"/>
              <w:rPr>
                <w:sz w:val="18"/>
                <w:szCs w:val="18"/>
                <w:color w:val="auto"/>
              </w:rPr>
            </w:pPr>
          </w:p>
        </w:tc>
        <w:tc>
          <w:tcPr>
            <w:tcW w:w="5580" w:type="dxa"/>
            <w:vAlign w:val="bottom"/>
            <w:gridSpan w:val="10"/>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9</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Use of Proceeds</w:t>
              </w:r>
            </w:hyperlink>
          </w:p>
        </w:tc>
        <w:tc>
          <w:tcPr>
            <w:tcW w:w="5940" w:type="dxa"/>
            <w:vAlign w:val="bottom"/>
            <w:gridSpan w:val="12"/>
          </w:tcPr>
          <w:p>
            <w:pPr>
              <w:spacing w:after="0"/>
              <w:rPr>
                <w:sz w:val="18"/>
                <w:szCs w:val="18"/>
                <w:color w:val="auto"/>
              </w:rPr>
            </w:pPr>
          </w:p>
        </w:tc>
        <w:tc>
          <w:tcPr>
            <w:tcW w:w="4080" w:type="dxa"/>
            <w:vAlign w:val="bottom"/>
            <w:gridSpan w:val="4"/>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58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16"/>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Market Information for Common Stock and Dividend Policy</w:t>
              </w:r>
            </w:hyperlink>
          </w:p>
        </w:tc>
        <w:tc>
          <w:tcPr>
            <w:tcW w:w="2740" w:type="dxa"/>
            <w:vAlign w:val="bottom"/>
          </w:tcPr>
          <w:p>
            <w:pPr>
              <w:spacing w:after="0"/>
              <w:rPr>
                <w:sz w:val="18"/>
                <w:szCs w:val="18"/>
                <w:color w:val="auto"/>
              </w:rPr>
            </w:pPr>
          </w:p>
        </w:tc>
        <w:tc>
          <w:tcPr>
            <w:tcW w:w="4080" w:type="dxa"/>
            <w:vAlign w:val="bottom"/>
            <w:gridSpan w:val="4"/>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60</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14"/>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Unaudited Pro Forma Combined Financial Information</w:t>
              </w:r>
            </w:hyperlink>
          </w:p>
        </w:tc>
        <w:tc>
          <w:tcPr>
            <w:tcW w:w="440" w:type="dxa"/>
            <w:vAlign w:val="bottom"/>
            <w:gridSpan w:val="2"/>
          </w:tcPr>
          <w:p>
            <w:pPr>
              <w:spacing w:after="0"/>
              <w:rPr>
                <w:sz w:val="18"/>
                <w:szCs w:val="18"/>
                <w:color w:val="auto"/>
              </w:rPr>
            </w:pPr>
          </w:p>
        </w:tc>
        <w:tc>
          <w:tcPr>
            <w:tcW w:w="2740" w:type="dxa"/>
            <w:vAlign w:val="bottom"/>
          </w:tcPr>
          <w:p>
            <w:pPr>
              <w:spacing w:after="0"/>
              <w:rPr>
                <w:sz w:val="18"/>
                <w:szCs w:val="18"/>
                <w:color w:val="auto"/>
              </w:rPr>
            </w:pPr>
          </w:p>
        </w:tc>
        <w:tc>
          <w:tcPr>
            <w:tcW w:w="4080" w:type="dxa"/>
            <w:vAlign w:val="bottom"/>
            <w:gridSpan w:val="4"/>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61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80" w:type="dxa"/>
            <w:vAlign w:val="bottom"/>
            <w:tcBorders>
              <w:left w:val="single" w:sz="8" w:color="0000FF"/>
            </w:tcBorders>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17"/>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Sema4’s Management’s Discussion and Analysis of Financial Condition and Results of Operations</w:t>
              </w:r>
            </w:hyperlink>
          </w:p>
        </w:tc>
        <w:tc>
          <w:tcPr>
            <w:tcW w:w="4080" w:type="dxa"/>
            <w:vAlign w:val="bottom"/>
            <w:gridSpan w:val="4"/>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70</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17"/>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Business</w:t>
              </w:r>
            </w:hyperlink>
          </w:p>
        </w:tc>
        <w:tc>
          <w:tcPr>
            <w:tcW w:w="4080" w:type="dxa"/>
            <w:vAlign w:val="bottom"/>
            <w:gridSpan w:val="4"/>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94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17"/>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Management</w:t>
              </w:r>
            </w:hyperlink>
          </w:p>
        </w:tc>
        <w:tc>
          <w:tcPr>
            <w:tcW w:w="4100" w:type="dxa"/>
            <w:vAlign w:val="bottom"/>
            <w:gridSpan w:val="5"/>
          </w:tcPr>
          <w:p>
            <w:pPr>
              <w:jc w:val="right"/>
              <w:ind w:right="20"/>
              <w:spacing w:after="0"/>
              <w:rPr>
                <w:rFonts w:ascii="Arial" w:cs="Arial" w:eastAsia="Arial" w:hAnsi="Arial"/>
                <w:sz w:val="18"/>
                <w:szCs w:val="18"/>
                <w:color w:val="0000FF"/>
              </w:rPr>
            </w:pPr>
            <w:hyperlink w:anchor="page119">
              <w:r>
                <w:rPr>
                  <w:rFonts w:ascii="Arial" w:cs="Arial" w:eastAsia="Arial" w:hAnsi="Arial"/>
                  <w:sz w:val="18"/>
                  <w:szCs w:val="18"/>
                  <w:color w:val="0000FF"/>
                </w:rPr>
                <w:t>107</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gridSpan w:val="9"/>
          </w:tcPr>
          <w:p>
            <w:pPr>
              <w:spacing w:after="0"/>
              <w:rPr>
                <w:rFonts w:ascii="Arial" w:cs="Arial" w:eastAsia="Arial" w:hAnsi="Arial"/>
                <w:sz w:val="18"/>
                <w:szCs w:val="18"/>
                <w:color w:val="0000FF"/>
                <w:w w:val="88"/>
              </w:rPr>
            </w:pPr>
            <w:hyperlink w:anchor="page127">
              <w:r>
                <w:rPr>
                  <w:rFonts w:ascii="Arial" w:cs="Arial" w:eastAsia="Arial" w:hAnsi="Arial"/>
                  <w:sz w:val="18"/>
                  <w:szCs w:val="18"/>
                  <w:color w:val="0000FF"/>
                  <w:w w:val="88"/>
                </w:rPr>
                <w:t>Executive Compensation</w:t>
              </w:r>
            </w:hyperlink>
          </w:p>
        </w:tc>
        <w:tc>
          <w:tcPr>
            <w:tcW w:w="5320" w:type="dxa"/>
            <w:vAlign w:val="bottom"/>
            <w:gridSpan w:val="8"/>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127">
              <w:r>
                <w:rPr>
                  <w:rFonts w:ascii="Arial" w:cs="Arial" w:eastAsia="Arial" w:hAnsi="Arial"/>
                  <w:sz w:val="18"/>
                  <w:szCs w:val="18"/>
                  <w:color w:val="0000FF"/>
                </w:rPr>
                <w:t>115</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17"/>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Certain Relationships and Related Party Transactions</w:t>
              </w:r>
            </w:hyperlink>
          </w:p>
        </w:tc>
        <w:tc>
          <w:tcPr>
            <w:tcW w:w="4100" w:type="dxa"/>
            <w:vAlign w:val="bottom"/>
            <w:gridSpan w:val="5"/>
          </w:tcPr>
          <w:p>
            <w:pPr>
              <w:jc w:val="right"/>
              <w:ind w:right="20"/>
              <w:spacing w:after="0"/>
              <w:rPr>
                <w:rFonts w:ascii="Arial" w:cs="Arial" w:eastAsia="Arial" w:hAnsi="Arial"/>
                <w:sz w:val="18"/>
                <w:szCs w:val="18"/>
                <w:color w:val="0000FF"/>
              </w:rPr>
            </w:pPr>
            <w:hyperlink w:anchor="page138">
              <w:r>
                <w:rPr>
                  <w:rFonts w:ascii="Arial" w:cs="Arial" w:eastAsia="Arial" w:hAnsi="Arial"/>
                  <w:sz w:val="18"/>
                  <w:szCs w:val="18"/>
                  <w:color w:val="0000FF"/>
                </w:rPr>
                <w:t>126</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13"/>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Principal Securityholders</w:t>
              </w:r>
            </w:hyperlink>
          </w:p>
        </w:tc>
        <w:tc>
          <w:tcPr>
            <w:tcW w:w="3280" w:type="dxa"/>
            <w:vAlign w:val="bottom"/>
            <w:gridSpan w:val="4"/>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144">
              <w:r>
                <w:rPr>
                  <w:rFonts w:ascii="Arial" w:cs="Arial" w:eastAsia="Arial" w:hAnsi="Arial"/>
                  <w:sz w:val="18"/>
                  <w:szCs w:val="18"/>
                  <w:color w:val="0000FF"/>
                </w:rPr>
                <w:t>132</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gridSpan w:val="9"/>
          </w:tcPr>
          <w:p>
            <w:pPr>
              <w:spacing w:after="0"/>
              <w:rPr>
                <w:rFonts w:ascii="Arial" w:cs="Arial" w:eastAsia="Arial" w:hAnsi="Arial"/>
                <w:sz w:val="18"/>
                <w:szCs w:val="18"/>
                <w:color w:val="0000FF"/>
                <w:w w:val="90"/>
              </w:rPr>
            </w:pPr>
            <w:hyperlink w:anchor="page147">
              <w:r>
                <w:rPr>
                  <w:rFonts w:ascii="Arial" w:cs="Arial" w:eastAsia="Arial" w:hAnsi="Arial"/>
                  <w:sz w:val="18"/>
                  <w:szCs w:val="18"/>
                  <w:color w:val="0000FF"/>
                  <w:w w:val="90"/>
                </w:rPr>
                <w:t>Description of Securities</w:t>
              </w:r>
            </w:hyperlink>
          </w:p>
        </w:tc>
        <w:tc>
          <w:tcPr>
            <w:tcW w:w="5320" w:type="dxa"/>
            <w:vAlign w:val="bottom"/>
            <w:gridSpan w:val="8"/>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147">
              <w:r>
                <w:rPr>
                  <w:rFonts w:ascii="Arial" w:cs="Arial" w:eastAsia="Arial" w:hAnsi="Arial"/>
                  <w:sz w:val="18"/>
                  <w:szCs w:val="18"/>
                  <w:color w:val="0000FF"/>
                </w:rPr>
                <w:t>135</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gridSpan w:val="8"/>
          </w:tcPr>
          <w:p>
            <w:pPr>
              <w:spacing w:after="0"/>
              <w:rPr>
                <w:rFonts w:ascii="Arial" w:cs="Arial" w:eastAsia="Arial" w:hAnsi="Arial"/>
                <w:sz w:val="18"/>
                <w:szCs w:val="18"/>
                <w:color w:val="0000FF"/>
                <w:w w:val="90"/>
              </w:rPr>
            </w:pPr>
            <w:hyperlink w:anchor="page154">
              <w:r>
                <w:rPr>
                  <w:rFonts w:ascii="Arial" w:cs="Arial" w:eastAsia="Arial" w:hAnsi="Arial"/>
                  <w:sz w:val="18"/>
                  <w:szCs w:val="18"/>
                  <w:color w:val="0000FF"/>
                  <w:w w:val="90"/>
                </w:rPr>
                <w:t>Selling Securityholders</w:t>
              </w:r>
            </w:hyperlink>
          </w:p>
        </w:tc>
        <w:tc>
          <w:tcPr>
            <w:tcW w:w="100" w:type="dxa"/>
            <w:vAlign w:val="bottom"/>
          </w:tcPr>
          <w:p>
            <w:pPr>
              <w:spacing w:after="0"/>
              <w:rPr>
                <w:sz w:val="18"/>
                <w:szCs w:val="18"/>
                <w:color w:val="auto"/>
              </w:rPr>
            </w:pPr>
          </w:p>
        </w:tc>
        <w:tc>
          <w:tcPr>
            <w:tcW w:w="5320" w:type="dxa"/>
            <w:vAlign w:val="bottom"/>
            <w:gridSpan w:val="8"/>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154">
              <w:r>
                <w:rPr>
                  <w:rFonts w:ascii="Arial" w:cs="Arial" w:eastAsia="Arial" w:hAnsi="Arial"/>
                  <w:sz w:val="18"/>
                  <w:szCs w:val="18"/>
                  <w:color w:val="0000FF"/>
                </w:rPr>
                <w:t>142</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gridSpan w:val="17"/>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Securities Act Restrictions on Resale of Our Securities</w:t>
              </w:r>
            </w:hyperlink>
          </w:p>
        </w:tc>
        <w:tc>
          <w:tcPr>
            <w:tcW w:w="4100" w:type="dxa"/>
            <w:vAlign w:val="bottom"/>
            <w:gridSpan w:val="5"/>
          </w:tcPr>
          <w:p>
            <w:pPr>
              <w:jc w:val="right"/>
              <w:ind w:right="20"/>
              <w:spacing w:after="0"/>
              <w:rPr>
                <w:rFonts w:ascii="Arial" w:cs="Arial" w:eastAsia="Arial" w:hAnsi="Arial"/>
                <w:sz w:val="18"/>
                <w:szCs w:val="18"/>
                <w:color w:val="0000FF"/>
              </w:rPr>
            </w:pPr>
            <w:hyperlink w:anchor="page161">
              <w:r>
                <w:rPr>
                  <w:rFonts w:ascii="Arial" w:cs="Arial" w:eastAsia="Arial" w:hAnsi="Arial"/>
                  <w:sz w:val="18"/>
                  <w:szCs w:val="18"/>
                  <w:color w:val="0000FF"/>
                </w:rPr>
                <w:t>149</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40" w:type="dxa"/>
            <w:vAlign w:val="bottom"/>
            <w:gridSpan w:val="6"/>
          </w:tcPr>
          <w:p>
            <w:pPr>
              <w:spacing w:after="0"/>
              <w:rPr>
                <w:rFonts w:ascii="Arial" w:cs="Arial" w:eastAsia="Arial" w:hAnsi="Arial"/>
                <w:sz w:val="18"/>
                <w:szCs w:val="18"/>
                <w:color w:val="0000FF"/>
                <w:w w:val="92"/>
              </w:rPr>
            </w:pPr>
            <w:hyperlink w:anchor="page162">
              <w:r>
                <w:rPr>
                  <w:rFonts w:ascii="Arial" w:cs="Arial" w:eastAsia="Arial" w:hAnsi="Arial"/>
                  <w:sz w:val="18"/>
                  <w:szCs w:val="18"/>
                  <w:color w:val="0000FF"/>
                  <w:w w:val="92"/>
                </w:rPr>
                <w:t>Plan of Distribution</w:t>
              </w:r>
            </w:hyperlink>
          </w:p>
        </w:tc>
        <w:tc>
          <w:tcPr>
            <w:tcW w:w="2500" w:type="dxa"/>
            <w:vAlign w:val="bottom"/>
            <w:gridSpan w:val="8"/>
          </w:tcPr>
          <w:p>
            <w:pPr>
              <w:spacing w:after="0"/>
              <w:rPr>
                <w:sz w:val="18"/>
                <w:szCs w:val="18"/>
                <w:color w:val="auto"/>
              </w:rPr>
            </w:pPr>
          </w:p>
        </w:tc>
        <w:tc>
          <w:tcPr>
            <w:tcW w:w="3180" w:type="dxa"/>
            <w:vAlign w:val="bottom"/>
            <w:gridSpan w:val="3"/>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162">
              <w:r>
                <w:rPr>
                  <w:rFonts w:ascii="Arial" w:cs="Arial" w:eastAsia="Arial" w:hAnsi="Arial"/>
                  <w:sz w:val="18"/>
                  <w:szCs w:val="18"/>
                  <w:color w:val="0000FF"/>
                </w:rPr>
                <w:t>150</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Legal Matters</w:t>
              </w:r>
            </w:hyperlink>
          </w:p>
        </w:tc>
        <w:tc>
          <w:tcPr>
            <w:tcW w:w="5680" w:type="dxa"/>
            <w:vAlign w:val="bottom"/>
            <w:gridSpan w:val="11"/>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166">
              <w:r>
                <w:rPr>
                  <w:rFonts w:ascii="Arial" w:cs="Arial" w:eastAsia="Arial" w:hAnsi="Arial"/>
                  <w:sz w:val="18"/>
                  <w:szCs w:val="18"/>
                  <w:color w:val="0000FF"/>
                </w:rPr>
                <w:t>154</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88"/>
              </w:rPr>
            </w:pPr>
            <w:hyperlink w:anchor="page167">
              <w:r>
                <w:rPr>
                  <w:rFonts w:ascii="Arial" w:cs="Arial" w:eastAsia="Arial" w:hAnsi="Arial"/>
                  <w:sz w:val="18"/>
                  <w:szCs w:val="18"/>
                  <w:color w:val="0000FF"/>
                  <w:w w:val="88"/>
                </w:rPr>
                <w:t>Experts</w:t>
              </w:r>
            </w:hyperlink>
          </w:p>
        </w:tc>
        <w:tc>
          <w:tcPr>
            <w:tcW w:w="440" w:type="dxa"/>
            <w:vAlign w:val="bottom"/>
            <w:gridSpan w:val="3"/>
          </w:tcPr>
          <w:p>
            <w:pPr>
              <w:spacing w:after="0"/>
              <w:rPr>
                <w:sz w:val="18"/>
                <w:szCs w:val="18"/>
                <w:color w:val="auto"/>
              </w:rPr>
            </w:pPr>
          </w:p>
        </w:tc>
        <w:tc>
          <w:tcPr>
            <w:tcW w:w="6120" w:type="dxa"/>
            <w:vAlign w:val="bottom"/>
            <w:gridSpan w:val="13"/>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167">
              <w:r>
                <w:rPr>
                  <w:rFonts w:ascii="Arial" w:cs="Arial" w:eastAsia="Arial" w:hAnsi="Arial"/>
                  <w:sz w:val="18"/>
                  <w:szCs w:val="18"/>
                  <w:color w:val="0000FF"/>
                </w:rPr>
                <w:t>154</w:t>
              </w:r>
            </w:hyperlink>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11"/>
          </w:tcPr>
          <w:p>
            <w:pPr>
              <w:spacing w:after="0"/>
              <w:rPr>
                <w:rFonts w:ascii="Arial" w:cs="Arial" w:eastAsia="Arial" w:hAnsi="Arial"/>
                <w:sz w:val="18"/>
                <w:szCs w:val="18"/>
                <w:color w:val="0000FF"/>
                <w:w w:val="92"/>
              </w:rPr>
            </w:pPr>
            <w:hyperlink w:anchor="page167">
              <w:r>
                <w:rPr>
                  <w:rFonts w:ascii="Arial" w:cs="Arial" w:eastAsia="Arial" w:hAnsi="Arial"/>
                  <w:sz w:val="18"/>
                  <w:szCs w:val="18"/>
                  <w:color w:val="0000FF"/>
                  <w:w w:val="92"/>
                </w:rPr>
                <w:t>Where You Can Find More Information</w:t>
              </w:r>
            </w:hyperlink>
          </w:p>
        </w:tc>
        <w:tc>
          <w:tcPr>
            <w:tcW w:w="4240" w:type="dxa"/>
            <w:vAlign w:val="bottom"/>
            <w:gridSpan w:val="6"/>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hyperlink w:anchor="page167">
              <w:r>
                <w:rPr>
                  <w:rFonts w:ascii="Arial" w:cs="Arial" w:eastAsia="Arial" w:hAnsi="Arial"/>
                  <w:sz w:val="18"/>
                  <w:szCs w:val="18"/>
                  <w:color w:val="0000FF"/>
                </w:rPr>
                <w:t>154</w:t>
              </w:r>
            </w:hyperlink>
          </w:p>
        </w:tc>
      </w:tr>
      <w:tr>
        <w:trPr>
          <w:trHeight w:val="20"/>
        </w:trPr>
        <w:tc>
          <w:tcPr>
            <w:tcW w:w="20" w:type="dxa"/>
            <w:vAlign w:val="bottom"/>
          </w:tcPr>
          <w:p>
            <w:pPr>
              <w:spacing w:after="0" w:line="20" w:lineRule="exact"/>
              <w:rPr>
                <w:sz w:val="1"/>
                <w:szCs w:val="1"/>
                <w:color w:val="auto"/>
              </w:rPr>
            </w:pPr>
          </w:p>
        </w:tc>
        <w:tc>
          <w:tcPr>
            <w:tcW w:w="2520" w:type="dxa"/>
            <w:vAlign w:val="bottom"/>
            <w:gridSpan w:val="10"/>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12"/>
          </w:tcPr>
          <w:p>
            <w:pPr>
              <w:spacing w:after="0"/>
              <w:rPr>
                <w:rFonts w:ascii="Arial" w:cs="Arial" w:eastAsia="Arial" w:hAnsi="Arial"/>
                <w:sz w:val="18"/>
                <w:szCs w:val="18"/>
                <w:color w:val="0000FF"/>
                <w:w w:val="91"/>
              </w:rPr>
            </w:pPr>
            <w:hyperlink w:anchor="page167">
              <w:r>
                <w:rPr>
                  <w:rFonts w:ascii="Arial" w:cs="Arial" w:eastAsia="Arial" w:hAnsi="Arial"/>
                  <w:sz w:val="18"/>
                  <w:szCs w:val="18"/>
                  <w:color w:val="0000FF"/>
                  <w:w w:val="91"/>
                </w:rPr>
                <w:t>SEMA4 Holdings Corp. Financial Statements</w:t>
              </w:r>
            </w:hyperlink>
          </w:p>
        </w:tc>
        <w:tc>
          <w:tcPr>
            <w:tcW w:w="3820" w:type="dxa"/>
            <w:vAlign w:val="bottom"/>
            <w:gridSpan w:val="5"/>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3"/>
          </w:tcPr>
          <w:p>
            <w:pPr>
              <w:jc w:val="right"/>
              <w:ind w:right="20"/>
              <w:spacing w:after="0"/>
              <w:rPr>
                <w:rFonts w:ascii="Arial" w:cs="Arial" w:eastAsia="Arial" w:hAnsi="Arial"/>
                <w:sz w:val="11"/>
                <w:szCs w:val="11"/>
                <w:color w:val="0000FF"/>
                <w:w w:val="72"/>
              </w:rPr>
            </w:pPr>
            <w:r>
              <w:rPr>
                <w:rFonts w:ascii="Arial" w:cs="Arial" w:eastAsia="Arial" w:hAnsi="Arial"/>
                <w:sz w:val="11"/>
                <w:szCs w:val="11"/>
                <w:color w:val="0000FF"/>
                <w:w w:val="72"/>
              </w:rPr>
              <w:t>F-</w:t>
            </w:r>
            <w:hyperlink w:anchor="page167">
              <w:r>
                <w:rPr>
                  <w:rFonts w:ascii="Arial" w:cs="Arial" w:eastAsia="Arial" w:hAnsi="Arial"/>
                  <w:sz w:val="11"/>
                  <w:szCs w:val="11"/>
                  <w:color w:val="0000FF"/>
                  <w:w w:val="72"/>
                </w:rPr>
                <w:t>1</w:t>
              </w:r>
            </w:hyperlink>
          </w:p>
        </w:tc>
      </w:tr>
      <w:tr>
        <w:trPr>
          <w:trHeight w:val="20"/>
        </w:trPr>
        <w:tc>
          <w:tcPr>
            <w:tcW w:w="20" w:type="dxa"/>
            <w:vAlign w:val="bottom"/>
          </w:tcPr>
          <w:p>
            <w:pPr>
              <w:spacing w:after="0" w:line="20" w:lineRule="exact"/>
              <w:rPr>
                <w:sz w:val="1"/>
                <w:szCs w:val="1"/>
                <w:color w:val="auto"/>
              </w:rPr>
            </w:pPr>
          </w:p>
        </w:tc>
        <w:tc>
          <w:tcPr>
            <w:tcW w:w="2520" w:type="dxa"/>
            <w:vAlign w:val="bottom"/>
            <w:gridSpan w:val="10"/>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12"/>
          </w:tcPr>
          <w:p>
            <w:pPr>
              <w:spacing w:after="0"/>
              <w:rPr>
                <w:rFonts w:ascii="Arial" w:cs="Arial" w:eastAsia="Arial" w:hAnsi="Arial"/>
                <w:sz w:val="18"/>
                <w:szCs w:val="18"/>
                <w:color w:val="0000FF"/>
              </w:rPr>
            </w:pPr>
            <w:hyperlink w:anchor="page207">
              <w:r>
                <w:rPr>
                  <w:rFonts w:ascii="Arial" w:cs="Arial" w:eastAsia="Arial" w:hAnsi="Arial"/>
                  <w:sz w:val="18"/>
                  <w:szCs w:val="18"/>
                  <w:color w:val="0000FF"/>
                </w:rPr>
                <w:t>GeneDx, Inc. Financial Statements</w:t>
              </w:r>
            </w:hyperlink>
          </w:p>
        </w:tc>
        <w:tc>
          <w:tcPr>
            <w:tcW w:w="3820" w:type="dxa"/>
            <w:vAlign w:val="bottom"/>
            <w:gridSpan w:val="5"/>
          </w:tcPr>
          <w:p>
            <w:pPr>
              <w:spacing w:after="0"/>
              <w:rPr>
                <w:sz w:val="18"/>
                <w:szCs w:val="18"/>
                <w:color w:val="auto"/>
              </w:rPr>
            </w:pPr>
          </w:p>
        </w:tc>
        <w:tc>
          <w:tcPr>
            <w:tcW w:w="4100" w:type="dxa"/>
            <w:vAlign w:val="bottom"/>
            <w:gridSpan w:val="5"/>
          </w:tcPr>
          <w:p>
            <w:pPr>
              <w:jc w:val="right"/>
              <w:ind w:right="20"/>
              <w:spacing w:after="0"/>
              <w:rPr>
                <w:rFonts w:ascii="Arial" w:cs="Arial" w:eastAsia="Arial" w:hAnsi="Arial"/>
                <w:sz w:val="18"/>
                <w:szCs w:val="18"/>
                <w:color w:val="0000FF"/>
              </w:rPr>
            </w:pPr>
            <w:r>
              <w:rPr>
                <w:rFonts w:ascii="Arial" w:cs="Arial" w:eastAsia="Arial" w:hAnsi="Arial"/>
                <w:sz w:val="18"/>
                <w:szCs w:val="18"/>
                <w:color w:val="0000FF"/>
              </w:rPr>
              <w:t>F-</w:t>
            </w:r>
            <w:hyperlink w:anchor="page207">
              <w:r>
                <w:rPr>
                  <w:rFonts w:ascii="Arial" w:cs="Arial" w:eastAsia="Arial" w:hAnsi="Arial"/>
                  <w:sz w:val="18"/>
                  <w:szCs w:val="18"/>
                  <w:color w:val="0000FF"/>
                </w:rPr>
                <w:t>41</w:t>
              </w:r>
            </w:hyperlink>
          </w:p>
        </w:tc>
      </w:tr>
      <w:tr>
        <w:trPr>
          <w:trHeight w:val="1688"/>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or otherwise distribute the securities offered by them as described in the section titled “</w:t>
      </w:r>
      <w:hyperlink w:anchor="page162">
        <w:r>
          <w:rPr>
            <w:rFonts w:ascii="Arial" w:cs="Arial" w:eastAsia="Arial" w:hAnsi="Arial"/>
            <w:sz w:val="17"/>
            <w:szCs w:val="17"/>
            <w:i w:val="1"/>
            <w:iCs w:val="1"/>
            <w:u w:val="single" w:color="auto"/>
            <w:color w:val="0000FF"/>
          </w:rPr>
          <w:t>Plan of Distribution</w:t>
        </w:r>
      </w:hyperlink>
      <w:r>
        <w:rPr>
          <w:rFonts w:ascii="Arial" w:cs="Arial" w:eastAsia="Arial" w:hAnsi="Arial"/>
          <w:sz w:val="17"/>
          <w:szCs w:val="17"/>
          <w:color w:val="auto"/>
        </w:rPr>
        <w:t>” in this prospectus. We will not receive any proceeds from the sale by such Selling Securityholders of the securities offered by them described in this prospectus. This prospectus also relates to the issuance by us of the shares of common stock issuable upon the exercise of any warrants. We will receive proceeds from any exercise of the warrants for cash.</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34" w:lineRule="exact"/>
        <w:rPr>
          <w:sz w:val="20"/>
          <w:szCs w:val="20"/>
          <w:color w:val="auto"/>
        </w:rPr>
      </w:pPr>
    </w:p>
    <w:p>
      <w:pPr>
        <w:jc w:val="both"/>
        <w:spacing w:after="0" w:line="259" w:lineRule="auto"/>
        <w:rPr>
          <w:rFonts w:ascii="Arial" w:cs="Arial" w:eastAsia="Arial" w:hAnsi="Arial"/>
          <w:sz w:val="18"/>
          <w:szCs w:val="18"/>
          <w:i w:val="1"/>
          <w:iCs w:val="1"/>
          <w:color w:val="0000FF"/>
        </w:rPr>
      </w:pPr>
      <w:r>
        <w:rPr>
          <w:rFonts w:ascii="Arial" w:cs="Arial" w:eastAsia="Arial" w:hAnsi="Arial"/>
          <w:sz w:val="18"/>
          <w:szCs w:val="18"/>
          <w:color w:val="auto"/>
        </w:rPr>
        <w:t xml:space="preserve">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w:t>
      </w:r>
      <w:hyperlink w:anchor="page167">
        <w:r>
          <w:rPr>
            <w:rFonts w:ascii="Arial" w:cs="Arial" w:eastAsia="Arial" w:hAnsi="Arial"/>
            <w:sz w:val="18"/>
            <w:szCs w:val="18"/>
            <w:color w:val="auto"/>
          </w:rPr>
          <w:t>the registration statement together with the additional information to which we refer you in the section of this prospectus entitled “</w:t>
        </w:r>
        <w:r>
          <w:rPr>
            <w:rFonts w:ascii="Arial" w:cs="Arial" w:eastAsia="Arial" w:hAnsi="Arial"/>
            <w:sz w:val="18"/>
            <w:szCs w:val="18"/>
            <w:i w:val="1"/>
            <w:iCs w:val="1"/>
            <w:u w:val="single" w:color="auto"/>
            <w:color w:val="0000FF"/>
          </w:rPr>
          <w:t>Where You Can Find</w:t>
        </w:r>
      </w:hyperlink>
      <w:r>
        <w:rPr>
          <w:rFonts w:ascii="Arial" w:cs="Arial" w:eastAsia="Arial" w:hAnsi="Arial"/>
          <w:sz w:val="18"/>
          <w:szCs w:val="18"/>
          <w:color w:val="auto"/>
        </w:rPr>
        <w:t xml:space="preserve"> </w:t>
      </w:r>
      <w:hyperlink w:anchor="page167">
        <w:r>
          <w:rPr>
            <w:rFonts w:ascii="Arial" w:cs="Arial" w:eastAsia="Arial" w:hAnsi="Arial"/>
            <w:sz w:val="18"/>
            <w:szCs w:val="18"/>
            <w:i w:val="1"/>
            <w:iCs w:val="1"/>
            <w:u w:val="single" w:color="auto"/>
            <w:color w:val="0000FF"/>
          </w:rPr>
          <w:t>More Information</w:t>
        </w:r>
        <w:r>
          <w:rPr>
            <w:rFonts w:ascii="Arial" w:cs="Arial" w:eastAsia="Arial" w:hAnsi="Arial"/>
            <w:sz w:val="18"/>
            <w:szCs w:val="18"/>
            <w:i w:val="1"/>
            <w:iCs w:val="1"/>
            <w:color w:val="000000"/>
          </w:rPr>
          <w:t>.</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the context otherwise requires, references in this prospectus to 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EIP,”</w:t>
      </w:r>
      <w:r>
        <w:rPr>
          <w:rFonts w:ascii="Arial" w:cs="Arial" w:eastAsia="Arial" w:hAnsi="Arial"/>
          <w:sz w:val="18"/>
          <w:szCs w:val="18"/>
          <w:color w:val="auto"/>
        </w:rPr>
        <w:t xml:space="preserve"> “</w:t>
      </w:r>
      <w:r>
        <w:rPr>
          <w:rFonts w:ascii="Arial" w:cs="Arial" w:eastAsia="Arial" w:hAnsi="Arial"/>
          <w:sz w:val="18"/>
          <w:szCs w:val="18"/>
          <w:i w:val="1"/>
          <w:iCs w:val="1"/>
          <w:color w:val="auto"/>
        </w:rPr>
        <w:t>2021 Plan</w:t>
      </w:r>
      <w:r>
        <w:rPr>
          <w:rFonts w:ascii="Arial" w:cs="Arial" w:eastAsia="Arial" w:hAnsi="Arial"/>
          <w:sz w:val="18"/>
          <w:szCs w:val="18"/>
          <w:color w:val="auto"/>
        </w:rPr>
        <w:t xml:space="preserve">” or “2021 </w:t>
      </w:r>
      <w:r>
        <w:rPr>
          <w:rFonts w:ascii="Arial" w:cs="Arial" w:eastAsia="Arial" w:hAnsi="Arial"/>
          <w:sz w:val="18"/>
          <w:szCs w:val="18"/>
          <w:i w:val="1"/>
          <w:iCs w:val="1"/>
          <w:color w:val="auto"/>
        </w:rPr>
        <w:t>Incentive Plan</w:t>
      </w:r>
      <w:r>
        <w:rPr>
          <w:rFonts w:ascii="Arial" w:cs="Arial" w:eastAsia="Arial" w:hAnsi="Arial"/>
          <w:sz w:val="18"/>
          <w:szCs w:val="18"/>
          <w:color w:val="auto"/>
        </w:rPr>
        <w:t>” means the Sema4 Holdings Corp. 2021 Equity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the transactions contemplated by the Acquisition Merger Agreement, including the Mergers.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Merger Agreement</w:t>
      </w:r>
      <w:r>
        <w:rPr>
          <w:rFonts w:ascii="Arial" w:cs="Arial" w:eastAsia="Arial" w:hAnsi="Arial"/>
          <w:sz w:val="18"/>
          <w:szCs w:val="18"/>
          <w:color w:val="auto"/>
        </w:rPr>
        <w:t>” means that certain Agreement and Plan of Merger and Reorganization, dated as of January 14, 2022, by and among the Company, Merger Sub I, Merger Sub II, GeneDx, OPKO, and Holdco.</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PIPE Investment</w:t>
      </w:r>
      <w:r>
        <w:rPr>
          <w:rFonts w:ascii="Arial" w:cs="Arial" w:eastAsia="Arial" w:hAnsi="Arial"/>
          <w:sz w:val="18"/>
          <w:szCs w:val="18"/>
          <w:color w:val="auto"/>
        </w:rPr>
        <w:t>” means the private placement pursuant to which the Acquisition PIPE Investors have collectively subscribed for the Acquisition PIPE Shares at $4.00 per share, for an aggregate purchase price of $200 million.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PIPE Investors</w:t>
      </w:r>
      <w:r>
        <w:rPr>
          <w:rFonts w:ascii="Arial" w:cs="Arial" w:eastAsia="Arial" w:hAnsi="Arial"/>
          <w:sz w:val="18"/>
          <w:szCs w:val="18"/>
          <w:color w:val="auto"/>
        </w:rPr>
        <w:t>” means certain institutional investors that have committed to invest in the Acquisition PIPE Investment pursuant to, and on the terms and subject to the conditions of, the Acquisition Subscription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PIPE Shares</w:t>
      </w:r>
      <w:r>
        <w:rPr>
          <w:rFonts w:ascii="Arial" w:cs="Arial" w:eastAsia="Arial" w:hAnsi="Arial"/>
          <w:sz w:val="18"/>
          <w:szCs w:val="18"/>
          <w:color w:val="auto"/>
        </w:rPr>
        <w:t>” means the 50 million shares of Class A common stock to be issued in the Acquisition PIPE Investment.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Subscription Agreements</w:t>
      </w:r>
      <w:r>
        <w:rPr>
          <w:rFonts w:ascii="Arial" w:cs="Arial" w:eastAsia="Arial" w:hAnsi="Arial"/>
          <w:sz w:val="18"/>
          <w:szCs w:val="18"/>
          <w:color w:val="auto"/>
        </w:rPr>
        <w:t>” means, collectively, those certain subscription agreements entered into on January 14, 2022, between the Company and the Acquisition PIPE Investors, pursuant to which such investors have agreed to purchase the Acquisition PIPE Shares in the Acquisition PIPE Investment on the terms and subject to the conditions of the Acquisition Subscription Agreements.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or “</w:t>
      </w:r>
      <w:r>
        <w:rPr>
          <w:rFonts w:ascii="Arial" w:cs="Arial" w:eastAsia="Arial" w:hAnsi="Arial"/>
          <w:sz w:val="18"/>
          <w:szCs w:val="18"/>
          <w:i w:val="1"/>
          <w:iCs w:val="1"/>
          <w:color w:val="auto"/>
        </w:rPr>
        <w:t>Charter</w:t>
      </w:r>
      <w:r>
        <w:rPr>
          <w:rFonts w:ascii="Arial" w:cs="Arial" w:eastAsia="Arial" w:hAnsi="Arial"/>
          <w:sz w:val="18"/>
          <w:szCs w:val="18"/>
          <w:color w:val="auto"/>
        </w:rPr>
        <w:t>” means the Third Amended and Restated Certificate of Incorporation of the Company, dated as of July 22, 2021.“</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Bylaws</w:t>
      </w:r>
      <w:r>
        <w:rPr>
          <w:rFonts w:ascii="Arial" w:cs="Arial" w:eastAsia="Arial" w:hAnsi="Arial"/>
          <w:sz w:val="18"/>
          <w:szCs w:val="18"/>
          <w:color w:val="auto"/>
        </w:rPr>
        <w:t>” means the Restated Bylaws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w:t>
      </w:r>
      <w:r>
        <w:rPr>
          <w:rFonts w:ascii="Arial" w:cs="Arial" w:eastAsia="Arial" w:hAnsi="Arial"/>
          <w:sz w:val="16"/>
          <w:szCs w:val="16"/>
          <w:color w:val="auto"/>
        </w:rPr>
        <w:t>” means the transactions contemplated by the Prior Merger Agreement, including the Prior Merger and the Prior PIPE Investment.</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w:t>
      </w:r>
      <w:r>
        <w:rPr>
          <w:rFonts w:ascii="Arial" w:cs="Arial" w:eastAsia="Arial" w:hAnsi="Arial"/>
          <w:sz w:val="18"/>
          <w:szCs w:val="18"/>
          <w:color w:val="auto"/>
        </w:rPr>
        <w:t>” means the $150 million in cash to be paid by the Company to OPKO at the Closing pursuant to the Acquisition Merger Agreement, subject to certain adjustments as provided in the Acquisition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or “</w:t>
      </w:r>
      <w:r>
        <w:rPr>
          <w:rFonts w:ascii="Arial" w:cs="Arial" w:eastAsia="Arial" w:hAnsi="Arial"/>
          <w:sz w:val="18"/>
          <w:szCs w:val="18"/>
          <w:i w:val="1"/>
          <w:iCs w:val="1"/>
          <w:color w:val="auto"/>
        </w:rPr>
        <w:t>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w:t>
      </w:r>
      <w:r>
        <w:rPr>
          <w:rFonts w:ascii="Arial" w:cs="Arial" w:eastAsia="Arial" w:hAnsi="Arial"/>
          <w:sz w:val="18"/>
          <w:szCs w:val="18"/>
          <w:color w:val="auto"/>
        </w:rPr>
        <w:t>” means the shares of Class B common stock, par value $0.0001 per share, of the Company, which automatically converted into shares of Class A common stock in connection with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July 22, 2021 or the closing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CMLS</w:t>
      </w:r>
      <w:r>
        <w:rPr>
          <w:rFonts w:ascii="Arial" w:cs="Arial" w:eastAsia="Arial" w:hAnsi="Arial"/>
          <w:sz w:val="18"/>
          <w:szCs w:val="18"/>
          <w:color w:val="auto"/>
        </w:rPr>
        <w:t>” means CM Life Sciences, Inc., a Delaware corporation, prior to the Closing.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Sema4 prior to the closing of the Business Combination and Sema4 Holdings and its subsidiary following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up to 19,021,576 shares of our Class A common stock issuable pursuant to the Prior Merger Agreement to certain Legacy Sema4 equity holders (as defined below) upon the achievement of certain vesting conditions.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RSU Shares</w:t>
      </w:r>
      <w:r>
        <w:rPr>
          <w:rFonts w:ascii="Arial" w:cs="Arial" w:eastAsia="Arial" w:hAnsi="Arial"/>
          <w:sz w:val="18"/>
          <w:szCs w:val="18"/>
          <w:color w:val="auto"/>
        </w:rPr>
        <w:t>” means up to 2,689,764 shares of our Class A common stock issuable pursuant to the Earn-Out RSUs upon achievement of certain vesting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RSUs</w:t>
      </w:r>
      <w:r>
        <w:rPr>
          <w:rFonts w:ascii="Arial" w:cs="Arial" w:eastAsia="Arial" w:hAnsi="Arial"/>
          <w:sz w:val="17"/>
          <w:szCs w:val="17"/>
          <w:color w:val="auto"/>
        </w:rPr>
        <w:t>” means certain RSU awards issuable pursuant to the Prior Merger Agreement upon the achievement of certain vesting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means the time the First Merger becomes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means the merger of Merger Sub I with and into HoldCo, with HoldCo as the surviving corporation in the First Merger.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11,068,750 shares of our Class A common stock issued to the Sponsor and the other Initial Stockholders in connection with the automatic conversion of the Class B common stock in connection with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w:t>
      </w:r>
      <w:r>
        <w:rPr>
          <w:rFonts w:ascii="Arial" w:cs="Arial" w:eastAsia="Arial" w:hAnsi="Arial"/>
          <w:sz w:val="18"/>
          <w:szCs w:val="18"/>
          <w:color w:val="auto"/>
        </w:rPr>
        <w:t>” means GeneDx, Inc., a New Jersey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HoldCo</w:t>
      </w:r>
      <w:r>
        <w:rPr>
          <w:rFonts w:ascii="Arial" w:cs="Arial" w:eastAsia="Arial" w:hAnsi="Arial"/>
          <w:sz w:val="18"/>
          <w:szCs w:val="18"/>
          <w:color w:val="auto"/>
        </w:rPr>
        <w:t>” means GeneDx Holding 2, Inc., which will own 100% of GeneDx immediately following the Effective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Stockholders</w:t>
      </w:r>
      <w:r>
        <w:rPr>
          <w:rFonts w:ascii="Arial" w:cs="Arial" w:eastAsia="Arial" w:hAnsi="Arial"/>
          <w:sz w:val="18"/>
          <w:szCs w:val="18"/>
          <w:color w:val="auto"/>
        </w:rPr>
        <w:t>” means the Sponsor together with Munib Islam, Emily Leproust and Nat Turner.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IPO</w:t>
      </w:r>
      <w:r>
        <w:rPr>
          <w:rFonts w:ascii="Arial" w:cs="Arial" w:eastAsia="Arial" w:hAnsi="Arial"/>
          <w:sz w:val="17"/>
          <w:szCs w:val="17"/>
          <w:color w:val="auto"/>
        </w:rPr>
        <w:t>” or “</w:t>
      </w:r>
      <w:r>
        <w:rPr>
          <w:rFonts w:ascii="Arial" w:cs="Arial" w:eastAsia="Arial" w:hAnsi="Arial"/>
          <w:sz w:val="17"/>
          <w:szCs w:val="17"/>
          <w:i w:val="1"/>
          <w:iCs w:val="1"/>
          <w:color w:val="auto"/>
        </w:rPr>
        <w:t>CMLS IPO</w:t>
      </w:r>
      <w:r>
        <w:rPr>
          <w:rFonts w:ascii="Arial" w:cs="Arial" w:eastAsia="Arial" w:hAnsi="Arial"/>
          <w:sz w:val="17"/>
          <w:szCs w:val="17"/>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jc w:val="both"/>
        <w:spacing w:after="0" w:line="290" w:lineRule="auto"/>
        <w:rPr>
          <w:rFonts w:ascii="Arial" w:cs="Arial" w:eastAsia="Arial" w:hAnsi="Arial"/>
          <w:sz w:val="16"/>
          <w:szCs w:val="16"/>
          <w:i w:val="1"/>
          <w:iCs w:val="1"/>
          <w:color w:val="0000FF"/>
        </w:rPr>
      </w:pPr>
      <w:hyperlink w:anchor="page82">
        <w:r>
          <w:rPr>
            <w:rFonts w:ascii="Arial" w:cs="Arial" w:eastAsia="Arial" w:hAnsi="Arial"/>
            <w:sz w:val="16"/>
            <w:szCs w:val="16"/>
            <w:color w:val="auto"/>
          </w:rPr>
          <w:t>“</w:t>
        </w:r>
        <w:r>
          <w:rPr>
            <w:rFonts w:ascii="Arial" w:cs="Arial" w:eastAsia="Arial" w:hAnsi="Arial"/>
            <w:sz w:val="16"/>
            <w:szCs w:val="16"/>
            <w:i w:val="1"/>
            <w:iCs w:val="1"/>
            <w:color w:val="auto"/>
          </w:rPr>
          <w:t>leader</w:t>
        </w:r>
        <w:r>
          <w:rPr>
            <w:rFonts w:ascii="Arial" w:cs="Arial" w:eastAsia="Arial" w:hAnsi="Arial"/>
            <w:sz w:val="16"/>
            <w:szCs w:val="16"/>
            <w:color w:val="auto"/>
          </w:rPr>
          <w:t>,” “</w:t>
        </w:r>
        <w:r>
          <w:rPr>
            <w:rFonts w:ascii="Arial" w:cs="Arial" w:eastAsia="Arial" w:hAnsi="Arial"/>
            <w:sz w:val="16"/>
            <w:szCs w:val="16"/>
            <w:i w:val="1"/>
            <w:iCs w:val="1"/>
            <w:color w:val="auto"/>
          </w:rPr>
          <w:t>leading</w:t>
        </w:r>
        <w:r>
          <w:rPr>
            <w:rFonts w:ascii="Arial" w:cs="Arial" w:eastAsia="Arial" w:hAnsi="Arial"/>
            <w:sz w:val="16"/>
            <w:szCs w:val="16"/>
            <w:color w:val="auto"/>
          </w:rPr>
          <w:t>,” “</w:t>
        </w:r>
        <w:r>
          <w:rPr>
            <w:rFonts w:ascii="Arial" w:cs="Arial" w:eastAsia="Arial" w:hAnsi="Arial"/>
            <w:sz w:val="16"/>
            <w:szCs w:val="16"/>
            <w:i w:val="1"/>
            <w:iCs w:val="1"/>
            <w:color w:val="auto"/>
          </w:rPr>
          <w:t>industry-leading</w:t>
        </w:r>
        <w:r>
          <w:rPr>
            <w:rFonts w:ascii="Arial" w:cs="Arial" w:eastAsia="Arial" w:hAnsi="Arial"/>
            <w:sz w:val="16"/>
            <w:szCs w:val="16"/>
            <w:color w:val="auto"/>
          </w:rPr>
          <w:t>,” and other similar statements included in this prospectus and, in particular, in the section entitled “</w:t>
        </w:r>
        <w:r>
          <w:rPr>
            <w:rFonts w:ascii="Arial" w:cs="Arial" w:eastAsia="Arial" w:hAnsi="Arial"/>
            <w:sz w:val="16"/>
            <w:szCs w:val="16"/>
            <w:i w:val="1"/>
            <w:iCs w:val="1"/>
            <w:u w:val="single" w:color="auto"/>
            <w:color w:val="0000FF"/>
          </w:rPr>
          <w:t>Sema4’s</w:t>
        </w:r>
      </w:hyperlink>
      <w:r>
        <w:rPr>
          <w:rFonts w:ascii="Arial" w:cs="Arial" w:eastAsia="Arial" w:hAnsi="Arial"/>
          <w:sz w:val="16"/>
          <w:szCs w:val="16"/>
          <w:color w:val="auto"/>
        </w:rPr>
        <w:t xml:space="preserve"> </w:t>
      </w:r>
      <w:hyperlink w:anchor="page82">
        <w:r>
          <w:rPr>
            <w:rFonts w:ascii="Arial" w:cs="Arial" w:eastAsia="Arial" w:hAnsi="Arial"/>
            <w:sz w:val="16"/>
            <w:szCs w:val="16"/>
            <w:i w:val="1"/>
            <w:iCs w:val="1"/>
            <w:u w:val="single" w:color="auto"/>
            <w:color w:val="0000FF"/>
          </w:rPr>
          <w:t>Management’s Discussion and Analysis of Financial Condition and Results of Operations of Sema4</w:t>
        </w:r>
        <w:r>
          <w:rPr>
            <w:rFonts w:ascii="Arial" w:cs="Arial" w:eastAsia="Arial" w:hAnsi="Arial"/>
            <w:sz w:val="16"/>
            <w:szCs w:val="16"/>
            <w:color w:val="000000"/>
          </w:rPr>
          <w:t>,” regarding Sema4 and its products and services are</w:t>
        </w:r>
      </w:hyperlink>
      <w:r>
        <w:rPr>
          <w:rFonts w:ascii="Arial" w:cs="Arial" w:eastAsia="Arial" w:hAnsi="Arial"/>
          <w:sz w:val="16"/>
          <w:szCs w:val="16"/>
          <w:i w:val="1"/>
          <w:iCs w:val="1"/>
          <w:color w:val="0000FF"/>
        </w:rPr>
        <w:t xml:space="preserve"> </w:t>
      </w:r>
      <w:r>
        <w:rPr>
          <w:rFonts w:ascii="Arial" w:cs="Arial" w:eastAsia="Arial" w:hAnsi="Arial"/>
          <w:sz w:val="16"/>
          <w:szCs w:val="16"/>
          <w:color w:val="000000"/>
        </w:rPr>
        <w:t>based on Sema4’s belief in its competitive advantages in data, analytics and patient and provider engagement, in particular with respect to Sema4’s diagnostic solutions and genomic platform. Sema4 bases its beliefs regarding these matters, including its estimates of its and GeneDx’s respective market share in its sector, on Sema4’s collective institutional knowledge and expertise regarding its and GeneDx’s industries, markets and technology, which are based on, among other things, publicly available information, reports of government agencies, RFPs and the results of contract bids and awards, industry research firms, and information supplied to Sema4 by GeneDx, as well as Sema4’s internal research, calculations and assumptions based on its analysis of such information and data. Sema4 believes these assertions to be reasonable and accurate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contemplated by the Prior Merger Agreement, whereby Merger Sub merged with and into Sema4, with Sema4 surviving the merger as a wholly-owned subsidiary of the Company on the Closing Date.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Mergers</w:t>
      </w:r>
      <w:r>
        <w:rPr>
          <w:rFonts w:ascii="Arial" w:cs="Arial" w:eastAsia="Arial" w:hAnsi="Arial"/>
          <w:sz w:val="17"/>
          <w:szCs w:val="17"/>
          <w:color w:val="auto"/>
        </w:rPr>
        <w:t>” means the First Merger and the Second Merger.“</w:t>
      </w:r>
      <w:r>
        <w:rPr>
          <w:rFonts w:ascii="Arial" w:cs="Arial" w:eastAsia="Arial" w:hAnsi="Arial"/>
          <w:sz w:val="17"/>
          <w:szCs w:val="17"/>
          <w:i w:val="1"/>
          <w:iCs w:val="1"/>
          <w:color w:val="auto"/>
        </w:rPr>
        <w:t>Merger Consideration</w:t>
      </w:r>
      <w:r>
        <w:rPr>
          <w:rFonts w:ascii="Arial" w:cs="Arial" w:eastAsia="Arial" w:hAnsi="Arial"/>
          <w:sz w:val="17"/>
          <w:szCs w:val="17"/>
          <w:color w:val="auto"/>
        </w:rPr>
        <w:t>” means the Cash Consideration and the Stock Consideration.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means S-IV Sub, Inc., a Delaware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w:t>
      </w:r>
      <w:r>
        <w:rPr>
          <w:rFonts w:ascii="Arial" w:cs="Arial" w:eastAsia="Arial" w:hAnsi="Arial"/>
          <w:sz w:val="18"/>
          <w:szCs w:val="18"/>
          <w:color w:val="auto"/>
        </w:rPr>
        <w:t>” means Orion Merger Sub I,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II</w:t>
      </w:r>
      <w:r>
        <w:rPr>
          <w:rFonts w:ascii="Arial" w:cs="Arial" w:eastAsia="Arial" w:hAnsi="Arial"/>
          <w:sz w:val="18"/>
          <w:szCs w:val="18"/>
          <w:color w:val="auto"/>
        </w:rPr>
        <w:t>” means Orion Merger Sub II,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Global Select Market,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OPKO</w:t>
      </w:r>
      <w:r>
        <w:rPr>
          <w:rFonts w:ascii="Arial" w:cs="Arial" w:eastAsia="Arial" w:hAnsi="Arial"/>
          <w:sz w:val="18"/>
          <w:szCs w:val="18"/>
          <w:color w:val="auto"/>
        </w:rPr>
        <w:t>” means OPKO Health, Inc.</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Merger Agreement</w:t>
      </w:r>
      <w:r>
        <w:rPr>
          <w:rFonts w:ascii="Arial" w:cs="Arial" w:eastAsia="Arial" w:hAnsi="Arial"/>
          <w:sz w:val="18"/>
          <w:szCs w:val="18"/>
          <w:color w:val="auto"/>
        </w:rPr>
        <w:t>” means that certain Agreement and Plan of Merger, dated as of February 9, 2021, as amended, by and among CM Life Sciences, Inc., S-IV Sub, Inc. and Mount Sinai Genomics, Inc. d/b/a Sema4.</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Prior PIPE Investment</w:t>
      </w:r>
      <w:r>
        <w:rPr>
          <w:rFonts w:ascii="Arial" w:cs="Arial" w:eastAsia="Arial" w:hAnsi="Arial"/>
          <w:sz w:val="17"/>
          <w:szCs w:val="17"/>
          <w:color w:val="auto"/>
        </w:rPr>
        <w:t>” means the private placement pursuant to which the Prior PIPE Investors collectively subscribed for 35,000,000 shares of our Class A common stock at $10.00 per share, for an aggregate purchase price of $350,000,000, on the closing of the Business Combination.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PIPE Investors</w:t>
      </w:r>
      <w:r>
        <w:rPr>
          <w:rFonts w:ascii="Arial" w:cs="Arial" w:eastAsia="Arial" w:hAnsi="Arial"/>
          <w:sz w:val="18"/>
          <w:szCs w:val="18"/>
          <w:color w:val="auto"/>
        </w:rPr>
        <w:t>” means certain institutional investors that invested in the Prior PIPE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PIPE Shares</w:t>
      </w:r>
      <w:r>
        <w:rPr>
          <w:rFonts w:ascii="Arial" w:cs="Arial" w:eastAsia="Arial" w:hAnsi="Arial"/>
          <w:sz w:val="18"/>
          <w:szCs w:val="18"/>
          <w:color w:val="auto"/>
        </w:rPr>
        <w:t>” means the 35,000,000 shares of our Class A common stock issued in the Prior PIPE Investment.</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Subscription Agreements</w:t>
      </w:r>
      <w:r>
        <w:rPr>
          <w:rFonts w:ascii="Arial" w:cs="Arial" w:eastAsia="Arial" w:hAnsi="Arial"/>
          <w:sz w:val="18"/>
          <w:szCs w:val="18"/>
          <w:color w:val="auto"/>
        </w:rPr>
        <w:t>” means, collectively, those certain subscription agreements, entered into on February 9, 2021, between the Company and the Prior PIPE Investors.</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placement warrants</w:t>
      </w:r>
      <w:r>
        <w:rPr>
          <w:rFonts w:ascii="Arial" w:cs="Arial" w:eastAsia="Arial" w:hAnsi="Arial"/>
          <w:sz w:val="17"/>
          <w:szCs w:val="17"/>
          <w:color w:val="auto"/>
        </w:rPr>
        <w:t>” means the 7,236,667 warrants originally issued to the Sponsor and certain of the other Initial Stockholders in a private placement in connection with our IPO, each of which is exercisable for three-quarters of one share of common stock, in accordance with its terms.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common stock included in the units issued in our IPO.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units issued in our IPO, each of which is exercisable for three-quarters of one share of common stock, in accordance with its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2017 EIP, 2021 EIP or pursuant to the Prior Merger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Sarbanes-Oxley Act</w:t>
      </w:r>
      <w:r>
        <w:rPr>
          <w:rFonts w:ascii="Arial" w:cs="Arial" w:eastAsia="Arial" w:hAnsi="Arial"/>
          <w:sz w:val="18"/>
          <w:szCs w:val="18"/>
          <w:color w:val="auto"/>
        </w:rPr>
        <w:t>” or “</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means the merger of HoldCo, as the surviving corporation in the First Merger, with and into Merger Sub II, with Merger Sub II as the surviving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Securityholders</w:t>
      </w:r>
      <w:r>
        <w:rPr>
          <w:rFonts w:ascii="Arial" w:cs="Arial" w:eastAsia="Arial" w:hAnsi="Arial"/>
          <w:sz w:val="18"/>
          <w:szCs w:val="18"/>
          <w:color w:val="auto"/>
        </w:rPr>
        <w:t>” means the selling securityholders named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w:t>
      </w:r>
      <w:r>
        <w:rPr>
          <w:rFonts w:ascii="Arial" w:cs="Arial" w:eastAsia="Arial" w:hAnsi="Arial"/>
          <w:sz w:val="18"/>
          <w:szCs w:val="18"/>
          <w:color w:val="auto"/>
        </w:rPr>
        <w:t>” means (i) Mount Sinai Genomics, Inc. d/b/a Sema4, a Delaware corporation, prior to the closing of the Business Combination or (ii) Sema4 Holdings Corp., a Delaware corporation, following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Holdings</w:t>
      </w:r>
      <w:r>
        <w:rPr>
          <w:rFonts w:ascii="Arial" w:cs="Arial" w:eastAsia="Arial" w:hAnsi="Arial"/>
          <w:sz w:val="18"/>
          <w:szCs w:val="18"/>
          <w:color w:val="auto"/>
        </w:rPr>
        <w:t>” means Sema4 Holdings Corp., a Delaware corporation, following the closing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Sema4 equity holder</w:t>
      </w:r>
      <w:r>
        <w:rPr>
          <w:rFonts w:ascii="Arial" w:cs="Arial" w:eastAsia="Arial" w:hAnsi="Arial"/>
          <w:sz w:val="18"/>
          <w:szCs w:val="18"/>
          <w:color w:val="auto"/>
        </w:rPr>
        <w:t>” means certain former stockholders and equity award holders of Sema4.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Former Sponsor</w:t>
      </w:r>
      <w:r>
        <w:rPr>
          <w:rFonts w:ascii="Arial" w:cs="Arial" w:eastAsia="Arial" w:hAnsi="Arial"/>
          <w:sz w:val="18"/>
          <w:szCs w:val="18"/>
          <w:color w:val="auto"/>
        </w:rPr>
        <w:t>” means CMLS Holdings LLC, a Delaware limited liability company.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Meeting</w:t>
      </w:r>
      <w:r>
        <w:rPr>
          <w:rFonts w:ascii="Arial" w:cs="Arial" w:eastAsia="Arial" w:hAnsi="Arial"/>
          <w:sz w:val="18"/>
          <w:szCs w:val="18"/>
          <w:color w:val="auto"/>
        </w:rPr>
        <w:t>” means the special meeting of the stockholders of the Company (held in lieu of the 2022 annual meeting of stockholders) at which the stockholders will vote, among other things, (i) to approve the issuance of shares of the Company’s Class A common stock in connection with the Company’s acquisition of GeneDx, (ii) to approve the issuance of shares of Class A common stock in connection with a related private placement financing and (iii) to appoint two directors to the Board.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w:t>
      </w:r>
      <w:r>
        <w:rPr>
          <w:rFonts w:ascii="Arial" w:cs="Arial" w:eastAsia="Arial" w:hAnsi="Arial"/>
          <w:sz w:val="18"/>
          <w:szCs w:val="18"/>
          <w:color w:val="auto"/>
        </w:rPr>
        <w:t>” means the 80 million shares of Class A common stock to be issued by the Company to OPKO at the Closing pursuant to the Acquisition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w:t>
      </w:r>
      <w:r>
        <w:rPr>
          <w:rFonts w:ascii="Arial" w:cs="Arial" w:eastAsia="Arial" w:hAnsi="Arial"/>
          <w:sz w:val="18"/>
          <w:szCs w:val="18"/>
          <w:color w:val="auto"/>
        </w:rPr>
        <w:t>” means holders of shares of the Company’s Class A common stock.</w:t>
      </w:r>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 Agreements</w:t>
      </w:r>
      <w:r>
        <w:rPr>
          <w:rFonts w:ascii="Arial" w:cs="Arial" w:eastAsia="Arial" w:hAnsi="Arial"/>
          <w:sz w:val="18"/>
          <w:szCs w:val="18"/>
          <w:color w:val="auto"/>
        </w:rPr>
        <w:t>” means, collectively, those certain support agreements entered into on January 14, 2022, between OPKO, the Company and certain stockholders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This prospectus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hyperlink w:anchor="page21">
        <w:r>
          <w:rPr>
            <w:rFonts w:ascii="Arial" w:cs="Arial" w:eastAsia="Arial" w:hAnsi="Arial"/>
            <w:sz w:val="17"/>
            <w:szCs w:val="17"/>
            <w:i w:val="1"/>
            <w:iCs w:val="1"/>
            <w:u w:val="single" w:color="auto"/>
            <w:color w:val="0000FF"/>
          </w:rPr>
          <w:t>Risk Factors</w:t>
        </w:r>
      </w:hyperlink>
      <w:r>
        <w:rPr>
          <w:rFonts w:ascii="Arial" w:cs="Arial" w:eastAsia="Arial" w:hAnsi="Arial"/>
          <w:sz w:val="17"/>
          <w:szCs w:val="17"/>
          <w:i w:val="1"/>
          <w:iCs w:val="1"/>
          <w:color w:val="auto"/>
        </w:rPr>
        <w:t>.</w:t>
      </w:r>
      <w:r>
        <w:rPr>
          <w:rFonts w:ascii="Arial" w:cs="Arial" w:eastAsia="Arial" w:hAnsi="Arial"/>
          <w:sz w:val="17"/>
          <w:szCs w:val="17"/>
          <w:color w:val="auto"/>
        </w:rPr>
        <w:t>”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spacing w:after="0" w:line="269" w:lineRule="auto"/>
        <w:rPr>
          <w:rFonts w:ascii="Arial" w:cs="Arial" w:eastAsia="Arial" w:hAnsi="Arial"/>
          <w:sz w:val="17"/>
          <w:szCs w:val="17"/>
          <w:i w:val="1"/>
          <w:iCs w:val="1"/>
          <w:color w:val="0000FF"/>
        </w:rPr>
      </w:pPr>
      <w:hyperlink w:anchor="page82">
        <w:r>
          <w:rPr>
            <w:rFonts w:ascii="Arial" w:cs="Arial" w:eastAsia="Arial" w:hAnsi="Arial"/>
            <w:sz w:val="17"/>
            <w:szCs w:val="17"/>
            <w:color w:val="auto"/>
          </w:rPr>
          <w:t>Certain matters discussed in this prospectus, including matters discussed under the caption “</w:t>
        </w:r>
        <w:r>
          <w:rPr>
            <w:rFonts w:ascii="Arial" w:cs="Arial" w:eastAsia="Arial" w:hAnsi="Arial"/>
            <w:sz w:val="17"/>
            <w:szCs w:val="17"/>
            <w:i w:val="1"/>
            <w:iCs w:val="1"/>
            <w:u w:val="single" w:color="auto"/>
            <w:color w:val="0000FF"/>
          </w:rPr>
          <w:t>Sema4’s Management’s Discussion and Analysis of Financial</w:t>
        </w:r>
      </w:hyperlink>
      <w:r>
        <w:rPr>
          <w:rFonts w:ascii="Arial" w:cs="Arial" w:eastAsia="Arial" w:hAnsi="Arial"/>
          <w:sz w:val="17"/>
          <w:szCs w:val="17"/>
          <w:color w:val="auto"/>
        </w:rPr>
        <w:t xml:space="preserve"> </w:t>
      </w:r>
      <w:hyperlink w:anchor="page82">
        <w:r>
          <w:rPr>
            <w:rFonts w:ascii="Arial" w:cs="Arial" w:eastAsia="Arial" w:hAnsi="Arial"/>
            <w:sz w:val="17"/>
            <w:szCs w:val="17"/>
            <w:i w:val="1"/>
            <w:iCs w:val="1"/>
            <w:u w:val="single" w:color="auto"/>
            <w:color w:val="0000FF"/>
          </w:rPr>
          <w:t>Condition and Results of Operations</w:t>
        </w:r>
        <w:r>
          <w:rPr>
            <w:rFonts w:ascii="Arial" w:cs="Arial" w:eastAsia="Arial" w:hAnsi="Arial"/>
            <w:sz w:val="17"/>
            <w:szCs w:val="17"/>
            <w:color w:val="000000"/>
          </w:rPr>
          <w:t>” may constitute forward-looking statements for purposes of the Securities Act of 1933, as amended, or the Securities</w:t>
        </w:r>
      </w:hyperlink>
      <w:r>
        <w:rPr>
          <w:rFonts w:ascii="Arial" w:cs="Arial" w:eastAsia="Arial" w:hAnsi="Arial"/>
          <w:sz w:val="17"/>
          <w:szCs w:val="17"/>
          <w:i w:val="1"/>
          <w:iCs w:val="1"/>
          <w:color w:val="0000FF"/>
        </w:rPr>
        <w:t xml:space="preserve"> </w:t>
      </w:r>
      <w:r>
        <w:rPr>
          <w:rFonts w:ascii="Arial" w:cs="Arial" w:eastAsia="Arial" w:hAnsi="Arial"/>
          <w:sz w:val="17"/>
          <w:szCs w:val="17"/>
          <w:color w:val="000000"/>
        </w:rPr>
        <w:t xml:space="preserve">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w:t>
      </w:r>
      <w:hyperlink w:anchor="page82">
        <w:r>
          <w:rPr>
            <w:rFonts w:ascii="Arial" w:cs="Arial" w:eastAsia="Arial" w:hAnsi="Arial"/>
            <w:sz w:val="17"/>
            <w:szCs w:val="17"/>
            <w:color w:val="000000"/>
          </w:rPr>
          <w:t>variety of factors, including, without limitation, those discussed in the sections entitled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000000"/>
          </w:rPr>
          <w:t>,” “</w:t>
        </w:r>
        <w:r>
          <w:rPr>
            <w:rFonts w:ascii="Arial" w:cs="Arial" w:eastAsia="Arial" w:hAnsi="Arial"/>
            <w:sz w:val="17"/>
            <w:szCs w:val="17"/>
            <w:i w:val="1"/>
            <w:iCs w:val="1"/>
            <w:u w:val="single" w:color="auto"/>
            <w:color w:val="0000FF"/>
          </w:rPr>
          <w:t>Sema4’s Management’s Discussion and Analysis of</w:t>
        </w:r>
      </w:hyperlink>
      <w:r>
        <w:rPr>
          <w:rFonts w:ascii="Arial" w:cs="Arial" w:eastAsia="Arial" w:hAnsi="Arial"/>
          <w:sz w:val="17"/>
          <w:szCs w:val="17"/>
          <w:color w:val="000000"/>
        </w:rPr>
        <w:t xml:space="preserve"> </w:t>
      </w:r>
      <w:hyperlink w:anchor="page82">
        <w:r>
          <w:rPr>
            <w:rFonts w:ascii="Arial" w:cs="Arial" w:eastAsia="Arial" w:hAnsi="Arial"/>
            <w:sz w:val="17"/>
            <w:szCs w:val="17"/>
            <w:i w:val="1"/>
            <w:iCs w:val="1"/>
            <w:u w:val="single" w:color="auto"/>
            <w:color w:val="0000FF"/>
          </w:rPr>
          <w:t>Financial Condition and Results of Operations</w:t>
        </w:r>
        <w:r>
          <w:rPr>
            <w:rFonts w:ascii="Arial" w:cs="Arial" w:eastAsia="Arial" w:hAnsi="Arial"/>
            <w:sz w:val="17"/>
            <w:szCs w:val="17"/>
            <w:color w:val="000000"/>
          </w:rPr>
          <w:t>” and elsewhere in this prospectus, as well as other factors which may be identified from time to time in our</w:t>
        </w:r>
      </w:hyperlink>
      <w:r>
        <w:rPr>
          <w:rFonts w:ascii="Arial" w:cs="Arial" w:eastAsia="Arial" w:hAnsi="Arial"/>
          <w:sz w:val="17"/>
          <w:szCs w:val="17"/>
          <w:i w:val="1"/>
          <w:iCs w:val="1"/>
          <w:color w:val="0000FF"/>
        </w:rPr>
        <w:t xml:space="preserve"> </w:t>
      </w:r>
      <w:r>
        <w:rPr>
          <w:rFonts w:ascii="Arial" w:cs="Arial" w:eastAsia="Arial" w:hAnsi="Arial"/>
          <w:sz w:val="17"/>
          <w:szCs w:val="17"/>
          <w:color w:val="000000"/>
        </w:rPr>
        <w:t>other filings with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28" w:lineRule="exact"/>
        <w:rPr>
          <w:rFonts w:ascii="Arial" w:cs="Arial" w:eastAsia="Arial" w:hAnsi="Arial"/>
          <w:sz w:val="17"/>
          <w:szCs w:val="17"/>
          <w:i w:val="1"/>
          <w:iCs w:val="1"/>
          <w:color w:val="0000FF"/>
        </w:rPr>
      </w:pPr>
    </w:p>
    <w:p>
      <w:pPr>
        <w:ind w:left="660" w:right="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COVID-19;</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consummate the Acquisition and the other transactions contemplated by the Acquisition Merger Agreement and the related Acquisition PIPE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or, the FDA, or other regulatory authorities;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reliance on third-party laboratories and service providers for our test volume in connection with our diagnostic solutions and data programs;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for future capital requirements; and</w:t>
      </w:r>
    </w:p>
    <w:p>
      <w:pPr>
        <w:spacing w:after="0" w:line="200" w:lineRule="exact"/>
        <w:rPr>
          <w:rFonts w:ascii="Arial" w:cs="Arial" w:eastAsia="Arial" w:hAnsi="Arial"/>
          <w:sz w:val="17"/>
          <w:szCs w:val="17"/>
          <w:i w:val="1"/>
          <w:iCs w:val="1"/>
          <w:color w:val="0000FF"/>
        </w:rPr>
      </w:pPr>
    </w:p>
    <w:p>
      <w:pPr>
        <w:spacing w:after="0" w:line="200" w:lineRule="exact"/>
        <w:rPr>
          <w:rFonts w:ascii="Arial" w:cs="Arial" w:eastAsia="Arial" w:hAnsi="Arial"/>
          <w:sz w:val="17"/>
          <w:szCs w:val="17"/>
          <w:i w:val="1"/>
          <w:iCs w:val="1"/>
          <w:color w:val="0000FF"/>
        </w:rPr>
      </w:pPr>
    </w:p>
    <w:p>
      <w:pPr>
        <w:spacing w:after="0" w:line="200" w:lineRule="exact"/>
        <w:rPr>
          <w:rFonts w:ascii="Arial" w:cs="Arial" w:eastAsia="Arial" w:hAnsi="Arial"/>
          <w:sz w:val="17"/>
          <w:szCs w:val="17"/>
          <w:i w:val="1"/>
          <w:iCs w:val="1"/>
          <w:color w:val="0000FF"/>
        </w:rPr>
      </w:pPr>
    </w:p>
    <w:p>
      <w:pPr>
        <w:spacing w:after="0" w:line="200" w:lineRule="exact"/>
        <w:rPr>
          <w:rFonts w:ascii="Arial" w:cs="Arial" w:eastAsia="Arial" w:hAnsi="Arial"/>
          <w:sz w:val="17"/>
          <w:szCs w:val="17"/>
          <w:i w:val="1"/>
          <w:iCs w:val="1"/>
          <w:color w:val="0000FF"/>
        </w:rPr>
      </w:pPr>
    </w:p>
    <w:p>
      <w:pPr>
        <w:spacing w:after="0" w:line="289" w:lineRule="exact"/>
        <w:rPr>
          <w:rFonts w:ascii="Arial" w:cs="Arial" w:eastAsia="Arial" w:hAnsi="Arial"/>
          <w:sz w:val="17"/>
          <w:szCs w:val="17"/>
          <w:i w:val="1"/>
          <w:iCs w:val="1"/>
          <w:color w:val="0000FF"/>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rFonts w:ascii="Arial" w:cs="Arial" w:eastAsia="Arial" w:hAnsi="Arial"/>
          <w:sz w:val="17"/>
          <w:szCs w:val="17"/>
          <w:i w:val="1"/>
          <w:iCs w:val="1"/>
          <w:color w:val="0000FF"/>
        </w:rPr>
      </w:pPr>
      <w:r>
        <w:rPr>
          <w:rFonts w:ascii="Arial" w:cs="Arial" w:eastAsia="Arial" w:hAnsi="Arial"/>
          <w:sz w:val="17"/>
          <w:szCs w:val="17"/>
          <w:i w:val="1"/>
          <w:iCs w:val="1"/>
          <w:color w:val="0000FF"/>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forward-looking statements contained in this prospectus reflect our views and assumptions only as of the date of this prospectus. Except as required by law, we assume no responsibility for updating any forward-looking statements.</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spacing w:after="0" w:line="275" w:lineRule="auto"/>
        <w:rPr>
          <w:rFonts w:ascii="Arial" w:cs="Arial" w:eastAsia="Arial" w:hAnsi="Arial"/>
          <w:sz w:val="17"/>
          <w:szCs w:val="17"/>
          <w:i w:val="1"/>
          <w:iCs w:val="1"/>
          <w:color w:val="0000FF"/>
        </w:rPr>
      </w:pPr>
      <w:r>
        <w:rPr>
          <w:rFonts w:ascii="Arial" w:cs="Arial" w:eastAsia="Arial" w:hAnsi="Arial"/>
          <w:sz w:val="17"/>
          <w:szCs w:val="17"/>
          <w:color w:val="auto"/>
        </w:rPr>
        <w:t xml:space="preserve">The following summary highlights information contained in greater details elsewhere in this prospectus. This summary is not complete and does not contain all of the information you should consider in making your investment decision. You should read the entire prospectus carefully before making an investment in our common stock or warrants. You should carefully consider, among other things, </w:t>
      </w:r>
      <w:hyperlink w:anchor="page82">
        <w:r>
          <w:rPr>
            <w:rFonts w:ascii="Arial" w:cs="Arial" w:eastAsia="Arial" w:hAnsi="Arial"/>
            <w:sz w:val="17"/>
            <w:szCs w:val="17"/>
            <w:color w:val="auto"/>
          </w:rPr>
          <w:t>our financial statements and related notes and the sections titled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Management’s Discussion and Analysis of</w:t>
        </w:r>
      </w:hyperlink>
      <w:r>
        <w:rPr>
          <w:rFonts w:ascii="Arial" w:cs="Arial" w:eastAsia="Arial" w:hAnsi="Arial"/>
          <w:sz w:val="17"/>
          <w:szCs w:val="17"/>
          <w:color w:val="auto"/>
        </w:rPr>
        <w:t xml:space="preserve"> </w:t>
      </w:r>
      <w:hyperlink w:anchor="page82">
        <w:r>
          <w:rPr>
            <w:rFonts w:ascii="Arial" w:cs="Arial" w:eastAsia="Arial" w:hAnsi="Arial"/>
            <w:sz w:val="17"/>
            <w:szCs w:val="17"/>
            <w:i w:val="1"/>
            <w:iCs w:val="1"/>
            <w:u w:val="single" w:color="auto"/>
            <w:color w:val="0000FF"/>
          </w:rPr>
          <w:t>Financial Condition and Results of Operations</w:t>
        </w:r>
        <w:r>
          <w:rPr>
            <w:rFonts w:ascii="Arial" w:cs="Arial" w:eastAsia="Arial" w:hAnsi="Arial"/>
            <w:sz w:val="17"/>
            <w:szCs w:val="17"/>
            <w:color w:val="000000"/>
          </w:rPr>
          <w:t>” included elsewhere in this prospectus.</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2011, rare diseases, which is estimated to cost the U.S. healthcare system over $400 billion annually, and cardiovascular disease, where direct medical spend represents approximately $200 billion annually.</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 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partner. Learning from our long-standing relationship with Mount Sinai, we have refined a health system engagement model that is both operational and economic and designed to maximize both our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2022, we and our wholly-owned subsidiaries, Orion Merger Sub I, Inc., or Merger Sub I, and Orion Merger Sub II, LLC, or Merger Sub II, entered into an Agreement and Plan of Merger and Reorganization, or the Acquisition Merger Agreement, with GeneDx, Inc., a New Jersey corporation, or GeneDx, and a wholly-owned subsidiary of OPKO Health, Inc., or OPKO, GeneDx Holding 2, Inc., or Holdco, and OPKO to acquire 100% of GeneDx (which we refer to as the “Acquisition”). Subject to the terms and conditions of the Acquisition Merger Agreement, we will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our Class A common stock (valued at $4.86 per share), with such mix to be determined in our sole discretion.</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completion of the Acquisition is subject to a number of closing conditions (which, as of the date of this prospectus,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3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Concurrently with the execution of the Acquisition Merger Agreement, we entered into subscription agreements with certain institutional investors, pursuant to, and on the terms and subject to the conditions of which, these investors have collectively subscribed for 50 million shares of our Class A common stock for an aggregate purchase price equal to $200 million (which we refer to as the “Acquisition PIPE Investment”). The Acquisition PIPE Investment will be consummated substantially concurrently with the closing of the Acquisition.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Sema4 pursuant to the Prior Merger Agreement. In connection with the Business Combination, CMLS changed its name to Sema4 Holdings Corp. (“Sema4 Holdings”).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jc w:val="both"/>
        <w:ind w:right="20"/>
        <w:spacing w:after="0" w:line="259" w:lineRule="auto"/>
        <w:rPr>
          <w:rFonts w:ascii="Arial" w:cs="Arial" w:eastAsia="Arial" w:hAnsi="Arial"/>
          <w:sz w:val="18"/>
          <w:szCs w:val="18"/>
          <w:color w:val="auto"/>
        </w:rPr>
      </w:pPr>
      <w:r>
        <w:rPr>
          <w:rFonts w:ascii="Arial" w:cs="Arial" w:eastAsia="Arial" w:hAnsi="Arial"/>
          <w:sz w:val="18"/>
          <w:szCs w:val="18"/>
          <w:color w:val="auto"/>
        </w:rPr>
        <w:t>In evaluating an investment in our securities, investors should carefully read the risks described below, this prospectus and especially consider the factors discussed in the section entitled “</w:t>
      </w:r>
      <w:hyperlink w:anchor="page21">
        <w:r>
          <w:rPr>
            <w:rFonts w:ascii="Arial" w:cs="Arial" w:eastAsia="Arial" w:hAnsi="Arial"/>
            <w:sz w:val="18"/>
            <w:szCs w:val="18"/>
            <w:i w:val="1"/>
            <w:iCs w:val="1"/>
            <w:u w:val="single" w:color="auto"/>
            <w:color w:val="0000FF"/>
          </w:rPr>
          <w:t>Risk Factors</w:t>
        </w:r>
      </w:hyperlink>
      <w:r>
        <w:rPr>
          <w:rFonts w:ascii="Arial" w:cs="Arial" w:eastAsia="Arial" w:hAnsi="Arial"/>
          <w:sz w:val="18"/>
          <w:szCs w:val="18"/>
          <w:color w:val="auto"/>
        </w:rPr>
        <w:t>.”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133" w:lineRule="exact"/>
        <w:rPr>
          <w:sz w:val="20"/>
          <w:szCs w:val="20"/>
          <w:color w:val="auto"/>
        </w:rPr>
      </w:pPr>
    </w:p>
    <w:p>
      <w:pPr>
        <w:ind w:left="640" w:hanging="322"/>
        <w:spacing w:after="0" w:line="27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116" w:lineRule="exact"/>
        <w:rPr>
          <w:rFonts w:ascii="Arial" w:cs="Arial" w:eastAsia="Arial" w:hAnsi="Arial"/>
          <w:sz w:val="18"/>
          <w:szCs w:val="18"/>
          <w:color w:val="auto"/>
        </w:rPr>
      </w:pPr>
    </w:p>
    <w:p>
      <w:pPr>
        <w:ind w:left="960" w:hanging="318"/>
        <w:spacing w:after="0" w:line="277"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16" w:lineRule="exact"/>
        <w:rPr>
          <w:rFonts w:ascii="Arial" w:cs="Arial" w:eastAsia="Arial" w:hAnsi="Arial"/>
          <w:sz w:val="18"/>
          <w:szCs w:val="18"/>
          <w:color w:val="auto"/>
        </w:rPr>
      </w:pPr>
    </w:p>
    <w:p>
      <w:pPr>
        <w:ind w:left="960" w:right="20" w:hanging="318"/>
        <w:spacing w:after="0" w:line="277"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rFonts w:ascii="Arial" w:cs="Arial" w:eastAsia="Arial" w:hAnsi="Arial"/>
          <w:sz w:val="18"/>
          <w:szCs w:val="18"/>
          <w:color w:val="auto"/>
        </w:rPr>
      </w:pPr>
    </w:p>
    <w:p>
      <w:pPr>
        <w:jc w:val="both"/>
        <w:ind w:left="960" w:right="20" w:hanging="318"/>
        <w:spacing w:after="0" w:line="311" w:lineRule="auto"/>
        <w:tabs>
          <w:tab w:leader="none" w:pos="970" w:val="left"/>
        </w:tabs>
        <w:numPr>
          <w:ilvl w:val="1"/>
          <w:numId w:val="3"/>
        </w:numPr>
        <w:rPr>
          <w:rFonts w:ascii="Arial" w:cs="Arial" w:eastAsia="Arial" w:hAnsi="Arial"/>
          <w:sz w:val="16"/>
          <w:szCs w:val="16"/>
          <w:color w:val="auto"/>
        </w:rPr>
      </w:pPr>
      <w:r>
        <w:rPr>
          <w:rFonts w:ascii="Arial" w:cs="Arial" w:eastAsia="Arial" w:hAnsi="Arial"/>
          <w:sz w:val="16"/>
          <w:szCs w:val="16"/>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94" w:lineRule="exact"/>
        <w:rPr>
          <w:rFonts w:ascii="Arial" w:cs="Arial" w:eastAsia="Arial" w:hAnsi="Arial"/>
          <w:sz w:val="16"/>
          <w:szCs w:val="16"/>
          <w:color w:val="auto"/>
        </w:rPr>
      </w:pPr>
    </w:p>
    <w:p>
      <w:pPr>
        <w:ind w:left="960" w:right="20" w:hanging="318"/>
        <w:spacing w:after="0" w:line="277"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have limited experience with the development and commercialization of our databases and our health information and genomic platforms.</w:t>
      </w:r>
    </w:p>
    <w:p>
      <w:pPr>
        <w:spacing w:after="0" w:line="116" w:lineRule="exact"/>
        <w:rPr>
          <w:rFonts w:ascii="Arial" w:cs="Arial" w:eastAsia="Arial" w:hAnsi="Arial"/>
          <w:sz w:val="18"/>
          <w:szCs w:val="18"/>
          <w:color w:val="auto"/>
        </w:rPr>
      </w:pPr>
    </w:p>
    <w:p>
      <w:pPr>
        <w:ind w:left="960" w:right="20" w:hanging="318"/>
        <w:spacing w:after="0" w:line="277" w:lineRule="auto"/>
        <w:tabs>
          <w:tab w:leader="none" w:pos="97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16" w:lineRule="exact"/>
        <w:rPr>
          <w:rFonts w:ascii="Arial" w:cs="Arial" w:eastAsia="Arial" w:hAnsi="Arial"/>
          <w:sz w:val="18"/>
          <w:szCs w:val="18"/>
          <w:color w:val="auto"/>
        </w:rPr>
      </w:pPr>
    </w:p>
    <w:p>
      <w:pPr>
        <w:jc w:val="both"/>
        <w:ind w:left="960" w:right="20" w:hanging="318"/>
        <w:spacing w:after="0" w:line="263" w:lineRule="auto"/>
        <w:tabs>
          <w:tab w:leader="none" w:pos="97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29" w:lineRule="exact"/>
        <w:rPr>
          <w:rFonts w:ascii="Arial" w:cs="Arial" w:eastAsia="Arial" w:hAnsi="Arial"/>
          <w:sz w:val="18"/>
          <w:szCs w:val="18"/>
          <w:color w:val="auto"/>
        </w:rPr>
      </w:pPr>
    </w:p>
    <w:p>
      <w:pPr>
        <w:jc w:val="both"/>
        <w:ind w:left="960" w:hanging="318"/>
        <w:spacing w:after="0" w:line="263" w:lineRule="auto"/>
        <w:tabs>
          <w:tab w:leader="none" w:pos="983"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29" w:lineRule="exact"/>
        <w:rPr>
          <w:rFonts w:ascii="Arial" w:cs="Arial" w:eastAsia="Arial" w:hAnsi="Arial"/>
          <w:sz w:val="18"/>
          <w:szCs w:val="18"/>
          <w:color w:val="auto"/>
        </w:rPr>
      </w:pPr>
    </w:p>
    <w:p>
      <w:pPr>
        <w:ind w:left="960" w:hanging="318"/>
        <w:spacing w:after="0" w:line="342" w:lineRule="auto"/>
        <w:tabs>
          <w:tab w:leader="none" w:pos="970" w:val="left"/>
        </w:tabs>
        <w:numPr>
          <w:ilvl w:val="1"/>
          <w:numId w:val="3"/>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69" w:lineRule="exact"/>
        <w:rPr>
          <w:rFonts w:ascii="Arial" w:cs="Arial" w:eastAsia="Arial" w:hAnsi="Arial"/>
          <w:sz w:val="16"/>
          <w:szCs w:val="16"/>
          <w:color w:val="auto"/>
        </w:rPr>
      </w:pPr>
    </w:p>
    <w:p>
      <w:pPr>
        <w:jc w:val="both"/>
        <w:ind w:left="960" w:hanging="318"/>
        <w:spacing w:after="0" w:line="259" w:lineRule="auto"/>
        <w:tabs>
          <w:tab w:leader="none" w:pos="97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32" w:lineRule="exact"/>
        <w:rPr>
          <w:rFonts w:ascii="Arial" w:cs="Arial" w:eastAsia="Arial" w:hAnsi="Arial"/>
          <w:sz w:val="18"/>
          <w:szCs w:val="18"/>
          <w:color w:val="auto"/>
        </w:rPr>
      </w:pPr>
    </w:p>
    <w:p>
      <w:pPr>
        <w:jc w:val="both"/>
        <w:ind w:left="960" w:right="20" w:hanging="318"/>
        <w:spacing w:after="0" w:line="263"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73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60" w:right="20" w:hanging="318"/>
        <w:spacing w:after="0" w:line="277"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116" w:lineRule="exact"/>
        <w:rPr>
          <w:rFonts w:ascii="Arial" w:cs="Arial" w:eastAsia="Arial" w:hAnsi="Arial"/>
          <w:sz w:val="18"/>
          <w:szCs w:val="18"/>
          <w:color w:val="auto"/>
        </w:rPr>
      </w:pPr>
    </w:p>
    <w:p>
      <w:pPr>
        <w:jc w:val="both"/>
        <w:ind w:left="960" w:hanging="318"/>
        <w:spacing w:after="0" w:line="286" w:lineRule="auto"/>
        <w:tabs>
          <w:tab w:leader="none" w:pos="95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11" w:lineRule="exact"/>
        <w:rPr>
          <w:rFonts w:ascii="Arial" w:cs="Arial" w:eastAsia="Arial" w:hAnsi="Arial"/>
          <w:sz w:val="17"/>
          <w:szCs w:val="17"/>
          <w:color w:val="auto"/>
        </w:rPr>
      </w:pPr>
    </w:p>
    <w:p>
      <w:pPr>
        <w:ind w:left="960" w:right="20" w:hanging="318"/>
        <w:spacing w:after="0" w:line="277"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116" w:lineRule="exact"/>
        <w:rPr>
          <w:rFonts w:ascii="Arial" w:cs="Arial" w:eastAsia="Arial" w:hAnsi="Arial"/>
          <w:sz w:val="18"/>
          <w:szCs w:val="18"/>
          <w:color w:val="auto"/>
        </w:rPr>
      </w:pPr>
    </w:p>
    <w:p>
      <w:pPr>
        <w:jc w:val="both"/>
        <w:ind w:left="960" w:right="20" w:hanging="318"/>
        <w:spacing w:after="0" w:line="263" w:lineRule="auto"/>
        <w:tabs>
          <w:tab w:leader="none" w:pos="997"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129" w:lineRule="exact"/>
        <w:rPr>
          <w:rFonts w:ascii="Arial" w:cs="Arial" w:eastAsia="Arial" w:hAnsi="Arial"/>
          <w:sz w:val="18"/>
          <w:szCs w:val="18"/>
          <w:color w:val="auto"/>
        </w:rPr>
      </w:pPr>
    </w:p>
    <w:p>
      <w:pPr>
        <w:ind w:left="960" w:hanging="318"/>
        <w:spacing w:after="0" w:line="277"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make significant investments in our continued research and development of new products and services, which may not be successful.</w:t>
      </w:r>
    </w:p>
    <w:p>
      <w:pPr>
        <w:spacing w:after="0" w:line="116" w:lineRule="exact"/>
        <w:rPr>
          <w:rFonts w:ascii="Arial" w:cs="Arial" w:eastAsia="Arial" w:hAnsi="Arial"/>
          <w:sz w:val="18"/>
          <w:szCs w:val="18"/>
          <w:color w:val="auto"/>
        </w:rPr>
      </w:pPr>
    </w:p>
    <w:p>
      <w:pPr>
        <w:jc w:val="both"/>
        <w:ind w:left="960" w:hanging="318"/>
        <w:spacing w:after="0" w:line="257"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133"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71" w:lineRule="exact"/>
        <w:rPr>
          <w:rFonts w:ascii="Arial" w:cs="Arial" w:eastAsia="Arial" w:hAnsi="Arial"/>
          <w:sz w:val="18"/>
          <w:szCs w:val="18"/>
          <w:color w:val="auto"/>
        </w:rPr>
      </w:pPr>
    </w:p>
    <w:p>
      <w:pPr>
        <w:ind w:left="960" w:right="20" w:hanging="318"/>
        <w:spacing w:after="0" w:line="277"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changes in FDA enforcement discretion for LDTs could subject our operations to much more significant regulatory requirements.</w:t>
      </w:r>
    </w:p>
    <w:p>
      <w:pPr>
        <w:spacing w:after="0" w:line="116" w:lineRule="exact"/>
        <w:rPr>
          <w:rFonts w:ascii="Arial" w:cs="Arial" w:eastAsia="Arial" w:hAnsi="Arial"/>
          <w:sz w:val="18"/>
          <w:szCs w:val="18"/>
          <w:color w:val="auto"/>
        </w:rPr>
      </w:pPr>
    </w:p>
    <w:p>
      <w:pPr>
        <w:jc w:val="both"/>
        <w:ind w:left="960" w:right="20" w:hanging="318"/>
        <w:spacing w:after="0" w:line="263"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29"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face uncertainty related to healthcare reform, pricing, coverage and reimbursement, which could reduce our revenue.</w:t>
      </w:r>
    </w:p>
    <w:p>
      <w:pPr>
        <w:spacing w:after="0" w:line="194" w:lineRule="exact"/>
        <w:rPr>
          <w:rFonts w:ascii="Arial" w:cs="Arial" w:eastAsia="Arial" w:hAnsi="Arial"/>
          <w:sz w:val="16"/>
          <w:szCs w:val="16"/>
          <w:color w:val="auto"/>
        </w:rPr>
      </w:pPr>
    </w:p>
    <w:p>
      <w:pPr>
        <w:ind w:left="960" w:right="20" w:hanging="318"/>
        <w:spacing w:after="0" w:line="277" w:lineRule="auto"/>
        <w:tabs>
          <w:tab w:leader="none" w:pos="97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116" w:lineRule="exact"/>
        <w:rPr>
          <w:rFonts w:ascii="Arial" w:cs="Arial" w:eastAsia="Arial" w:hAnsi="Arial"/>
          <w:sz w:val="18"/>
          <w:szCs w:val="18"/>
          <w:color w:val="auto"/>
        </w:rPr>
      </w:pPr>
    </w:p>
    <w:p>
      <w:pPr>
        <w:jc w:val="both"/>
        <w:ind w:left="960" w:hanging="318"/>
        <w:spacing w:after="0" w:line="263" w:lineRule="auto"/>
        <w:tabs>
          <w:tab w:leader="none" w:pos="98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9" w:lineRule="exact"/>
        <w:rPr>
          <w:rFonts w:ascii="Arial" w:cs="Arial" w:eastAsia="Arial" w:hAnsi="Arial"/>
          <w:sz w:val="18"/>
          <w:szCs w:val="18"/>
          <w:color w:val="auto"/>
        </w:rPr>
      </w:pPr>
    </w:p>
    <w:p>
      <w:pPr>
        <w:ind w:left="960" w:right="20" w:hanging="318"/>
        <w:spacing w:after="0" w:line="277" w:lineRule="auto"/>
        <w:tabs>
          <w:tab w:leader="none" w:pos="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493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49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 References herein to “emerging growth company” 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5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35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4920" w:type="dxa"/>
            <w:vAlign w:val="bottom"/>
            <w:gridSpan w:val="4"/>
          </w:tcPr>
          <w:p>
            <w:pPr>
              <w:spacing w:after="0"/>
              <w:rPr>
                <w:sz w:val="20"/>
                <w:szCs w:val="20"/>
                <w:color w:val="auto"/>
              </w:rPr>
            </w:pPr>
            <w:r>
              <w:rPr>
                <w:rFonts w:ascii="Arial" w:cs="Arial" w:eastAsia="Arial" w:hAnsi="Arial"/>
                <w:sz w:val="18"/>
                <w:szCs w:val="18"/>
                <w:color w:val="auto"/>
              </w:rPr>
              <w:t>Sema4 Holdings Corp.</w:t>
            </w:r>
          </w:p>
        </w:tc>
        <w:tc>
          <w:tcPr>
            <w:tcW w:w="0" w:type="dxa"/>
            <w:vAlign w:val="bottom"/>
          </w:tcPr>
          <w:p>
            <w:pPr>
              <w:spacing w:after="0"/>
              <w:rPr>
                <w:sz w:val="1"/>
                <w:szCs w:val="1"/>
                <w:color w:val="auto"/>
              </w:rPr>
            </w:pPr>
          </w:p>
        </w:tc>
      </w:tr>
      <w:tr>
        <w:trPr>
          <w:trHeight w:val="283"/>
        </w:trPr>
        <w:tc>
          <w:tcPr>
            <w:tcW w:w="4940" w:type="dxa"/>
            <w:vAlign w:val="bottom"/>
          </w:tcPr>
          <w:p>
            <w:pPr>
              <w:spacing w:after="0"/>
              <w:rPr>
                <w:sz w:val="20"/>
                <w:szCs w:val="20"/>
                <w:color w:val="auto"/>
              </w:rPr>
            </w:pPr>
            <w:r>
              <w:rPr>
                <w:rFonts w:ascii="Arial" w:cs="Arial" w:eastAsia="Arial" w:hAnsi="Arial"/>
                <w:sz w:val="18"/>
                <w:szCs w:val="18"/>
                <w:b w:val="1"/>
                <w:bCs w:val="1"/>
                <w:color w:val="auto"/>
              </w:rPr>
              <w:t>Resale of common stock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Arial" w:cs="Arial" w:eastAsia="Arial" w:hAnsi="Arial"/>
                <w:sz w:val="18"/>
                <w:szCs w:val="18"/>
                <w:color w:val="auto"/>
                <w:w w:val="98"/>
              </w:rPr>
              <w:t>Shares of common stock offered by the Selling Securityholders</w:t>
            </w:r>
          </w:p>
        </w:tc>
        <w:tc>
          <w:tcPr>
            <w:tcW w:w="4920" w:type="dxa"/>
            <w:vAlign w:val="bottom"/>
            <w:gridSpan w:val="4"/>
          </w:tcPr>
          <w:p>
            <w:pPr>
              <w:spacing w:after="0"/>
              <w:rPr>
                <w:sz w:val="20"/>
                <w:szCs w:val="20"/>
                <w:color w:val="auto"/>
              </w:rPr>
            </w:pPr>
            <w:r>
              <w:rPr>
                <w:rFonts w:ascii="Arial" w:cs="Arial" w:eastAsia="Arial" w:hAnsi="Arial"/>
                <w:sz w:val="18"/>
                <w:szCs w:val="18"/>
                <w:color w:val="auto"/>
                <w:w w:val="92"/>
              </w:rPr>
              <w:t>Up to 236,223,401 shares of Class A common stock, consisting of:</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920" w:type="dxa"/>
            <w:vAlign w:val="bottom"/>
            <w:gridSpan w:val="4"/>
          </w:tcPr>
          <w:p>
            <w:pPr>
              <w:ind w:left="320"/>
              <w:spacing w:after="0"/>
              <w:rPr>
                <w:sz w:val="20"/>
                <w:szCs w:val="20"/>
                <w:color w:val="auto"/>
              </w:rPr>
            </w:pPr>
            <w:r>
              <w:rPr>
                <w:rFonts w:ascii="Arial" w:cs="Arial" w:eastAsia="Arial" w:hAnsi="Arial"/>
                <w:sz w:val="18"/>
                <w:szCs w:val="18"/>
                <w:color w:val="auto"/>
              </w:rPr>
              <w:t>a.  up to 35,000,000 Prior PIPE Shares;</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4920" w:type="dxa"/>
            <w:vAlign w:val="bottom"/>
            <w:gridSpan w:val="4"/>
          </w:tcPr>
          <w:p>
            <w:pPr>
              <w:ind w:left="320"/>
              <w:spacing w:after="0"/>
              <w:rPr>
                <w:sz w:val="20"/>
                <w:szCs w:val="20"/>
                <w:color w:val="auto"/>
              </w:rPr>
            </w:pPr>
            <w:r>
              <w:rPr>
                <w:rFonts w:ascii="Arial" w:cs="Arial" w:eastAsia="Arial" w:hAnsi="Arial"/>
                <w:sz w:val="18"/>
                <w:szCs w:val="18"/>
                <w:color w:val="auto"/>
              </w:rPr>
              <w:t>b.  up to 11,068,750 founder shares;</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4920" w:type="dxa"/>
            <w:vAlign w:val="bottom"/>
            <w:gridSpan w:val="4"/>
          </w:tcPr>
          <w:p>
            <w:pPr>
              <w:ind w:left="320"/>
              <w:spacing w:after="0"/>
              <w:rPr>
                <w:sz w:val="20"/>
                <w:szCs w:val="20"/>
                <w:color w:val="auto"/>
              </w:rPr>
            </w:pPr>
            <w:r>
              <w:rPr>
                <w:rFonts w:ascii="Arial" w:cs="Arial" w:eastAsia="Arial" w:hAnsi="Arial"/>
                <w:sz w:val="18"/>
                <w:szCs w:val="18"/>
                <w:color w:val="auto"/>
                <w:w w:val="92"/>
              </w:rPr>
              <w:t>c.  to 7,236,667 shares of our Class A common stock issuable</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920" w:type="dxa"/>
            <w:vAlign w:val="bottom"/>
            <w:gridSpan w:val="4"/>
          </w:tcPr>
          <w:p>
            <w:pPr>
              <w:ind w:left="640"/>
              <w:spacing w:after="0"/>
              <w:rPr>
                <w:sz w:val="20"/>
                <w:szCs w:val="20"/>
                <w:color w:val="auto"/>
              </w:rPr>
            </w:pPr>
            <w:r>
              <w:rPr>
                <w:rFonts w:ascii="Arial" w:cs="Arial" w:eastAsia="Arial" w:hAnsi="Arial"/>
                <w:sz w:val="18"/>
                <w:szCs w:val="18"/>
                <w:color w:val="auto"/>
                <w:w w:val="93"/>
              </w:rPr>
              <w:t>upon the exercise of the private placement warrants; and</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4920" w:type="dxa"/>
            <w:vAlign w:val="bottom"/>
            <w:gridSpan w:val="4"/>
          </w:tcPr>
          <w:p>
            <w:pPr>
              <w:ind w:left="320"/>
              <w:spacing w:after="0"/>
              <w:rPr>
                <w:sz w:val="20"/>
                <w:szCs w:val="20"/>
                <w:color w:val="auto"/>
              </w:rPr>
            </w:pPr>
            <w:r>
              <w:rPr>
                <w:rFonts w:ascii="Arial" w:cs="Arial" w:eastAsia="Arial" w:hAnsi="Arial"/>
                <w:sz w:val="18"/>
                <w:szCs w:val="18"/>
                <w:color w:val="auto"/>
                <w:w w:val="92"/>
              </w:rPr>
              <w:t>d.  up to 182,918,105 shares of Class A common stock issued</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Arial" w:cs="Arial" w:eastAsia="Arial" w:hAnsi="Arial"/>
                <w:sz w:val="18"/>
                <w:szCs w:val="18"/>
                <w:color w:val="auto"/>
                <w:w w:val="91"/>
              </w:rPr>
              <w:t>or issuable to the Sema4 equity holders in connection with</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Arial" w:cs="Arial" w:eastAsia="Arial" w:hAnsi="Arial"/>
                <w:sz w:val="18"/>
                <w:szCs w:val="18"/>
                <w:color w:val="auto"/>
              </w:rPr>
              <w:t>or as a result of the consummation of the Business</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Arial" w:cs="Arial" w:eastAsia="Arial" w:hAnsi="Arial"/>
                <w:sz w:val="18"/>
                <w:szCs w:val="18"/>
                <w:color w:val="auto"/>
              </w:rPr>
              <w:t>Combination consisting of:</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Arial" w:cs="Arial" w:eastAsia="Arial" w:hAnsi="Arial"/>
                <w:sz w:val="18"/>
                <w:szCs w:val="18"/>
                <w:color w:val="auto"/>
              </w:rPr>
              <w:t>(i)  up to 149,856,840 shares of our Class A common</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Arial" w:cs="Arial" w:eastAsia="Arial" w:hAnsi="Arial"/>
                <w:sz w:val="18"/>
                <w:szCs w:val="18"/>
                <w:color w:val="auto"/>
                <w:w w:val="99"/>
              </w:rPr>
              <w:t>(ii) up to 14,039,689 shares of Class A common stock</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Arial" w:cs="Arial" w:eastAsia="Arial" w:hAnsi="Arial"/>
                <w:sz w:val="18"/>
                <w:szCs w:val="18"/>
                <w:color w:val="auto"/>
                <w:w w:val="92"/>
              </w:rPr>
              <w:t>issuable upon the exercise or vesting of certain equity</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Arial" w:cs="Arial" w:eastAsia="Arial" w:hAnsi="Arial"/>
                <w:sz w:val="18"/>
                <w:szCs w:val="18"/>
                <w:color w:val="auto"/>
              </w:rPr>
              <w:t>awards; and</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920" w:type="dxa"/>
            <w:vAlign w:val="bottom"/>
            <w:gridSpan w:val="4"/>
          </w:tcPr>
          <w:p>
            <w:pPr>
              <w:ind w:left="640"/>
              <w:spacing w:after="0"/>
              <w:rPr>
                <w:sz w:val="20"/>
                <w:szCs w:val="20"/>
                <w:color w:val="auto"/>
              </w:rPr>
            </w:pPr>
            <w:r>
              <w:rPr>
                <w:rFonts w:ascii="Arial" w:cs="Arial" w:eastAsia="Arial" w:hAnsi="Arial"/>
                <w:sz w:val="18"/>
                <w:szCs w:val="18"/>
                <w:color w:val="auto"/>
              </w:rPr>
              <w:t>(iii) up to 19,021,576 Earn-Out Shares.</w:t>
            </w: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0"/>
                <w:szCs w:val="20"/>
                <w:color w:val="auto"/>
              </w:rPr>
            </w:pPr>
            <w:r>
              <w:rPr>
                <w:rFonts w:ascii="Arial" w:cs="Arial" w:eastAsia="Arial" w:hAnsi="Arial"/>
                <w:sz w:val="18"/>
                <w:szCs w:val="18"/>
                <w:color w:val="auto"/>
              </w:rPr>
              <w:t>Terms of the offering</w:t>
            </w:r>
          </w:p>
        </w:tc>
        <w:tc>
          <w:tcPr>
            <w:tcW w:w="4920" w:type="dxa"/>
            <w:vAlign w:val="bottom"/>
            <w:gridSpan w:val="4"/>
          </w:tcPr>
          <w:p>
            <w:pPr>
              <w:spacing w:after="0"/>
              <w:rPr>
                <w:sz w:val="20"/>
                <w:szCs w:val="20"/>
                <w:color w:val="auto"/>
              </w:rPr>
            </w:pPr>
            <w:r>
              <w:rPr>
                <w:rFonts w:ascii="Arial" w:cs="Arial" w:eastAsia="Arial" w:hAnsi="Arial"/>
                <w:sz w:val="18"/>
                <w:szCs w:val="18"/>
                <w:color w:val="auto"/>
                <w:w w:val="93"/>
              </w:rPr>
              <w:t>The Selling Securityholders will determine when and how they will</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4920" w:type="dxa"/>
            <w:vAlign w:val="bottom"/>
            <w:gridSpan w:val="4"/>
          </w:tcPr>
          <w:p>
            <w:pPr>
              <w:spacing w:after="0" w:line="176" w:lineRule="exact"/>
              <w:rPr>
                <w:sz w:val="20"/>
                <w:szCs w:val="20"/>
                <w:color w:val="auto"/>
              </w:rPr>
            </w:pPr>
            <w:r>
              <w:rPr>
                <w:rFonts w:ascii="Arial" w:cs="Arial" w:eastAsia="Arial" w:hAnsi="Arial"/>
                <w:sz w:val="18"/>
                <w:szCs w:val="18"/>
                <w:color w:val="auto"/>
              </w:rPr>
              <w:t>dispose of the shares of common stock registered under this</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920" w:type="dxa"/>
            <w:vAlign w:val="bottom"/>
            <w:gridSpan w:val="4"/>
          </w:tcPr>
          <w:p>
            <w:pPr>
              <w:spacing w:after="0"/>
              <w:rPr>
                <w:sz w:val="20"/>
                <w:szCs w:val="20"/>
                <w:color w:val="auto"/>
              </w:rPr>
            </w:pPr>
            <w:r>
              <w:rPr>
                <w:rFonts w:ascii="Arial" w:cs="Arial" w:eastAsia="Arial" w:hAnsi="Arial"/>
                <w:sz w:val="18"/>
                <w:szCs w:val="18"/>
                <w:color w:val="auto"/>
              </w:rPr>
              <w:t>prospectus for resale.</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Use of proceeds</w:t>
            </w:r>
          </w:p>
        </w:tc>
        <w:tc>
          <w:tcPr>
            <w:tcW w:w="4920" w:type="dxa"/>
            <w:vAlign w:val="bottom"/>
            <w:gridSpan w:val="4"/>
          </w:tcPr>
          <w:p>
            <w:pPr>
              <w:spacing w:after="0"/>
              <w:rPr>
                <w:sz w:val="20"/>
                <w:szCs w:val="20"/>
                <w:color w:val="auto"/>
              </w:rPr>
            </w:pPr>
            <w:r>
              <w:rPr>
                <w:rFonts w:ascii="Arial" w:cs="Arial" w:eastAsia="Arial" w:hAnsi="Arial"/>
                <w:sz w:val="18"/>
                <w:szCs w:val="18"/>
                <w:color w:val="auto"/>
              </w:rPr>
              <w:t>We will not receive any proceeds from the sale of shares of</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920" w:type="dxa"/>
            <w:vAlign w:val="bottom"/>
            <w:gridSpan w:val="4"/>
          </w:tcPr>
          <w:p>
            <w:pPr>
              <w:spacing w:after="0"/>
              <w:rPr>
                <w:sz w:val="20"/>
                <w:szCs w:val="20"/>
                <w:color w:val="auto"/>
              </w:rPr>
            </w:pPr>
            <w:r>
              <w:rPr>
                <w:rFonts w:ascii="Arial" w:cs="Arial" w:eastAsia="Arial" w:hAnsi="Arial"/>
                <w:sz w:val="18"/>
                <w:szCs w:val="18"/>
                <w:color w:val="auto"/>
              </w:rPr>
              <w:t>common stock by the Selling Securityholders.</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Lock-up restrictions</w:t>
            </w:r>
          </w:p>
        </w:tc>
        <w:tc>
          <w:tcPr>
            <w:tcW w:w="4920" w:type="dxa"/>
            <w:vAlign w:val="bottom"/>
            <w:gridSpan w:val="4"/>
          </w:tcPr>
          <w:p>
            <w:pPr>
              <w:spacing w:after="0"/>
              <w:rPr>
                <w:sz w:val="20"/>
                <w:szCs w:val="20"/>
                <w:color w:val="auto"/>
              </w:rPr>
            </w:pPr>
            <w:r>
              <w:rPr>
                <w:rFonts w:ascii="Arial" w:cs="Arial" w:eastAsia="Arial" w:hAnsi="Arial"/>
                <w:sz w:val="18"/>
                <w:szCs w:val="18"/>
                <w:color w:val="auto"/>
              </w:rPr>
              <w:t>Certain of our stockholders may still be subject to certain</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4920" w:type="dxa"/>
            <w:vAlign w:val="bottom"/>
            <w:gridSpan w:val="4"/>
          </w:tcPr>
          <w:p>
            <w:pPr>
              <w:spacing w:after="0" w:line="176" w:lineRule="exact"/>
              <w:rPr>
                <w:sz w:val="20"/>
                <w:szCs w:val="20"/>
                <w:color w:val="auto"/>
              </w:rPr>
            </w:pPr>
            <w:r>
              <w:rPr>
                <w:rFonts w:ascii="Arial" w:cs="Arial" w:eastAsia="Arial" w:hAnsi="Arial"/>
                <w:sz w:val="18"/>
                <w:szCs w:val="18"/>
                <w:color w:val="auto"/>
                <w:w w:val="96"/>
              </w:rPr>
              <w:t>restrictions on transfer until the termination of applicable lock-up</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4920" w:type="dxa"/>
            <w:vAlign w:val="bottom"/>
            <w:gridSpan w:val="4"/>
          </w:tcPr>
          <w:p>
            <w:pPr>
              <w:spacing w:after="0" w:line="189" w:lineRule="exact"/>
              <w:rPr>
                <w:rFonts w:ascii="Arial" w:cs="Arial" w:eastAsia="Arial" w:hAnsi="Arial"/>
                <w:sz w:val="18"/>
                <w:szCs w:val="18"/>
                <w:color w:val="auto"/>
              </w:rPr>
            </w:pPr>
            <w:hyperlink w:anchor="page138">
              <w:r>
                <w:rPr>
                  <w:rFonts w:ascii="Arial" w:cs="Arial" w:eastAsia="Arial" w:hAnsi="Arial"/>
                  <w:sz w:val="18"/>
                  <w:szCs w:val="18"/>
                  <w:color w:val="auto"/>
                </w:rPr>
                <w:t>periods. See “</w:t>
              </w:r>
              <w:r>
                <w:rPr>
                  <w:rFonts w:ascii="Arial" w:cs="Arial" w:eastAsia="Arial" w:hAnsi="Arial"/>
                  <w:sz w:val="18"/>
                  <w:szCs w:val="18"/>
                  <w:i w:val="1"/>
                  <w:iCs w:val="1"/>
                  <w:color w:val="0000FF"/>
                </w:rPr>
                <w:t>Certain Relationships and Related Person</w:t>
              </w:r>
            </w:hyperlink>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40" w:type="dxa"/>
            <w:vAlign w:val="bottom"/>
          </w:tcPr>
          <w:p>
            <w:pPr>
              <w:spacing w:after="0"/>
              <w:rPr>
                <w:sz w:val="13"/>
                <w:szCs w:val="13"/>
                <w:color w:val="auto"/>
              </w:rPr>
            </w:pPr>
          </w:p>
        </w:tc>
        <w:tc>
          <w:tcPr>
            <w:tcW w:w="4040" w:type="dxa"/>
            <w:vAlign w:val="bottom"/>
            <w:gridSpan w:val="3"/>
          </w:tcPr>
          <w:p>
            <w:pPr>
              <w:spacing w:after="0" w:line="156" w:lineRule="exact"/>
              <w:rPr>
                <w:rFonts w:ascii="Arial" w:cs="Arial" w:eastAsia="Arial" w:hAnsi="Arial"/>
                <w:sz w:val="18"/>
                <w:szCs w:val="18"/>
                <w:i w:val="1"/>
                <w:iCs w:val="1"/>
                <w:color w:val="0000FF"/>
              </w:rPr>
            </w:pPr>
            <w:hyperlink w:anchor="page138">
              <w:r>
                <w:rPr>
                  <w:rFonts w:ascii="Arial" w:cs="Arial" w:eastAsia="Arial" w:hAnsi="Arial"/>
                  <w:sz w:val="18"/>
                  <w:szCs w:val="18"/>
                  <w:i w:val="1"/>
                  <w:iCs w:val="1"/>
                  <w:color w:val="0000FF"/>
                </w:rPr>
                <w:t>Transactions</w:t>
              </w:r>
              <w:r>
                <w:rPr>
                  <w:rFonts w:ascii="Arial" w:cs="Arial" w:eastAsia="Arial" w:hAnsi="Arial"/>
                  <w:sz w:val="18"/>
                  <w:szCs w:val="18"/>
                  <w:color w:val="000000"/>
                </w:rPr>
                <w:t>.”</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Nasdaq symbols</w:t>
            </w:r>
          </w:p>
        </w:tc>
        <w:tc>
          <w:tcPr>
            <w:tcW w:w="920" w:type="dxa"/>
            <w:vAlign w:val="bottom"/>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vMerge w:val="continue"/>
          </w:tcPr>
          <w:p>
            <w:pPr>
              <w:spacing w:after="0"/>
              <w:rPr>
                <w:sz w:val="21"/>
                <w:szCs w:val="21"/>
                <w:color w:val="auto"/>
              </w:rPr>
            </w:pPr>
          </w:p>
        </w:tc>
        <w:tc>
          <w:tcPr>
            <w:tcW w:w="4920" w:type="dxa"/>
            <w:vAlign w:val="bottom"/>
            <w:gridSpan w:val="4"/>
          </w:tcPr>
          <w:p>
            <w:pPr>
              <w:spacing w:after="0"/>
              <w:rPr>
                <w:sz w:val="20"/>
                <w:szCs w:val="20"/>
                <w:color w:val="auto"/>
              </w:rPr>
            </w:pPr>
            <w:r>
              <w:rPr>
                <w:rFonts w:ascii="Arial" w:cs="Arial" w:eastAsia="Arial" w:hAnsi="Arial"/>
                <w:sz w:val="18"/>
                <w:szCs w:val="18"/>
                <w:color w:val="auto"/>
                <w:w w:val="95"/>
              </w:rPr>
              <w:t>Our common stock and public warrants are listed on the Nasdaq</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4920" w:type="dxa"/>
            <w:vAlign w:val="bottom"/>
            <w:gridSpan w:val="4"/>
          </w:tcPr>
          <w:p>
            <w:pPr>
              <w:spacing w:after="0"/>
              <w:rPr>
                <w:sz w:val="20"/>
                <w:szCs w:val="20"/>
                <w:color w:val="auto"/>
              </w:rPr>
            </w:pPr>
            <w:r>
              <w:rPr>
                <w:rFonts w:ascii="Arial" w:cs="Arial" w:eastAsia="Arial" w:hAnsi="Arial"/>
                <w:sz w:val="18"/>
                <w:szCs w:val="18"/>
                <w:color w:val="auto"/>
              </w:rPr>
              <w:t>under the symbols SMFR and SMFRW, respectively.</w:t>
            </w:r>
          </w:p>
        </w:tc>
        <w:tc>
          <w:tcPr>
            <w:tcW w:w="0" w:type="dxa"/>
            <w:vAlign w:val="bottom"/>
          </w:tcPr>
          <w:p>
            <w:pPr>
              <w:spacing w:after="0"/>
              <w:rPr>
                <w:sz w:val="1"/>
                <w:szCs w:val="1"/>
                <w:color w:val="auto"/>
              </w:rPr>
            </w:pPr>
          </w:p>
        </w:tc>
      </w:tr>
    </w:tbl>
    <w:p>
      <w:pPr>
        <w:spacing w:after="0" w:line="48" w:lineRule="exact"/>
        <w:rPr>
          <w:sz w:val="20"/>
          <w:szCs w:val="20"/>
          <w:color w:val="auto"/>
        </w:rPr>
      </w:pPr>
    </w:p>
    <w:p>
      <w:pPr>
        <w:sectPr>
          <w:pgSz w:w="11900" w:h="16838" w:orient="portrait"/>
          <w:cols w:equalWidth="0" w:num="1">
            <w:col w:w="9860"/>
          </w:cols>
          <w:pgMar w:left="1020" w:top="1440" w:right="1019" w:bottom="1440" w:gutter="0" w:footer="0" w:header="0"/>
        </w:sectPr>
      </w:pPr>
    </w:p>
    <w:p>
      <w:pPr>
        <w:spacing w:after="0"/>
        <w:rPr>
          <w:sz w:val="20"/>
          <w:szCs w:val="20"/>
          <w:color w:val="auto"/>
        </w:rPr>
      </w:pPr>
      <w:r>
        <w:rPr>
          <w:rFonts w:ascii="Arial" w:cs="Arial" w:eastAsia="Arial" w:hAnsi="Arial"/>
          <w:sz w:val="18"/>
          <w:szCs w:val="18"/>
          <w:b w:val="1"/>
          <w:bCs w:val="1"/>
          <w:color w:val="auto"/>
        </w:rPr>
        <w:t>Risk factors</w:t>
      </w:r>
    </w:p>
    <w:p>
      <w:pPr>
        <w:spacing w:after="0" w:line="374"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Shares of Class A common stock outstanding as of March 7, 2022</w:t>
      </w:r>
    </w:p>
    <w:p>
      <w:pPr>
        <w:spacing w:after="0" w:line="1" w:lineRule="exact"/>
        <w:rPr>
          <w:sz w:val="20"/>
          <w:szCs w:val="20"/>
          <w:color w:val="auto"/>
        </w:rPr>
      </w:pPr>
    </w:p>
    <w:p>
      <w:pPr>
        <w:ind w:right="1340"/>
        <w:spacing w:after="0" w:line="292" w:lineRule="auto"/>
        <w:rPr>
          <w:sz w:val="20"/>
          <w:szCs w:val="20"/>
          <w:color w:val="auto"/>
        </w:rPr>
      </w:pPr>
      <w:r>
        <w:rPr>
          <w:rFonts w:ascii="Arial" w:cs="Arial" w:eastAsia="Arial" w:hAnsi="Arial"/>
          <w:sz w:val="18"/>
          <w:szCs w:val="18"/>
          <w:b w:val="1"/>
          <w:bCs w:val="1"/>
          <w:color w:val="auto"/>
        </w:rPr>
        <w:t>Warrants outstanding as of March 7, 2022 Exercise Price of Warrants</w:t>
      </w:r>
    </w:p>
    <w:p>
      <w:pPr>
        <w:spacing w:after="0" w:line="20" w:lineRule="exact"/>
        <w:rPr>
          <w:sz w:val="20"/>
          <w:szCs w:val="20"/>
          <w:color w:val="auto"/>
        </w:rPr>
      </w:pPr>
      <w:r>
        <w:rPr>
          <w:sz w:val="20"/>
          <w:szCs w:val="20"/>
          <w:color w:val="auto"/>
        </w:rPr>
        <w:br w:type="column"/>
      </w:r>
    </w:p>
    <w:p>
      <w:pPr>
        <w:ind w:right="260"/>
        <w:spacing w:after="0" w:line="224" w:lineRule="auto"/>
        <w:rPr>
          <w:rFonts w:ascii="Arial" w:cs="Arial" w:eastAsia="Arial" w:hAnsi="Arial"/>
          <w:sz w:val="18"/>
          <w:szCs w:val="18"/>
          <w:color w:val="auto"/>
          <w:highlight w:val="white"/>
        </w:rPr>
      </w:pPr>
      <w:r>
        <w:rPr>
          <w:rFonts w:ascii="Arial" w:cs="Arial" w:eastAsia="Arial" w:hAnsi="Arial"/>
          <w:sz w:val="18"/>
          <w:szCs w:val="18"/>
          <w:color w:val="auto"/>
          <w:highlight w:val="white"/>
        </w:rPr>
        <w:t>See “</w:t>
      </w:r>
      <w:hyperlink w:anchor="page21">
        <w:r>
          <w:rPr>
            <w:rFonts w:ascii="Arial" w:cs="Arial" w:eastAsia="Arial" w:hAnsi="Arial"/>
            <w:sz w:val="18"/>
            <w:szCs w:val="18"/>
            <w:i w:val="1"/>
            <w:iCs w:val="1"/>
            <w:color w:val="0000FF"/>
          </w:rPr>
          <w:t>Risk Factors</w:t>
        </w:r>
      </w:hyperlink>
      <w:r>
        <w:rPr>
          <w:rFonts w:ascii="Arial" w:cs="Arial" w:eastAsia="Arial" w:hAnsi="Arial"/>
          <w:sz w:val="18"/>
          <w:szCs w:val="18"/>
          <w:color w:val="auto"/>
          <w:highlight w:val="white"/>
        </w:rPr>
        <w:t>” and other information included in this prospectus for a discussion of factors you should consider before investing in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244,959,781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21,994,972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$11.50 per share, subject to adjustment as described herein.</w:t>
      </w:r>
    </w:p>
    <w:p>
      <w:pPr>
        <w:spacing w:after="0" w:line="278" w:lineRule="exact"/>
        <w:rPr>
          <w:sz w:val="20"/>
          <w:szCs w:val="20"/>
          <w:color w:val="auto"/>
        </w:rPr>
      </w:pPr>
    </w:p>
    <w:p>
      <w:pPr>
        <w:sectPr>
          <w:pgSz w:w="11900" w:h="16838" w:orient="portrait"/>
          <w:cols w:equalWidth="0" w:num="2">
            <w:col w:w="4580" w:space="360"/>
            <w:col w:w="4920"/>
          </w:cols>
          <w:pgMar w:left="102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20" w:top="1440" w:right="1019" w:bottom="1440" w:gutter="0" w:footer="0" w:header="0"/>
          <w:type w:val="continuous"/>
        </w:sectPr>
      </w:pPr>
    </w:p>
    <w:bookmarkStart w:id="21" w:name="page22"/>
    <w:bookmarkEnd w:id="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spacing w:after="0" w:line="270"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You should carefully review and consider the following risk factors and the other information contained in this prospectus, including our financial </w:t>
      </w:r>
      <w:hyperlink w:anchor="page82">
        <w:r>
          <w:rPr>
            <w:rFonts w:ascii="Arial" w:cs="Arial" w:eastAsia="Arial" w:hAnsi="Arial"/>
            <w:sz w:val="17"/>
            <w:szCs w:val="17"/>
            <w:i w:val="1"/>
            <w:iCs w:val="1"/>
            <w:color w:val="auto"/>
          </w:rPr>
          <w:t xml:space="preserve">statements and notes to the financial statements and the section titled “Sema4’s </w:t>
        </w:r>
        <w:r>
          <w:rPr>
            <w:rFonts w:ascii="Arial" w:cs="Arial" w:eastAsia="Arial" w:hAnsi="Arial"/>
            <w:sz w:val="17"/>
            <w:szCs w:val="17"/>
            <w:i w:val="1"/>
            <w:iCs w:val="1"/>
            <w:u w:val="single" w:color="auto"/>
            <w:color w:val="0000FF"/>
          </w:rPr>
          <w:t>Management’s Discussion and Analysis of Financial Condition and Results</w:t>
        </w:r>
      </w:hyperlink>
      <w:r>
        <w:rPr>
          <w:rFonts w:ascii="Arial" w:cs="Arial" w:eastAsia="Arial" w:hAnsi="Arial"/>
          <w:sz w:val="17"/>
          <w:szCs w:val="17"/>
          <w:i w:val="1"/>
          <w:iCs w:val="1"/>
          <w:color w:val="auto"/>
        </w:rPr>
        <w:t xml:space="preserve"> </w:t>
      </w:r>
      <w:hyperlink w:anchor="page82">
        <w:r>
          <w:rPr>
            <w:rFonts w:ascii="Arial" w:cs="Arial" w:eastAsia="Arial" w:hAnsi="Arial"/>
            <w:sz w:val="17"/>
            <w:szCs w:val="17"/>
            <w:i w:val="1"/>
            <w:iCs w:val="1"/>
            <w:u w:val="single" w:color="auto"/>
            <w:color w:val="0000FF"/>
          </w:rPr>
          <w:t>of Operations</w:t>
        </w:r>
        <w:r>
          <w:rPr>
            <w:rFonts w:ascii="Arial" w:cs="Arial" w:eastAsia="Arial" w:hAnsi="Arial"/>
            <w:sz w:val="17"/>
            <w:szCs w:val="17"/>
            <w:i w:val="1"/>
            <w:iCs w:val="1"/>
            <w:color w:val="000000"/>
          </w:rPr>
          <w:t>” in this prospectus, before deciding whether to invest in our common stock. We cannot assure you that any of the events discussed below will</w:t>
        </w:r>
      </w:hyperlink>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 continues to resume normal activities. Our business could be negatively affected in the future if it takes excessive, ineffective or inadequate precautions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2"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2020, we received $5.4 million as part of the stimulus, comprised of $2.6 million received under the Provider Relief Fund, or PRF, distribution and $2.8 million received under the Employee Retention Credit, or ERC,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distribution. In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our technologies less competitive or obsolete.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41"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acceptance for and sales of our tests and services, which could prevent us from increasing or sustaining our revenues or achieving sustained profitability.</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(such as the pending Acquisition of GeneDx discussed herein), joint ventures and partnerships, in order to enhance our current diagnostics and health information and data science technologies, and existing and new products and services based off these technologies.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experience with the development and commercialization of our databases and our health information and genomic platforms.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our tests.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performance, including our research and development programs and laboratory operations, largely depends on our continuing ability to identify, hire, develop, motivate and retain highly skilled personnel for all areas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founder and CEO, Eric Schadt, and certain other of our employees have performed, and will continue to perform, duties for or on behalf of Mount Sinai.</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33"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92"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estimated the sizes of the markets for our current and future products and services, and these markets may be smaller than we estimate.</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9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example, we are exposed to these and other risks in connection with the pending Acquisition of GeneDx. See “—</w:t>
      </w:r>
      <w:r>
        <w:rPr>
          <w:rFonts w:ascii="Arial" w:cs="Arial" w:eastAsia="Arial" w:hAnsi="Arial"/>
          <w:sz w:val="17"/>
          <w:szCs w:val="17"/>
          <w:i w:val="1"/>
          <w:iCs w:val="1"/>
          <w:color w:val="auto"/>
        </w:rPr>
        <w:t>Risks Related to the Acquisition</w:t>
      </w:r>
      <w:r>
        <w:rPr>
          <w:rFonts w:ascii="Arial" w:cs="Arial" w:eastAsia="Arial" w:hAnsi="Arial"/>
          <w:sz w:val="17"/>
          <w:szCs w:val="17"/>
          <w:color w:val="auto"/>
        </w:rPr>
        <w:t>”. 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success in marketing and selling, and changes in demand for, our tests, and the level of reimbursement and collection obtained for such tests;</w:t>
      </w:r>
    </w:p>
    <w:p>
      <w:pPr>
        <w:spacing w:after="0" w:line="1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in connection with the pending Acquisition of GeneDx, we have entered into subscription agreements with certain institutional investors pursuant to which we have agreed to issue and sell to the investors, in private placements to close substantially concurrently with the closing of the Acquisition, an aggregate of 50 million shares of our common stock at $4.00 per share, for an aggregate gross purchase price of $200 million, before fees and expenses (which we refer to as the “Acquisition PIPE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rate of progress in establishing payer coverage and reimbursement arrangements with commercial third-party payors and government payers;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products and services in research and early development;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like in the Acquisition PIPE Investment,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them without any return on our investment. If we are unsuccessful in developing additional products or services, our potential for growth may be impaired.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However, as noted above, as of December 31, 2021, the material weaknesses have not yet been fully remediated.</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statements for prior periods. For more information, see “</w:t>
      </w:r>
      <w:r>
        <w:rPr>
          <w:rFonts w:ascii="Arial" w:cs="Arial" w:eastAsia="Arial" w:hAnsi="Arial"/>
          <w:sz w:val="18"/>
          <w:szCs w:val="18"/>
          <w:i w:val="1"/>
          <w:iCs w:val="1"/>
          <w:color w:val="auto"/>
        </w:rPr>
        <w:t>Risks Related to Being a Public Company—Our internal controls over financial reporting may not</w:t>
      </w:r>
      <w:r>
        <w:rPr>
          <w:rFonts w:ascii="Arial" w:cs="Arial" w:eastAsia="Arial" w:hAnsi="Arial"/>
          <w:sz w:val="18"/>
          <w:szCs w:val="18"/>
          <w:color w:val="auto"/>
        </w:rPr>
        <w:t xml:space="preserve"> </w:t>
      </w:r>
      <w:r>
        <w:rPr>
          <w:rFonts w:ascii="Arial" w:cs="Arial" w:eastAsia="Arial" w:hAnsi="Arial"/>
          <w:sz w:val="18"/>
          <w:szCs w:val="18"/>
          <w:i w:val="1"/>
          <w:iCs w:val="1"/>
          <w:color w:val="auto"/>
        </w:rPr>
        <w:t>be effective and our independent registered public accounting firm may not be able to certify as to their effectiveness, which could have a significant and adverse effect on our business and reputation.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pending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ISMMS is one of our significant stockholders. ISMMS has entered into a support agreement in connection with the Acquisition, whereby ISMMS has agreed to, among other things, be bound by certain transfer restrictions. Following the expiration of these transfer restrictions,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that have been 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to down classify the device into Class II or Class I, which would not require a PMA.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required. For laboratory tests for which FDA clearance, authorization or approval is required, the FDA may also require data to support analytical and clinical validity.</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usually takes from six to 12 months, but for many applicants can take up to 18 months or more.</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such as the pending Acquisition of GeneDx, or products and services and our expansion outside of the U.S. may increase the potential of violating these laws, regulations or our internal policies and procedures.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2018, Congress passed the Eliminating Kickbacks in Recovery Act, or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increasingly complex taxation rules and practices, which may affect how we conduct our business and our results of operations.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effectively protect our proprietary technologies under certain jurisdictions and legal regimes could harm our competitive position.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adversely affect our ability to obtain commercially relevant or competitively advantageous patent protection for our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6"/>
          <w:szCs w:val="16"/>
          <w:i w:val="1"/>
          <w:iCs w:val="1"/>
          <w:color w:val="auto"/>
        </w:rPr>
        <w:t>Mayo, Association for Molecular Pathology v. Myriad Genetics,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Alice</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Pty. Ltd. v. CLS Bank International</w:t>
      </w:r>
      <w:r>
        <w:rPr>
          <w:rFonts w:ascii="Arial" w:cs="Arial" w:eastAsia="Arial" w:hAnsi="Arial"/>
          <w:sz w:val="16"/>
          <w:szCs w:val="16"/>
          <w:color w:val="auto"/>
        </w:rPr>
        <w:t>, and others. The guidance indicates that claims directed to a law of nature, a natural phenomenon, or an</w:t>
      </w:r>
      <w:r>
        <w:rPr>
          <w:rFonts w:ascii="Arial" w:cs="Arial" w:eastAsia="Arial" w:hAnsi="Arial"/>
          <w:sz w:val="16"/>
          <w:szCs w:val="16"/>
          <w:i w:val="1"/>
          <w:iCs w:val="1"/>
          <w:color w:val="auto"/>
        </w:rPr>
        <w:t xml:space="preserve"> </w:t>
      </w:r>
      <w:r>
        <w:rPr>
          <w:rFonts w:ascii="Arial" w:cs="Arial" w:eastAsia="Arial" w:hAnsi="Arial"/>
          <w:sz w:val="16"/>
          <w:szCs w:val="16"/>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or “Standard contractual Clauses,” for data transfers between the EU and the United Kingdom.</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scientific computing and information technology and management systems and any failure of these systems could harm our business.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activities. In addition, our third-party billing and collections provider depends upon technology and telecommunications systems provided by outside vendors.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 (including the potential issuance of shares of common stock in connection with the pending Acquisition of GeneDx and the Acquisition PIPE Investment);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complete the Acquisition due to the failure to satisfy the conditions to the consummation of the Acquisition, including receipt of the required stockholder approval or the required regulatory approvals;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that the proposed Acquisition disrupts our current plans and operations or affects our ability to retain or recruit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the pending Acquisition on our business relationships (including, without limitation customers, strategic partners, collaborators and suppliers), operating results and business generally;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change their recommendations regarding our common stock adversely, then the price and trading volume of our common stock could decline.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 a failure to comply with applicable laws, regulations or rules, as interpreted and applied, could have a material adverse effect on our business and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Restated Bylaws, as well as provisions of Delaware law, could impair a takeover attempt.</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0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common stock;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and federal court within the State of Delaware as the exclusive forum for certain types of 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proceedings that our stockholders may initiate, which could limit a stockholder’s ability to obtain a favorable judicial forum for disputes with us or our directors, officers or employees.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Restated Bylaws (which we refer to as our “Bylaws”) or as to which the General Corporation Law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purchasable upon exercise of a public warrant could be decreased, all without the approval of that warrant holder.</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1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unaudited pro forma financial information included elsewhere in this prospectus may not be indicative of our future operating results or financial position.</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unaudited pro forma combined financial information in this prospectus is presented for illustrative purposes only and is not necessarily indicative of what Sema4’s actual financial condition or results of operations would have been had the Acquisition been completed on the dates indicated. The unaudited pro forma combined financial information is subject to a number of assumptions, and does not take into account any synergies related to the proposed transaction. Further, Sema4’s actual results and financial condition after the Acquisition may differ materially and adversely from the unaudited pro forma combined financial data that is included in this prospectus. The unaudited pro forma combined financial information reflects adjustments based upon preliminary estimates of the fair value of assets to be acquired and liabilities to be assumed. The final acquisition accounting will be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upon the actual purchase price and the fair value of the assets and liabilities of GeneDx as of the date of the completion of the Acquisition. In addition, subsequent to the Closing of the Acquisition, there will be further refinements of the acquisition accounting as additional information becomes available. Accordingly, the final acquisition accounting may differ materially from the unaudited pro forma combined financial information reflected in this prospectus. For further discussion, see the section entitled “</w:t>
      </w:r>
      <w:hyperlink w:anchor="page73">
        <w:r>
          <w:rPr>
            <w:rFonts w:ascii="Arial" w:cs="Arial" w:eastAsia="Arial" w:hAnsi="Arial"/>
            <w:sz w:val="17"/>
            <w:szCs w:val="17"/>
            <w:i w:val="1"/>
            <w:iCs w:val="1"/>
            <w:u w:val="single" w:color="auto"/>
            <w:color w:val="0000FF"/>
          </w:rPr>
          <w:t>Unaudited Pro Forma Combined Financial Information</w:t>
        </w:r>
      </w:hyperlink>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Included on our balance sheet as of December 31, 2021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stock.Immediately after the closing of our Business Combination: (i) former holders of Legacy Sema4 common stock owned approximately 64.89% of our total outstanding common stock, (ii) holders of public shares owned 18.43% of our total outstanding common stock, (iii) the Former Sponsor and certain of CMLS’s other initial stockholders owned 4.61% of our total outstanding common stock and (iv) the Prior PIPE Investors owned approximately 12.07% of our total outstanding shares of common stock..</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Former Sponsor and certain of our stockholders were subject to certain lock-up restrictions regarding the transfer of our common stock following the consummation of the Business Combination, these lock-up restrictions expired on January 18, 2022. However, certain of our existing stockholders have also entered into support agreements in connection with the Acquisition, whereby these stockholders have agreed to, among other things, be bound by certain transfer restrictions. This prospectus relates to the offer and sale from time to time by the Selling Securityholders named in this prospectus up to 236,223,401 shares of common stock and 7,236,667 warrants. Because the Business Combination lock-up restrictions have expired and the registration statement is available for use, and as the transfer restrictions under the support agreement in connection with the Acquisition end, the market price of our common stock could decline if the holders of currently restricted shares sell them or are perceived by the market as intending to sell them.</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though we consummated the Business Combination, there is no guarantee that the public warrants will ever be in the money, and they may expire worthless and the terms of our public warrants may be amended.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Acquisition is subject to closing conditions, including governmental, regulatory and stockholder approvals, as well as other uncertainties and there can be no assurances as to whether and when it may be completed. Failure to complete the Acquisition could negatively impact our stock price, future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can be no assurance that the proposed Acquisition of GeneDx will occur. Consummation of the Acquisition is subject to certain customary conditions, including, without limitation: (i) the approval by our stockholders of the issuance of shares of common stock in connection with the Acquisition and a related amendment to our Charter; (ii) the expiration or early termination of the waiting period applicable to the consummation of the Acquisition under the Hart-Scott-Rodino Antitrust Improvements Act of 1976, as amended; (iii) the absence of any legal requirement that prevents or makes illegal the consummation of transactions contemplated by the Acquisition Merger Agreement; (iv) the accuracy of each party’s representations and warranties (subject to certain qualifications); (v) each party’s performance in all material respects of its obligations contained in the Acquisition Merger Agreement; and (vi) the absence of a material adverse effect on each of GeneDx and our company since the date of the Acquisition Merger Agreement.</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believe we will receive the requisite approvals, there can be no assurance that these and other conditions to closing will be satisfied at all or satisfied on the proposed terms and schedules as contemplated by the parties. Satisfaction of the closing conditions may delay the consummation of the Acquisition, and if certain closing conditions are not satisfied prior to the end date specified in the Acquisition Merger Agreement, the parties will not be obligated to complete the Acquisition.</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Acquisition is not completed for any reason, we will have incurred substantial expenses. We have incurred substantial legal, accounting and financial advisory fees that are payable by us whether or not the Acquisition is completed, and our management has devoted considerable time and effort in connection with the pending Acquisition. In particular, the Acquisition Merger Agreement contains specified termination rights for each of the parties. A failed acquisition could materially adversely affect our business, operating results or financial condition. In addition, the trading price of our securities could be adversely affected to the extent that the current price reflects an assumption that the Acquisition will be completed.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business uncertainties while the Acquisition is pending.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Uncertainty about the effect of the pending Acquisition on employees and third parties may have an adverse effect on us. These uncertainties may impair our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Acquisition, our business could be harmed.</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the target of transaction related lawsuits which could result in substantial costs and may delay or prevent the Acquisition from being completed.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Acquisition, then that injunction may delay or prevent the Acquisition from being completed, which may adversely affect our business, financial condition and results of operation. There can be no assurance that complaints will not be filed with respect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Assuming the exercise of all outstanding warrants for cash, we will receive an aggregate of approximately $252.9 million, but will not receive any proceeds from the sale of the shares of common stock issuable upon such exercise. We expect to use the net proceeds from the exercise of the warrants, if any, for investment in growth, and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offering price of the shares of common stock underlying the public warrants and the private placement warrants offered hereby is determined by reference to the exercise price of the warrants of $11.50 per share. The public warrants are listed on the Nasdaq under the symbol “SMFRW.”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common stock is listed on the Nasdaq under the symbol “SMFR”. On March 18, 2022, the closing sale price of our common stock was $3.08 per share and the closing price of the public warrants was $0.67 per warrant. As of March 18, 2022, there were approximately 77 holders of record of our common stock. Such numbers do not include beneficial owners whose shares were held of record by nominees or broker dealers.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paid any cash dividends on our capital stock. We anticipate that we will retain earnings, if any, to support operations and to finance the growth and development of our business. In addition, the terms of the revolving credit facility with Silicon Valley Bank, or SVB, precludes us from paying cash dividends without the prior written consent of SVB. Therefore, we do not expect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the prospectus. Unless otherwise indicated or the context otherwise requires, references in this section to (i) “we,” “our,” “Sema4” and the “Company” refer to Sema4 Holdings Corp., a Delaware corporation, and its consolidated subsidiary and to (ii) “GeneDx,” refer to GeneDx, Inc., a Delaware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combined financial statements are based on the historical consolidated financial statements of Sema4 and historical combined financial statements of GeneDx and are adjusted to give effect to the pending Acquisition. In order to finance the Acquisition, Sema4 entered into Acquisition Subscription Agreements with the Acquisition PIPE Investors. The Acquisition PIPE Investment is expected to close substantially concurrently with the closing of the Acquisition.</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 Sema4 is headquartered in Stamford, Connecticut.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have pioneered panels, exome and whole genome sequencing and have developed a proprietary genomic interpretation and information services platform in support of healthcare partners and patients globally. GeneDx is headquartered in Elmwood Park in New Jersey.</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unaudited pro forma combined balance sheet as of December 31, 2021, combines the audited historical consolidated balance sheet of Sema4 as of December 31, 2021, with the audited historical combined carve out balance sheets of GeneDx as of December 31, 2021, giving effect to the Acquisition, the Acquisition PIPE Investment and all factually supportable adjustments that are directly attributable to the Acquisition, the Acquisition PIPE Investment and the other transactions contemplated by the Acquisition Merger Agreement, as if they had been consummated as of that date.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 forma combined statements of operations for the year ended December 31, 2021, combine the historical consolidated statements of comprehensive loss of Sema4 and the historical combined carve out statements of comprehensive loss of GeneDx for such periods, giving effect to the Acquisition, the Acquisition PIPE Investment and all factually supportable adjustments that are directly attributable to the Acquisition, the Acquisition PIPE Investment and the other transactions contemplated by the Acquisition Merger Agreement, as if they had been consummated on January 1, 2021, the beginning of the earliest period presented.</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unaudited pro forma combined financial information presented is based on the assumptions and adjustments described in the accompanying notes. The unaudited pro forma combined financial information is derived from the respective historical consolidated financial statements of Sema4 and combined carve out financial statements of GeneDx as described further in Note 2 — </w:t>
      </w:r>
      <w:r>
        <w:rPr>
          <w:rFonts w:ascii="Arial" w:cs="Arial" w:eastAsia="Arial" w:hAnsi="Arial"/>
          <w:sz w:val="17"/>
          <w:szCs w:val="17"/>
          <w:i w:val="1"/>
          <w:iCs w:val="1"/>
          <w:color w:val="auto"/>
        </w:rPr>
        <w:t>Basis of Presentation</w:t>
      </w:r>
      <w:r>
        <w:rPr>
          <w:rFonts w:ascii="Arial" w:cs="Arial" w:eastAsia="Arial" w:hAnsi="Arial"/>
          <w:sz w:val="17"/>
          <w:szCs w:val="17"/>
          <w:color w:val="auto"/>
        </w:rPr>
        <w:t>. The unaudited pro forma combined financial information includes adjustments which are preliminary and may be revised upon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Acquisition PIPE Investment been completed on the dates indicated, nor is it necessarily indicative of the future operating results or financial position of Sema4 after the Acquisition. Future results may vary significantly from the results reflected because of various factors.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combined financial information has been compiled in a manner consistent with the accounting policies adopted by Sema4. Upon completion of the Acquisition, Sema4 will perform a more detailed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review of the GeneDx accounting policies. As a result of that review, differences could be identified between the accounting policies of the two companies that, when conformed, have a material impact on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Historical</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9"/>
              <w:spacing w:after="0" w:line="161" w:lineRule="exact"/>
              <w:rPr>
                <w:sz w:val="20"/>
                <w:szCs w:val="20"/>
                <w:color w:val="auto"/>
              </w:rPr>
            </w:pPr>
            <w:r>
              <w:rPr>
                <w:rFonts w:ascii="Arial" w:cs="Arial" w:eastAsia="Arial" w:hAnsi="Arial"/>
                <w:sz w:val="16"/>
                <w:szCs w:val="16"/>
                <w:b w:val="1"/>
                <w:bCs w:val="1"/>
                <w:color w:val="auto"/>
                <w:w w:val="95"/>
              </w:rPr>
              <w:t>Pro forma</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1"/>
              </w:rPr>
              <w:t>Pro Forma Balance</w:t>
            </w: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gridSpan w:val="2"/>
            <w:vMerge w:val="restart"/>
          </w:tcPr>
          <w:p>
            <w:pPr>
              <w:ind w:left="240"/>
              <w:spacing w:after="0" w:line="162" w:lineRule="exact"/>
              <w:rPr>
                <w:sz w:val="20"/>
                <w:szCs w:val="20"/>
                <w:color w:val="auto"/>
              </w:rPr>
            </w:pPr>
            <w:r>
              <w:rPr>
                <w:rFonts w:ascii="Arial" w:cs="Arial" w:eastAsia="Arial" w:hAnsi="Arial"/>
                <w:sz w:val="16"/>
                <w:szCs w:val="16"/>
                <w:b w:val="1"/>
                <w:bCs w:val="1"/>
                <w:color w:val="auto"/>
              </w:rPr>
              <w:t>Sema4</w:t>
            </w:r>
          </w:p>
        </w:tc>
        <w:tc>
          <w:tcPr>
            <w:tcW w:w="380" w:type="dxa"/>
            <w:vAlign w:val="bottom"/>
          </w:tcPr>
          <w:p>
            <w:pPr>
              <w:spacing w:after="0"/>
              <w:rPr>
                <w:sz w:val="7"/>
                <w:szCs w:val="7"/>
                <w:color w:val="auto"/>
              </w:rPr>
            </w:pPr>
          </w:p>
        </w:tc>
        <w:tc>
          <w:tcPr>
            <w:tcW w:w="1280" w:type="dxa"/>
            <w:vAlign w:val="bottom"/>
            <w:gridSpan w:val="2"/>
            <w:vMerge w:val="restart"/>
          </w:tcPr>
          <w:p>
            <w:pPr>
              <w:ind w:left="120"/>
              <w:spacing w:after="0" w:line="162" w:lineRule="exact"/>
              <w:rPr>
                <w:sz w:val="20"/>
                <w:szCs w:val="20"/>
                <w:color w:val="auto"/>
              </w:rPr>
            </w:pPr>
            <w:r>
              <w:rPr>
                <w:rFonts w:ascii="Arial" w:cs="Arial" w:eastAsia="Arial" w:hAnsi="Arial"/>
                <w:sz w:val="16"/>
                <w:szCs w:val="16"/>
                <w:b w:val="1"/>
                <w:bCs w:val="1"/>
                <w:color w:val="auto"/>
              </w:rPr>
              <w:t>GeneDx</w:t>
            </w:r>
          </w:p>
        </w:tc>
        <w:tc>
          <w:tcPr>
            <w:tcW w:w="220" w:type="dxa"/>
            <w:vAlign w:val="bottom"/>
          </w:tcPr>
          <w:p>
            <w:pPr>
              <w:spacing w:after="0"/>
              <w:rPr>
                <w:sz w:val="7"/>
                <w:szCs w:val="7"/>
                <w:color w:val="auto"/>
              </w:rPr>
            </w:pPr>
          </w:p>
        </w:tc>
        <w:tc>
          <w:tcPr>
            <w:tcW w:w="1340" w:type="dxa"/>
            <w:vAlign w:val="bottom"/>
            <w:vMerge w:val="restart"/>
          </w:tcPr>
          <w:p>
            <w:pPr>
              <w:jc w:val="center"/>
              <w:ind w:right="159"/>
              <w:spacing w:after="0" w:line="162" w:lineRule="exact"/>
              <w:rPr>
                <w:sz w:val="20"/>
                <w:szCs w:val="20"/>
                <w:color w:val="auto"/>
              </w:rPr>
            </w:pPr>
            <w:r>
              <w:rPr>
                <w:rFonts w:ascii="Arial" w:cs="Arial" w:eastAsia="Arial" w:hAnsi="Arial"/>
                <w:sz w:val="16"/>
                <w:szCs w:val="16"/>
                <w:b w:val="1"/>
                <w:bCs w:val="1"/>
                <w:color w:val="auto"/>
                <w:w w:val="93"/>
              </w:rPr>
              <w:t>Adjustment</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3"/>
              </w:rPr>
              <w:t>(Note 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3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49,201</w:t>
            </w:r>
          </w:p>
        </w:tc>
        <w:tc>
          <w:tcPr>
            <w:tcW w:w="50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w w:val="81"/>
              </w:rPr>
              <w:t>a1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449,914</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20,341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46,850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Due from related parties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41,284</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(594) </w:t>
            </w:r>
            <w:r>
              <w:rPr>
                <w:rFonts w:ascii="Arial" w:cs="Arial" w:eastAsia="Arial" w:hAnsi="Arial"/>
                <w:sz w:val="10"/>
                <w:szCs w:val="10"/>
                <w:color w:val="auto"/>
              </w:rPr>
              <w:t>b5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21,982</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565,690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62,719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90,996</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6,983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assets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50,112</w:t>
            </w:r>
          </w:p>
        </w:tc>
        <w:tc>
          <w:tcPr>
            <w:tcW w:w="50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w w:val="81"/>
              </w:rPr>
              <w:t>e1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217,000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6,936</w:t>
            </w:r>
          </w:p>
        </w:tc>
        <w:tc>
          <w:tcPr>
            <w:tcW w:w="500" w:type="dxa"/>
            <w:vAlign w:val="bottom"/>
          </w:tcPr>
          <w:p>
            <w:pPr>
              <w:jc w:val="right"/>
              <w:ind w:right="387"/>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288,960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Due from Parent and its subsidiaries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0"/>
                <w:szCs w:val="10"/>
                <w:color w:val="auto"/>
              </w:rPr>
              <w:t>b2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Operating lease right of use assets</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7"/>
              <w:spacing w:after="0"/>
              <w:rPr>
                <w:sz w:val="20"/>
                <w:szCs w:val="20"/>
                <w:color w:val="auto"/>
              </w:rPr>
            </w:pPr>
            <w:r>
              <w:rPr>
                <w:rFonts w:ascii="Arial" w:cs="Arial" w:eastAsia="Arial" w:hAnsi="Arial"/>
                <w:sz w:val="16"/>
                <w:szCs w:val="16"/>
                <w:color w:val="auto"/>
              </w:rPr>
              <w:t xml:space="preserve">(5,789) </w:t>
            </w:r>
            <w:r>
              <w:rPr>
                <w:rFonts w:ascii="Arial" w:cs="Arial" w:eastAsia="Arial" w:hAnsi="Arial"/>
                <w:sz w:val="10"/>
                <w:szCs w:val="10"/>
                <w:color w:val="auto"/>
              </w:rPr>
              <w:t>c</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 in related companies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7"/>
              <w:spacing w:after="0"/>
              <w:rPr>
                <w:sz w:val="20"/>
                <w:szCs w:val="20"/>
                <w:color w:val="auto"/>
              </w:rPr>
            </w:pPr>
            <w:r>
              <w:rPr>
                <w:rFonts w:ascii="Arial" w:cs="Arial" w:eastAsia="Arial" w:hAnsi="Arial"/>
                <w:sz w:val="16"/>
                <w:szCs w:val="16"/>
                <w:color w:val="auto"/>
              </w:rPr>
              <w:t xml:space="preserve">(205) </w:t>
            </w:r>
            <w:r>
              <w:rPr>
                <w:rFonts w:ascii="Arial" w:cs="Arial" w:eastAsia="Arial" w:hAnsi="Arial"/>
                <w:sz w:val="10"/>
                <w:szCs w:val="10"/>
                <w:color w:val="auto"/>
              </w:rPr>
              <w:t>b1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0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554,093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516,780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99,656</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1,170,529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44,693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5,397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35,673</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Due to related parties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capital lease obligations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Current contract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30,539</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6"/>
                <w:szCs w:val="16"/>
                <w:color w:val="auto"/>
              </w:rPr>
              <w:t>Income tax payable</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07"/>
              <w:spacing w:after="0"/>
              <w:rPr>
                <w:sz w:val="20"/>
                <w:szCs w:val="20"/>
                <w:color w:val="auto"/>
              </w:rPr>
            </w:pPr>
            <w:r>
              <w:rPr>
                <w:rFonts w:ascii="Arial" w:cs="Arial" w:eastAsia="Arial" w:hAnsi="Arial"/>
                <w:sz w:val="16"/>
                <w:szCs w:val="16"/>
                <w:color w:val="auto"/>
              </w:rPr>
              <w:t xml:space="preserve">(180) </w:t>
            </w:r>
            <w:r>
              <w:rPr>
                <w:rFonts w:ascii="Arial" w:cs="Arial" w:eastAsia="Arial" w:hAnsi="Arial"/>
                <w:sz w:val="10"/>
                <w:szCs w:val="10"/>
                <w:color w:val="auto"/>
              </w:rPr>
              <w:t>b3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101,284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122,817</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Long-term debt, net of current portion</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Capital lease obligation, net of current portion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18,427</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15,800</w:t>
            </w:r>
          </w:p>
        </w:tc>
        <w:tc>
          <w:tcPr>
            <w:tcW w:w="500" w:type="dxa"/>
            <w:vAlign w:val="bottom"/>
          </w:tcPr>
          <w:p>
            <w:pPr>
              <w:jc w:val="right"/>
              <w:ind w:right="327"/>
              <w:spacing w:after="0"/>
              <w:rPr>
                <w:sz w:val="20"/>
                <w:szCs w:val="20"/>
                <w:color w:val="auto"/>
              </w:rPr>
            </w:pPr>
            <w:r>
              <w:rPr>
                <w:rFonts w:ascii="Arial" w:cs="Arial" w:eastAsia="Arial" w:hAnsi="Arial"/>
                <w:sz w:val="11"/>
                <w:szCs w:val="11"/>
                <w:color w:val="auto"/>
                <w:w w:val="81"/>
              </w:rPr>
              <w:t>a3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19,280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Earn-out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Warrant liability</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21,555</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67"/>
              <w:spacing w:after="0"/>
              <w:rPr>
                <w:sz w:val="20"/>
                <w:szCs w:val="20"/>
                <w:color w:val="auto"/>
              </w:rPr>
            </w:pPr>
            <w:r>
              <w:rPr>
                <w:rFonts w:ascii="Arial" w:cs="Arial" w:eastAsia="Arial" w:hAnsi="Arial"/>
                <w:sz w:val="16"/>
                <w:szCs w:val="16"/>
                <w:color w:val="auto"/>
              </w:rPr>
              <w:t xml:space="preserve">(9,936) </w:t>
            </w:r>
            <w:r>
              <w:rPr>
                <w:rFonts w:ascii="Arial" w:cs="Arial" w:eastAsia="Arial" w:hAnsi="Arial"/>
                <w:sz w:val="10"/>
                <w:szCs w:val="10"/>
                <w:color w:val="auto"/>
              </w:rPr>
              <w:t>c</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Arial" w:cs="Arial" w:eastAsia="Arial" w:hAnsi="Arial"/>
                <w:sz w:val="16"/>
                <w:szCs w:val="16"/>
                <w:color w:val="auto"/>
              </w:rPr>
              <w:t>Deferred tax liabilities, net</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07"/>
              <w:spacing w:after="0"/>
              <w:rPr>
                <w:sz w:val="20"/>
                <w:szCs w:val="20"/>
                <w:color w:val="auto"/>
              </w:rPr>
            </w:pPr>
            <w:r>
              <w:rPr>
                <w:rFonts w:ascii="Arial" w:cs="Arial" w:eastAsia="Arial" w:hAnsi="Arial"/>
                <w:sz w:val="16"/>
                <w:szCs w:val="16"/>
                <w:color w:val="auto"/>
              </w:rPr>
              <w:t xml:space="preserve">(24,063) </w:t>
            </w:r>
            <w:r>
              <w:rPr>
                <w:rFonts w:ascii="Arial" w:cs="Arial" w:eastAsia="Arial" w:hAnsi="Arial"/>
                <w:sz w:val="10"/>
                <w:szCs w:val="10"/>
                <w:color w:val="auto"/>
              </w:rPr>
              <w:t>b4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165,990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203,323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Sema4 Class A common stock, $0.0001 par value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500" w:type="dxa"/>
            <w:vAlign w:val="bottom"/>
          </w:tcPr>
          <w:p>
            <w:pPr>
              <w:jc w:val="right"/>
              <w:ind w:right="187"/>
              <w:spacing w:after="0"/>
              <w:rPr>
                <w:sz w:val="20"/>
                <w:szCs w:val="20"/>
                <w:color w:val="auto"/>
              </w:rPr>
            </w:pPr>
            <w:r>
              <w:rPr>
                <w:rFonts w:ascii="Arial" w:cs="Arial" w:eastAsia="Arial" w:hAnsi="Arial"/>
                <w:sz w:val="11"/>
                <w:szCs w:val="11"/>
                <w:color w:val="auto"/>
                <w:w w:val="87"/>
              </w:rPr>
              <w:t>a1,a2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67"/>
              <w:spacing w:after="0"/>
              <w:rPr>
                <w:sz w:val="20"/>
                <w:szCs w:val="20"/>
                <w:color w:val="auto"/>
              </w:rPr>
            </w:pPr>
            <w:r>
              <w:rPr>
                <w:rFonts w:ascii="Arial" w:cs="Arial" w:eastAsia="Arial" w:hAnsi="Arial"/>
                <w:sz w:val="16"/>
                <w:szCs w:val="16"/>
                <w:color w:val="auto"/>
              </w:rPr>
              <w:t xml:space="preserve">(148,292) </w:t>
            </w:r>
            <w:r>
              <w:rPr>
                <w:rFonts w:ascii="Arial" w:cs="Arial" w:eastAsia="Arial" w:hAnsi="Arial"/>
                <w:sz w:val="10"/>
                <w:szCs w:val="10"/>
                <w:color w:val="auto"/>
              </w:rPr>
              <w:t>g</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1,475,734</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(575,441)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266,314</w:t>
            </w:r>
          </w:p>
        </w:tc>
        <w:tc>
          <w:tcPr>
            <w:tcW w:w="500" w:type="dxa"/>
            <w:vAlign w:val="bottom"/>
            <w:tcBorders>
              <w:bottom w:val="single" w:sz="8" w:color="CCEEFF"/>
            </w:tcBorders>
          </w:tcPr>
          <w:p>
            <w:pPr>
              <w:jc w:val="right"/>
              <w:ind w:right="307"/>
              <w:spacing w:after="0"/>
              <w:rPr>
                <w:sz w:val="20"/>
                <w:szCs w:val="20"/>
                <w:color w:val="auto"/>
              </w:rPr>
            </w:pPr>
            <w:r>
              <w:rPr>
                <w:rFonts w:ascii="Arial" w:cs="Arial" w:eastAsia="Arial" w:hAnsi="Arial"/>
                <w:sz w:val="11"/>
                <w:szCs w:val="11"/>
                <w:color w:val="auto"/>
                <w:w w:val="97"/>
              </w:rPr>
              <w:t>b4</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(508,565)</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118,035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967,206</w:t>
            </w:r>
          </w:p>
        </w:tc>
        <w:tc>
          <w:tcPr>
            <w:tcW w:w="0" w:type="dxa"/>
            <w:vAlign w:val="bottom"/>
          </w:tcPr>
          <w:p>
            <w:pPr>
              <w:spacing w:after="0"/>
              <w:rPr>
                <w:sz w:val="1"/>
                <w:szCs w:val="1"/>
                <w:color w:val="auto"/>
              </w:rPr>
            </w:pPr>
          </w:p>
        </w:tc>
      </w:tr>
      <w:tr>
        <w:trPr>
          <w:trHeight w:val="213"/>
        </w:trPr>
        <w:tc>
          <w:tcPr>
            <w:tcW w:w="430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554,093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99,656</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1,170,529</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Pro forma</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Adjustments</w:t>
            </w:r>
          </w:p>
        </w:tc>
        <w:tc>
          <w:tcPr>
            <w:tcW w:w="5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Statement of</w:t>
            </w:r>
          </w:p>
        </w:tc>
        <w:tc>
          <w:tcPr>
            <w:tcW w:w="0" w:type="dxa"/>
            <w:vAlign w:val="bottom"/>
          </w:tcPr>
          <w:p>
            <w:pPr>
              <w:spacing w:after="0"/>
              <w:rPr>
                <w:sz w:val="1"/>
                <w:szCs w:val="1"/>
                <w:color w:val="auto"/>
              </w:rPr>
            </w:pPr>
          </w:p>
        </w:tc>
      </w:tr>
      <w:tr>
        <w:trPr>
          <w:trHeight w:val="109"/>
        </w:trPr>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78"/>
        </w:trPr>
        <w:tc>
          <w:tcPr>
            <w:tcW w:w="43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321,695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328,790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gross profit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d1,d3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132,102</w:t>
            </w: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11,113</w:t>
            </w:r>
          </w:p>
        </w:tc>
        <w:tc>
          <w:tcPr>
            <w:tcW w:w="500" w:type="dxa"/>
            <w:vAlign w:val="bottom"/>
          </w:tcPr>
          <w:p>
            <w:pPr>
              <w:ind w:left="20"/>
              <w:spacing w:after="0"/>
              <w:rPr>
                <w:sz w:val="20"/>
                <w:szCs w:val="20"/>
                <w:color w:val="auto"/>
              </w:rPr>
            </w:pPr>
            <w:r>
              <w:rPr>
                <w:rFonts w:ascii="Arial" w:cs="Arial" w:eastAsia="Arial" w:hAnsi="Arial"/>
                <w:sz w:val="12"/>
                <w:szCs w:val="12"/>
                <w:color w:val="auto"/>
              </w:rPr>
              <w:t>d2,d3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257,395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302"/>
              <w:spacing w:after="0" w:line="230" w:lineRule="exact"/>
              <w:rPr>
                <w:sz w:val="20"/>
                <w:szCs w:val="20"/>
                <w:color w:val="auto"/>
              </w:rPr>
            </w:pPr>
            <w:r>
              <w:rPr>
                <w:rFonts w:ascii="Arial" w:cs="Arial" w:eastAsia="Arial" w:hAnsi="Arial"/>
                <w:sz w:val="18"/>
                <w:szCs w:val="18"/>
                <w:color w:val="auto"/>
              </w:rPr>
              <w:t xml:space="preserve">(16,813) </w:t>
            </w:r>
            <w:r>
              <w:rPr>
                <w:rFonts w:ascii="Arial" w:cs="Arial" w:eastAsia="Arial" w:hAnsi="Arial"/>
                <w:sz w:val="23"/>
                <w:szCs w:val="23"/>
                <w:color w:val="auto"/>
                <w:vertAlign w:val="superscript"/>
              </w:rPr>
              <w:t>e3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(497,063)</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Change in fair value of warrant and earn-out contingent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200,755</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Arial" w:cs="Arial" w:eastAsia="Arial" w:hAnsi="Arial"/>
                <w:sz w:val="18"/>
                <w:szCs w:val="18"/>
                <w:color w:val="auto"/>
              </w:rPr>
              <w:t>Net 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(296,308)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or benefit for income taxes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66,876</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52,850</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(229,432)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 average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238,077,439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tcPr>
          <w:p>
            <w:pPr>
              <w:ind w:left="20"/>
              <w:spacing w:after="0" w:line="203" w:lineRule="exact"/>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17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acquisition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14, 2022, Sema4, Merger Sub I and Merger Sub II entered into the Acquisition Merger Agreement with GeneDx, a wholly-owned subsidiary of OPKO, Holdco and OPKO.</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giving effect to the Acquisition and the other transactions contemplated by the Acquisition Merger Agreement, GeneDx will have converted into a Delaware limited liability company and be a wholly-owned indirect subsidiary of Sema4. Subject to the terms and conditions of the Acquisition Merger Agreement, Sema4 will pay consideration to OPKO, for the Acquisition of (i) $150 million in cash at the closing of the Acquisition, subject to certain adjustments as provided in the Acquisition Merger Agreement, (ii) 80 million shares of Sema4’s Class A common stock to be issued at the Closing and (iii) up to $150 million payable following the Closing, if certain revenue-based milestones are achieved for each of the fiscal years ending December 31, 2022 and December 31, 2023. Each Milestone Payment, if and to the extent earned under the terms of the Acquisition Merger Agreement, will be satisfied through the payment and/or issuance of a combination of cash and shares of Class A common stock (valued at $4.86 per share based on the average of the daily volume average weighted price of Class A common stock over the period of 30 trading days ended January 12, 2022), with such mix to be determined in Sema4’s sole discretion.</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in connection with entering into the Acquisition Merger Agreement and as a condition under the Acquisition Merger Agreement, Sema4 entered into Acquisition Subscription Agreements for the Acquisition PIPE Investment to sell $200 million in Class A common stock at a price of $4.00 per share to the Acquisition PIPE Investors.</w:t>
      </w:r>
    </w:p>
    <w:p>
      <w:pPr>
        <w:spacing w:after="0" w:line="12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Arial" w:cs="Arial" w:eastAsia="Arial" w:hAnsi="Arial"/>
          <w:sz w:val="18"/>
          <w:szCs w:val="18"/>
          <w:i w:val="1"/>
          <w:iCs w:val="1"/>
          <w:color w:val="auto"/>
        </w:rPr>
        <w:t>Regulation S-X</w:t>
      </w:r>
      <w:r>
        <w:rPr>
          <w:rFonts w:ascii="Arial" w:cs="Arial" w:eastAsia="Arial" w:hAnsi="Arial"/>
          <w:sz w:val="18"/>
          <w:szCs w:val="18"/>
          <w:color w:val="auto"/>
        </w:rPr>
        <w:t>”), using accounting policies in accordance with GAAP.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combined financial statements;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audited historical consolidated financial statements of Sema4 as of December 31, 2021, and the related notes, in each case, included in this prospectus;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 audited historical combined carve out financial statements of GeneDx as of and for the year ended December 31, 2021, and the related notes, in each case, included in this prospectus;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i w:val="1"/>
          <w:iCs w:val="1"/>
          <w:color w:val="0000FF"/>
        </w:rPr>
      </w:pPr>
      <w:hyperlink w:anchor="page82">
        <w:r>
          <w:rPr>
            <w:rFonts w:ascii="Arial" w:cs="Arial" w:eastAsia="Arial" w:hAnsi="Arial"/>
            <w:sz w:val="18"/>
            <w:szCs w:val="18"/>
            <w:color w:val="auto"/>
          </w:rPr>
          <w:t>the section of this prospectus entitled “</w:t>
        </w:r>
        <w:r>
          <w:rPr>
            <w:rFonts w:ascii="Arial" w:cs="Arial" w:eastAsia="Arial" w:hAnsi="Arial"/>
            <w:sz w:val="18"/>
            <w:szCs w:val="18"/>
            <w:i w:val="1"/>
            <w:iCs w:val="1"/>
            <w:u w:val="single" w:color="auto"/>
            <w:color w:val="0000FF"/>
          </w:rPr>
          <w:t>Sema4’s Management’s Discussion and Analysis of Financial Condition and Results of Operations of</w:t>
        </w:r>
      </w:hyperlink>
      <w:r>
        <w:rPr>
          <w:rFonts w:ascii="Arial" w:cs="Arial" w:eastAsia="Arial" w:hAnsi="Arial"/>
          <w:sz w:val="18"/>
          <w:szCs w:val="18"/>
          <w:color w:val="auto"/>
        </w:rPr>
        <w:t xml:space="preserve"> </w:t>
      </w:r>
      <w:hyperlink w:anchor="page82">
        <w:r>
          <w:rPr>
            <w:rFonts w:ascii="Arial" w:cs="Arial" w:eastAsia="Arial" w:hAnsi="Arial"/>
            <w:sz w:val="18"/>
            <w:szCs w:val="18"/>
            <w:i w:val="1"/>
            <w:iCs w:val="1"/>
            <w:u w:val="single" w:color="auto"/>
            <w:color w:val="0000FF"/>
          </w:rPr>
          <w:t>Sema4</w:t>
        </w:r>
        <w:r>
          <w:rPr>
            <w:rFonts w:ascii="Arial" w:cs="Arial" w:eastAsia="Arial" w:hAnsi="Arial"/>
            <w:sz w:val="18"/>
            <w:szCs w:val="18"/>
            <w:color w:val="000000"/>
          </w:rPr>
          <w:t>” and the other financial information included elsewhere in this prospectus.</w:t>
        </w:r>
      </w:hyperlink>
    </w:p>
    <w:p>
      <w:pPr>
        <w:spacing w:after="0" w:line="116" w:lineRule="exact"/>
        <w:rPr>
          <w:rFonts w:ascii="Arial" w:cs="Arial" w:eastAsia="Arial" w:hAnsi="Arial"/>
          <w:sz w:val="18"/>
          <w:szCs w:val="18"/>
          <w:color w:val="auto"/>
        </w:rPr>
      </w:pPr>
    </w:p>
    <w:p>
      <w:pPr>
        <w:jc w:val="both"/>
        <w:spacing w:after="0" w:line="257" w:lineRule="auto"/>
        <w:rPr>
          <w:sz w:val="20"/>
          <w:szCs w:val="20"/>
          <w:color w:val="auto"/>
        </w:rPr>
      </w:pPr>
      <w:r>
        <w:rPr>
          <w:rFonts w:ascii="Arial" w:cs="Arial" w:eastAsia="Arial" w:hAnsi="Arial"/>
          <w:sz w:val="18"/>
          <w:szCs w:val="18"/>
          <w:color w:val="auto"/>
        </w:rPr>
        <w:t>The completion of the Acquisition is subject to various closing conditions, including, among others, (i) approval by Sema4’s stockholders of the issuance of the Stock Consideration under the Acquisition Merger Agreement, (ii) delivery of closing certificates, including the Closing Certificate, Allocation Schedule Certificate, and Good Standing Certificates, each as defined in the Acquisition Merger Agreement, (iii) the accuracy of the representations of GeneDx and Sema4, (iv) the performance by GeneDx and Sema4 in all material respects of their respective obligations under the Acquisition Merger Agreement, and (v) no material adverse effect, litigation, injunctions or restraints</w:t>
      </w:r>
    </w:p>
    <w:p>
      <w:pPr>
        <w:spacing w:after="0" w:line="134" w:lineRule="exact"/>
        <w:rPr>
          <w:rFonts w:ascii="Arial" w:cs="Arial" w:eastAsia="Arial" w:hAnsi="Arial"/>
          <w:sz w:val="18"/>
          <w:szCs w:val="18"/>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combined financial statements assume that (i) the all proposals required to be approved under the Acquisition Merger Agreement are approved by Sema4’s stockholders and (ii) all other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Acquisition-related transactions are consummated. Management elected not to present any adjustments related to synergies or dis-synergies that may exist.</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periods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Acquisition will be accounted for using the acquisition method of accounting in accordance with Accounting Standards Codification (“ASC”) 805 - 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is preliminary because valuation of the net assets is still being finalized. Accordingly, the pro forma adjustments related to the purchase price allocations and certain other estimates, assumptions, and adjustments are preliminary and subject to change, which changes could be significant.</w:t>
      </w:r>
    </w:p>
    <w:p>
      <w:pPr>
        <w:spacing w:after="0" w:line="10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GeneDx Accounting Policies Historical Financial Statement Reclassification</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GeneDx’s historical combined carve out financial statements were prepared in accordance with U.S. GAAP. Sema4 performed certain procedures for the purposes of identifying material differences in significant accounting policies between Sema4 and GeneDx, and any accounting adjustments that would be required in connection with adopting uniform policies. These procedures included a review of GeneDx’s standalone combined carve out financial statements and preliminary discussion with GeneDx management. Sema4 does not believe there are any differences in the accounting policies that will result in material adjustments to Sema4’s consolidated financial statements. Upon completion of the Acquisition, or as more information becomes available, Sema4 will perform a more detailed review of the GeneDx accounting policies. As a result of that review, differences could be identified between the accounting policies of the two companies that, when conformed, could have a material impact on the combined financial statements.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$12.1 million included as selling, general and administrative in GeneDx’s historical financial information included within the unaudited pro forma combined financial information has been reclassified to selling and marketing to conform the presentation to that of Sema4.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4.</w:t>
            </w:r>
          </w:p>
        </w:tc>
        <w:tc>
          <w:tcPr>
            <w:tcW w:w="9400" w:type="dxa"/>
            <w:vAlign w:val="bottom"/>
          </w:tcPr>
          <w:p>
            <w:pPr>
              <w:ind w:left="500"/>
              <w:spacing w:after="0"/>
              <w:rPr>
                <w:sz w:val="20"/>
                <w:szCs w:val="20"/>
                <w:color w:val="auto"/>
              </w:rPr>
            </w:pPr>
            <w:r>
              <w:rPr>
                <w:rFonts w:ascii="Arial" w:cs="Arial" w:eastAsia="Arial" w:hAnsi="Arial"/>
                <w:sz w:val="18"/>
                <w:szCs w:val="18"/>
                <w:b w:val="1"/>
                <w:bCs w:val="1"/>
                <w:color w:val="auto"/>
              </w:rPr>
              <w:t>Adjustments to unaudited pro forma combined financial information</w:t>
            </w:r>
          </w:p>
        </w:tc>
        <w:tc>
          <w:tcPr>
            <w:tcW w:w="1520" w:type="dxa"/>
            <w:vAlign w:val="bottom"/>
          </w:tcPr>
          <w:p>
            <w:pPr>
              <w:spacing w:after="0"/>
              <w:rPr>
                <w:sz w:val="20"/>
                <w:szCs w:val="20"/>
                <w:color w:val="auto"/>
              </w:rPr>
            </w:pPr>
          </w:p>
        </w:tc>
      </w:tr>
      <w:tr>
        <w:trPr>
          <w:trHeight w:val="378"/>
        </w:trPr>
        <w:tc>
          <w:tcPr>
            <w:tcW w:w="9560" w:type="dxa"/>
            <w:vAlign w:val="bottom"/>
            <w:gridSpan w:val="2"/>
          </w:tcPr>
          <w:p>
            <w:pPr>
              <w:spacing w:after="0"/>
              <w:rPr>
                <w:sz w:val="20"/>
                <w:szCs w:val="20"/>
                <w:color w:val="auto"/>
              </w:rPr>
            </w:pPr>
            <w:r>
              <w:rPr>
                <w:rFonts w:ascii="Arial" w:cs="Arial" w:eastAsia="Arial" w:hAnsi="Arial"/>
                <w:sz w:val="18"/>
                <w:szCs w:val="18"/>
                <w:color w:val="auto"/>
              </w:rPr>
              <w:t>The adjustments included in the unaudited preliminary pro forma combined financial statements are as follows:</w:t>
            </w:r>
          </w:p>
        </w:tc>
        <w:tc>
          <w:tcPr>
            <w:tcW w:w="15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a)  Estimated aggregate purchase price consideration and allocation:</w:t>
            </w:r>
          </w:p>
        </w:tc>
        <w:tc>
          <w:tcPr>
            <w:tcW w:w="1520" w:type="dxa"/>
            <w:vAlign w:val="bottom"/>
          </w:tcPr>
          <w:p>
            <w:pPr>
              <w:spacing w:after="0"/>
              <w:rPr>
                <w:sz w:val="24"/>
                <w:szCs w:val="24"/>
                <w:color w:val="auto"/>
              </w:rPr>
            </w:pPr>
          </w:p>
        </w:tc>
      </w:tr>
      <w:tr>
        <w:trPr>
          <w:trHeight w:val="378"/>
        </w:trPr>
        <w:tc>
          <w:tcPr>
            <w:tcW w:w="9560" w:type="dxa"/>
            <w:vAlign w:val="bottom"/>
            <w:gridSpan w:val="2"/>
          </w:tcPr>
          <w:p>
            <w:pPr>
              <w:spacing w:after="0"/>
              <w:rPr>
                <w:sz w:val="20"/>
                <w:szCs w:val="20"/>
                <w:color w:val="auto"/>
              </w:rPr>
            </w:pPr>
            <w:r>
              <w:rPr>
                <w:rFonts w:ascii="Arial" w:cs="Arial" w:eastAsia="Arial" w:hAnsi="Arial"/>
                <w:sz w:val="18"/>
                <w:szCs w:val="18"/>
                <w:color w:val="auto"/>
              </w:rPr>
              <w:t>The aggregate purchase price consideration is estimated to be approximately $478.8 million as follows (in millions):</w:t>
            </w:r>
          </w:p>
        </w:tc>
        <w:tc>
          <w:tcPr>
            <w:tcW w:w="1520" w:type="dxa"/>
            <w:vAlign w:val="bottom"/>
          </w:tcPr>
          <w:p>
            <w:pPr>
              <w:spacing w:after="0"/>
              <w:rPr>
                <w:sz w:val="24"/>
                <w:szCs w:val="24"/>
                <w:color w:val="auto"/>
              </w:rPr>
            </w:pPr>
          </w:p>
        </w:tc>
      </w:tr>
      <w:tr>
        <w:trPr>
          <w:trHeight w:val="189"/>
        </w:trPr>
        <w:tc>
          <w:tcPr>
            <w:tcW w:w="16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w:t>
            </w:r>
          </w:p>
        </w:tc>
      </w:tr>
      <w:tr>
        <w:trPr>
          <w:trHeight w:val="230"/>
        </w:trPr>
        <w:tc>
          <w:tcPr>
            <w:tcW w:w="160" w:type="dxa"/>
            <w:vAlign w:val="bottom"/>
          </w:tcPr>
          <w:p>
            <w:pPr>
              <w:spacing w:after="0"/>
              <w:rPr>
                <w:sz w:val="19"/>
                <w:szCs w:val="19"/>
                <w:color w:val="auto"/>
              </w:rPr>
            </w:pPr>
          </w:p>
        </w:tc>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Closing Net Working Capital Adjustment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(10.2)</w:t>
            </w:r>
          </w:p>
        </w:tc>
      </w:tr>
      <w:tr>
        <w:trPr>
          <w:trHeight w:val="223"/>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Consideration </w:t>
            </w:r>
            <w:r>
              <w:rPr>
                <w:rFonts w:ascii="Arial" w:cs="Arial" w:eastAsia="Arial" w:hAnsi="Arial"/>
                <w:sz w:val="23"/>
                <w:szCs w:val="23"/>
                <w:color w:val="auto"/>
                <w:vertAlign w:val="superscript"/>
              </w:rPr>
              <w:t>(a1)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139.8</w:t>
            </w:r>
          </w:p>
        </w:tc>
      </w:tr>
      <w:tr>
        <w:trPr>
          <w:trHeight w:val="230"/>
        </w:trPr>
        <w:tc>
          <w:tcPr>
            <w:tcW w:w="160" w:type="dxa"/>
            <w:vAlign w:val="bottom"/>
          </w:tcPr>
          <w:p>
            <w:pPr>
              <w:spacing w:after="0"/>
              <w:rPr>
                <w:sz w:val="19"/>
                <w:szCs w:val="19"/>
                <w:color w:val="auto"/>
              </w:rPr>
            </w:pPr>
          </w:p>
        </w:tc>
        <w:tc>
          <w:tcPr>
            <w:tcW w:w="9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Add: Stock Consideration </w:t>
            </w:r>
            <w:r>
              <w:rPr>
                <w:rFonts w:ascii="Arial" w:cs="Arial" w:eastAsia="Arial" w:hAnsi="Arial"/>
                <w:sz w:val="23"/>
                <w:szCs w:val="23"/>
                <w:color w:val="auto"/>
                <w:vertAlign w:val="superscript"/>
              </w:rPr>
              <w:t>(a2)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323.2</w:t>
            </w: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Add: Fair value of Contingent Consideration </w:t>
            </w:r>
            <w:r>
              <w:rPr>
                <w:rFonts w:ascii="Arial" w:cs="Arial" w:eastAsia="Arial" w:hAnsi="Arial"/>
                <w:sz w:val="23"/>
                <w:szCs w:val="23"/>
                <w:color w:val="auto"/>
                <w:vertAlign w:val="superscript"/>
              </w:rPr>
              <w:t>(a3)</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15.8</w:t>
            </w:r>
          </w:p>
        </w:tc>
      </w:tr>
      <w:tr>
        <w:trPr>
          <w:trHeight w:val="223"/>
        </w:trPr>
        <w:tc>
          <w:tcPr>
            <w:tcW w:w="16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Aggregate Purchase Price Consideration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$478.8</w:t>
            </w:r>
          </w:p>
        </w:tc>
      </w:tr>
      <w:tr>
        <w:trPr>
          <w:trHeight w:val="20"/>
        </w:trPr>
        <w:tc>
          <w:tcPr>
            <w:tcW w:w="16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7"/>
          <w:szCs w:val="17"/>
          <w:color w:val="auto"/>
        </w:rPr>
        <w:t>This represents cash consideration estimated net of net working capital adjustment ($10.2 million) based on the closing net working capital target of $22 million, as stated in the Acquisition Merger Agreement. This cash consideration is offset by gross proceeds of $200 million which is based on 50 million shares of Class A common stock at a price of $4.00 per share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Acquisition Subscription Agreements that have been entered into with Acquisition PIPE investors. The $200 million gross proceeds are offset by the estimated incremental transaction costs to be paid by Sema4 for $11 million, resulting in an approximately $49 million adjustment to cash and cash equivalents.</w:t>
      </w:r>
    </w:p>
    <w:p>
      <w:pPr>
        <w:spacing w:after="0" w:line="13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80 million shares of Sema4 Class A common stock will be issued to the seller upon closing of the Acquisition. We estimated the Stock Consideration based on a per share price of $4.04, which was the closing price of the Class A common stock on January 14, 2022, the date the Acquisition Merger Agreement was signed.</w:t>
      </w:r>
    </w:p>
    <w:p>
      <w:pPr>
        <w:spacing w:after="0" w:line="130" w:lineRule="exact"/>
        <w:rPr>
          <w:sz w:val="20"/>
          <w:szCs w:val="20"/>
          <w:color w:val="auto"/>
        </w:rPr>
      </w:pPr>
    </w:p>
    <w:p>
      <w:pPr>
        <w:jc w:val="both"/>
        <w:ind w:left="1300" w:right="20" w:hanging="647"/>
        <w:spacing w:after="0" w:line="308" w:lineRule="auto"/>
        <w:tabs>
          <w:tab w:leader="none" w:pos="12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7"/>
          <w:szCs w:val="17"/>
          <w:color w:val="auto"/>
        </w:rPr>
        <w:t>The fair value of the $15.8 million Milestone Payment is estimated using a Monte Carlo simulation valuation model. Pay-out of this consideration is dependent upon GeneDx achieving 2022 and 2023 revenue target of $163 million and $219 million, respectively.</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price allocations for the assets acquired and liabilities assumed are based on preliminary valuations and are subject to change as we obtain additional information (in thousands).</w:t>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Fair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Identifiable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d2</w:t>
      </w:r>
    </w:p>
    <w:p>
      <w:pPr>
        <w:spacing w:after="0" w:line="92" w:lineRule="exact"/>
        <w:rPr>
          <w:sz w:val="20"/>
          <w:szCs w:val="20"/>
          <w:color w:val="auto"/>
        </w:rPr>
      </w:pPr>
    </w:p>
    <w:p>
      <w:pPr>
        <w:spacing w:after="0"/>
        <w:rPr>
          <w:sz w:val="20"/>
          <w:szCs w:val="20"/>
          <w:color w:val="auto"/>
        </w:rPr>
      </w:pPr>
      <w:r>
        <w:rPr>
          <w:rFonts w:ascii="Arial" w:cs="Arial" w:eastAsia="Arial" w:hAnsi="Arial"/>
          <w:sz w:val="9"/>
          <w:szCs w:val="9"/>
          <w:color w:val="auto"/>
        </w:rPr>
        <w:t>b1,b2,c</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b3</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b4,c</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f</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200" w:hanging="1195"/>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144</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20,341</w:t>
      </w:r>
    </w:p>
    <w:p>
      <w:pPr>
        <w:spacing w:after="0" w:line="34"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7,828</w:t>
      </w:r>
    </w:p>
    <w:p>
      <w:pPr>
        <w:spacing w:after="0" w:line="22"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4,632</w:t>
      </w:r>
    </w:p>
    <w:p>
      <w:pPr>
        <w:spacing w:after="0" w:line="2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28,330</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(21,533)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(66,876)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9861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(27,134)</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288,960</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217,000</w:t>
      </w:r>
    </w:p>
    <w:p>
      <w:pPr>
        <w:spacing w:after="0" w:line="47" w:lineRule="exact"/>
        <w:rPr>
          <w:sz w:val="20"/>
          <w:szCs w:val="20"/>
          <w:color w:val="auto"/>
        </w:rPr>
      </w:pPr>
    </w:p>
    <w:p>
      <w:pPr>
        <w:ind w:left="880" w:hanging="875"/>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478,826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9861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400" w:space="720"/>
            <w:col w:w="340" w:space="240"/>
            <w:col w:w="1540"/>
          </w:cols>
          <w:pgMar w:left="320" w:top="1440" w:right="339" w:bottom="1440" w:gutter="0" w:footer="0" w:header="0"/>
          <w:type w:val="continuous"/>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-10% change</w:t>
            </w:r>
          </w:p>
        </w:tc>
        <w:tc>
          <w:tcPr>
            <w:tcW w:w="1560" w:type="dxa"/>
            <w:vAlign w:val="bottom"/>
          </w:tcPr>
          <w:p>
            <w:pPr>
              <w:ind w:left="360"/>
              <w:spacing w:after="0"/>
              <w:rPr>
                <w:sz w:val="20"/>
                <w:szCs w:val="20"/>
                <w:color w:val="auto"/>
              </w:rPr>
            </w:pPr>
            <w:r>
              <w:rPr>
                <w:rFonts w:ascii="Arial" w:cs="Arial" w:eastAsia="Arial" w:hAnsi="Arial"/>
                <w:sz w:val="14"/>
                <w:szCs w:val="14"/>
                <w:b w:val="1"/>
                <w:bCs w:val="1"/>
                <w:color w:val="auto"/>
              </w:rPr>
              <w:t>+10% change</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per share</w:t>
            </w:r>
          </w:p>
        </w:tc>
        <w:tc>
          <w:tcPr>
            <w:tcW w:w="1560" w:type="dxa"/>
            <w:vAlign w:val="bottom"/>
            <w:tcBorders>
              <w:top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$4.44</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Purchase price (in thousands)</w:t>
            </w:r>
          </w:p>
        </w:tc>
        <w:tc>
          <w:tcPr>
            <w:tcW w:w="1560" w:type="dxa"/>
            <w:vAlign w:val="bottom"/>
          </w:tcPr>
          <w:p>
            <w:pPr>
              <w:jc w:val="right"/>
              <w:ind w:right="355"/>
              <w:spacing w:after="0"/>
              <w:rPr>
                <w:sz w:val="20"/>
                <w:szCs w:val="20"/>
                <w:color w:val="auto"/>
              </w:rPr>
            </w:pPr>
            <w:r>
              <w:rPr>
                <w:rFonts w:ascii="Arial" w:cs="Arial" w:eastAsia="Arial" w:hAnsi="Arial"/>
                <w:sz w:val="18"/>
                <w:szCs w:val="18"/>
                <w:color w:val="auto"/>
              </w:rPr>
              <w:t>$478,826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$446,506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$511,146</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 vs pro forma (in thousands)</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$(32,320)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$32,320</w:t>
            </w: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value of the purchase price consideration does not purport to represent the actual value of the total Merger Consideration that will be paid when the Acquisition is completed. The Stock Consideration will be remeasured at the closing date at the then-current market price. The value we use then will result in a per share value difference from the $4.04 per share assumed in the calculation, and that difference may be material. For example, an increase or decrease of 10% in the closing price of shares of Sema4’s Class A common stock from the closing price assumed in these unaudited pro forma combined financial statements would change the value of the purchase price by approximately $32.3 million.</w:t>
      </w:r>
    </w:p>
    <w:p>
      <w:pPr>
        <w:spacing w:after="0" w:line="122"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Elimination of GeneDx’s historical balance sheet accounts that are not acquired or assumed by Sema4:</w:t>
      </w:r>
    </w:p>
    <w:p>
      <w:pPr>
        <w:spacing w:after="0" w:line="171"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b1)As part of the pre-closing condition, GeneDx will exit the joint venture investment that had a carrying value of $0.2 million. Therefore, the related investment balance and impairment loss of $0.04 million is eliminated.</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b2)</w:t>
      </w:r>
      <w:r>
        <w:rPr>
          <w:rFonts w:ascii="Arial" w:cs="Arial" w:eastAsia="Arial" w:hAnsi="Arial"/>
          <w:sz w:val="16"/>
          <w:szCs w:val="16"/>
          <w:color w:val="auto"/>
        </w:rPr>
        <w:t>Represents adjustment to eliminate the carrying value of intercompany receivables.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b3)</w:t>
      </w:r>
      <w:r>
        <w:rPr>
          <w:rFonts w:ascii="Arial" w:cs="Arial" w:eastAsia="Arial" w:hAnsi="Arial"/>
          <w:sz w:val="16"/>
          <w:szCs w:val="16"/>
          <w:color w:val="auto"/>
        </w:rPr>
        <w:t>Represents adjustment to eliminate the income tax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144" w:lineRule="exact"/>
        <w:rPr>
          <w:sz w:val="20"/>
          <w:szCs w:val="20"/>
          <w:color w:val="auto"/>
        </w:rPr>
      </w:pPr>
    </w:p>
    <w:p>
      <w:pPr>
        <w:jc w:val="both"/>
        <w:ind w:left="1300" w:hanging="647"/>
        <w:spacing w:after="0" w:line="284" w:lineRule="auto"/>
        <w:tabs>
          <w:tab w:leader="none" w:pos="1280" w:val="left"/>
        </w:tabs>
        <w:rPr>
          <w:sz w:val="20"/>
          <w:szCs w:val="20"/>
          <w:color w:val="auto"/>
        </w:rPr>
      </w:pPr>
      <w:r>
        <w:rPr>
          <w:rFonts w:ascii="Arial" w:cs="Arial" w:eastAsia="Arial" w:hAnsi="Arial"/>
          <w:sz w:val="18"/>
          <w:szCs w:val="18"/>
          <w:color w:val="auto"/>
        </w:rPr>
        <w:t>b4)</w:t>
      </w:r>
      <w:r>
        <w:rPr>
          <w:sz w:val="20"/>
          <w:szCs w:val="20"/>
          <w:color w:val="auto"/>
        </w:rPr>
        <w:tab/>
      </w:r>
      <w:r>
        <w:rPr>
          <w:rFonts w:ascii="Arial" w:cs="Arial" w:eastAsia="Arial" w:hAnsi="Arial"/>
          <w:sz w:val="16"/>
          <w:szCs w:val="16"/>
          <w:color w:val="auto"/>
        </w:rPr>
        <w:t>Deferred tax liabilities of $24.1 million were adjusted due to certain deferred tax assets being absorbed by OPKO and the write off of historical intangible assets. Therefore, they do not carry over. Additionally, there are deferred tax liabilities recorded for $66.9 million related to intangible assets that will result in the release of Sema4’s valuation allowance in a corresponding amount. The impact of the valuation allowance release is reflected in the unaudited pro forma combined statement of operations as well as the accumulated deficit.</w:t>
      </w:r>
    </w:p>
    <w:p>
      <w:pPr>
        <w:spacing w:after="0" w:line="1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b5)</w:t>
      </w:r>
      <w:r>
        <w:rPr>
          <w:sz w:val="20"/>
          <w:szCs w:val="20"/>
          <w:color w:val="auto"/>
        </w:rPr>
        <w:tab/>
      </w:r>
      <w:r>
        <w:rPr>
          <w:rFonts w:ascii="Arial" w:cs="Arial" w:eastAsia="Arial" w:hAnsi="Arial"/>
          <w:sz w:val="18"/>
          <w:szCs w:val="18"/>
          <w:color w:val="auto"/>
        </w:rPr>
        <w:t>Represents adjustment to eliminate the prepaid bonus of GeneDx executives.</w:t>
      </w:r>
    </w:p>
    <w:p>
      <w:pPr>
        <w:spacing w:after="0" w:line="171" w:lineRule="exact"/>
        <w:rPr>
          <w:sz w:val="20"/>
          <w:szCs w:val="20"/>
          <w:color w:val="auto"/>
        </w:rPr>
      </w:pPr>
    </w:p>
    <w:p>
      <w:pPr>
        <w:jc w:val="both"/>
        <w:ind w:left="660" w:hanging="328"/>
        <w:spacing w:after="0" w:line="257" w:lineRule="auto"/>
        <w:tabs>
          <w:tab w:leader="none" w:pos="6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adjustment relates to eliminating the affect of the ASC 842, Leases (“ASC 842”) which was adopted by GeneDx because Sema4 did not adopt the ASC 842 as of December 31, 2021. Therefore, the adjustment removed the carrying value of the right of use assets ($5.8 million) and lease liabilities ($9.9 million). As an emerging growth company, the Company elected to adopt the ASC 842 under the extended transition period available, which will be effective for the annual period beginning on January 1, 2022 and all interim periods within the year ended December 31, 2023. Early adoption is permitted.</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Adjustment of GeneDx’s historical income statement accounts relates to the following (in millions):</w:t>
      </w:r>
    </w:p>
    <w:p>
      <w:pPr>
        <w:spacing w:after="0" w:line="17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d1)Adjustment of $7.2 million of selling and marketing expense is primarily related to the amortization expense of identifiable intangible assets (e2) and stock-based compensation adjustment (d3).</w:t>
      </w:r>
    </w:p>
    <w:p>
      <w:pPr>
        <w:spacing w:after="0" w:line="116"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d2)Adjustment of $11.1 million of general and administrative expense is primarily related to the amortization expense of identifiable intangible assets (e2) and stock-based compensation adjustment (d3).</w:t>
      </w:r>
    </w:p>
    <w:p>
      <w:pPr>
        <w:spacing w:after="0" w:line="116" w:lineRule="exact"/>
        <w:rPr>
          <w:rFonts w:ascii="Arial" w:cs="Arial" w:eastAsia="Arial" w:hAnsi="Arial"/>
          <w:sz w:val="18"/>
          <w:szCs w:val="18"/>
          <w:color w:val="auto"/>
        </w:rPr>
      </w:pPr>
    </w:p>
    <w:p>
      <w:pPr>
        <w:ind w:left="1300" w:hanging="648"/>
        <w:spacing w:after="0" w:line="272" w:lineRule="auto"/>
        <w:rPr>
          <w:rFonts w:ascii="Arial" w:cs="Arial" w:eastAsia="Arial" w:hAnsi="Arial"/>
          <w:sz w:val="18"/>
          <w:szCs w:val="18"/>
          <w:color w:val="auto"/>
        </w:rPr>
      </w:pPr>
      <w:r>
        <w:rPr>
          <w:rFonts w:ascii="Arial" w:cs="Arial" w:eastAsia="Arial" w:hAnsi="Arial"/>
          <w:sz w:val="18"/>
          <w:szCs w:val="18"/>
          <w:color w:val="auto"/>
        </w:rPr>
        <w:t>d3)</w:t>
      </w:r>
      <w:r>
        <w:rPr>
          <w:rFonts w:ascii="Arial" w:cs="Arial" w:eastAsia="Arial" w:hAnsi="Arial"/>
          <w:sz w:val="17"/>
          <w:szCs w:val="17"/>
          <w:color w:val="auto"/>
        </w:rPr>
        <w:t>Stock-based compensation adjustment represents estimated $6.2 million of Sema4 stock awards that are agreed to be granted to certain executives once the transaction closes. We only considered the contingent grants made to certain GeneDx executives who are continuing their employment with Sema4. The grant date fair value for options were calculated using a Black-Scholes option-pricing model, using the closing share price as of January 14, 2022 of $4.04, risk free rate of 1.64%, expected life of 5.5 years, volatility 65.2% and dividend yield of zero. The fair value of the restricted stock units are calculated using Sema4’s closing share price as of January 14, 2022, $4.04. The expense is reduced by $1.2 million of stock-based compensation recorded for the executives and reflected in GeneDx financial information under their current employment agreement with GeneDx.</w:t>
      </w:r>
    </w:p>
    <w:p>
      <w:pPr>
        <w:spacing w:after="0" w:line="123" w:lineRule="exact"/>
        <w:rPr>
          <w:rFonts w:ascii="Arial" w:cs="Arial" w:eastAsia="Arial" w:hAnsi="Arial"/>
          <w:sz w:val="18"/>
          <w:szCs w:val="18"/>
          <w:color w:val="auto"/>
        </w:rPr>
      </w:pPr>
    </w:p>
    <w:p>
      <w:pPr>
        <w:ind w:left="1300" w:hanging="648"/>
        <w:spacing w:after="0" w:line="263" w:lineRule="auto"/>
        <w:rPr>
          <w:rFonts w:ascii="Arial" w:cs="Arial" w:eastAsia="Arial" w:hAnsi="Arial"/>
          <w:sz w:val="18"/>
          <w:szCs w:val="18"/>
          <w:color w:val="auto"/>
        </w:rPr>
      </w:pPr>
      <w:r>
        <w:rPr>
          <w:rFonts w:ascii="Arial" w:cs="Arial" w:eastAsia="Arial" w:hAnsi="Arial"/>
          <w:sz w:val="18"/>
          <w:szCs w:val="18"/>
          <w:color w:val="auto"/>
        </w:rPr>
        <w:t>d4)Income tax benefit of $12.5 million is eliminated as we expect GeneDx’s parent company to absorb this benefit. In addition, we adjust for $66.9 million of income tax benefit related to the deferred tax liabilities of identifiable intangible assets created in connection with the Acquisition.</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adjustment to record the fair values of the identifiable intangible assets created in connection with the Acquisition.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GeneDx’s trade name and trademarks and developed technology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customer relationships was calculated using a multi-period excess earnings method, a form of the income approach, which incorporates the estimated future cash flows to be generated from GeneDx’s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period and discounted to present value. The primary components of this method consist of the customer attrition rate, determination of excess earnings, and an appropriate rate of return.</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estimated fair values of GeneDx’s identifiable intangible assets and their estimated useful lives determined (in million):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 Life (in years)</w:t>
            </w:r>
          </w:p>
        </w:tc>
        <w:tc>
          <w:tcPr>
            <w:tcW w:w="200" w:type="dxa"/>
            <w:vAlign w:val="bottom"/>
          </w:tcPr>
          <w:p>
            <w:pPr>
              <w:spacing w:after="0"/>
              <w:rPr>
                <w:sz w:val="16"/>
                <w:szCs w:val="16"/>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Estimated Fair Value</w:t>
            </w:r>
          </w:p>
        </w:tc>
        <w:tc>
          <w:tcPr>
            <w:tcW w:w="17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Annual Amortization</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(General and administrative)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Developed Technology (General and administrative)</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(Selling and marketing)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9"/>
                <w:szCs w:val="19"/>
                <w:color w:val="auto"/>
              </w:rPr>
            </w:pP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jc w:val="right"/>
              <w:ind w:right="162"/>
              <w:spacing w:after="0"/>
              <w:rPr>
                <w:sz w:val="20"/>
                <w:szCs w:val="20"/>
                <w:color w:val="auto"/>
              </w:rPr>
            </w:pPr>
            <w:r>
              <w:rPr>
                <w:rFonts w:ascii="Arial" w:cs="Arial" w:eastAsia="Arial" w:hAnsi="Arial"/>
                <w:sz w:val="12"/>
                <w:szCs w:val="12"/>
                <w:color w:val="auto"/>
                <w:w w:val="89"/>
              </w:rPr>
              <w:t>e2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Historic GeneDx Intangible Assets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2"/>
              <w:spacing w:after="0" w:line="230" w:lineRule="exact"/>
              <w:rPr>
                <w:sz w:val="20"/>
                <w:szCs w:val="20"/>
                <w:color w:val="auto"/>
              </w:rPr>
            </w:pPr>
            <w:r>
              <w:rPr>
                <w:rFonts w:ascii="Arial" w:cs="Arial" w:eastAsia="Arial" w:hAnsi="Arial"/>
                <w:sz w:val="18"/>
                <w:szCs w:val="18"/>
                <w:color w:val="auto"/>
              </w:rPr>
              <w:t xml:space="preserve">(16.8) </w:t>
            </w:r>
            <w:r>
              <w:rPr>
                <w:rFonts w:ascii="Arial" w:cs="Arial" w:eastAsia="Arial" w:hAnsi="Arial"/>
                <w:sz w:val="23"/>
                <w:szCs w:val="23"/>
                <w:color w:val="auto"/>
                <w:vertAlign w:val="superscript"/>
              </w:rPr>
              <w:t>e3</w:t>
            </w: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Pro forma adjustment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620" w:type="dxa"/>
            <w:vAlign w:val="bottom"/>
            <w:gridSpan w:val="3"/>
          </w:tcPr>
          <w:p>
            <w:pPr>
              <w:jc w:val="right"/>
              <w:ind w:right="390"/>
              <w:spacing w:after="0"/>
              <w:rPr>
                <w:sz w:val="20"/>
                <w:szCs w:val="20"/>
                <w:color w:val="auto"/>
              </w:rPr>
            </w:pPr>
            <w:r>
              <w:rPr>
                <w:rFonts w:ascii="Arial" w:cs="Arial" w:eastAsia="Arial" w:hAnsi="Arial"/>
                <w:sz w:val="12"/>
                <w:szCs w:val="12"/>
                <w:color w:val="auto"/>
                <w:w w:val="89"/>
              </w:rPr>
              <w:t>e1</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8"/>
          <w:szCs w:val="18"/>
          <w:color w:val="auto"/>
        </w:rPr>
        <w:t>Represents adjustment to eliminate the amortization of historic GeneDx intangible assets of $16.8 million.</w:t>
      </w:r>
    </w:p>
    <w:p>
      <w:pPr>
        <w:spacing w:after="0" w:line="171" w:lineRule="exact"/>
        <w:rPr>
          <w:sz w:val="20"/>
          <w:szCs w:val="20"/>
          <w:color w:val="auto"/>
        </w:rPr>
      </w:pPr>
    </w:p>
    <w:p>
      <w:pPr>
        <w:ind w:left="660" w:hanging="328"/>
        <w:spacing w:after="0" w:line="277" w:lineRule="auto"/>
        <w:tabs>
          <w:tab w:leader="none" w:pos="6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the preliminary purchase price allocations performed, the estimated goodwill of $289.0 million is recognized from the Acquisition resulting the adjustment of $7.0 million. The historic GeneDx goodwill of $282.0 million is eliminated.</w:t>
      </w:r>
    </w:p>
    <w:p>
      <w:pPr>
        <w:spacing w:after="0" w:line="116" w:lineRule="exact"/>
        <w:rPr>
          <w:rFonts w:ascii="Arial" w:cs="Arial" w:eastAsia="Arial" w:hAnsi="Arial"/>
          <w:sz w:val="18"/>
          <w:szCs w:val="18"/>
          <w:color w:val="auto"/>
        </w:rPr>
      </w:pPr>
    </w:p>
    <w:p>
      <w:pPr>
        <w:ind w:left="660" w:hanging="328"/>
        <w:spacing w:after="0" w:line="277"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elimination of GeneDx’s historical additional paid-in capital and adjustment to Sema4’s common stock and additional paid capital for the stock considerations and PIPE financing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Arial" w:cs="Arial" w:eastAsia="Arial" w:hAnsi="Arial"/>
                <w:sz w:val="14"/>
                <w:szCs w:val="14"/>
                <w:b w:val="1"/>
                <w:bCs w:val="1"/>
                <w:color w:val="auto"/>
              </w:rPr>
              <w:t>Amount</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 of GeneDx historical additional paid-in capital</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Stock consideration a2)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 financing a1)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PIPE financing cost a1)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MANAGEMENT’S DISCUSSION AND ANALYSIS OF FINANCIAL CONDITION AND RESULTS OF OPERATIONS</w:t>
      </w:r>
    </w:p>
    <w:p>
      <w:pPr>
        <w:spacing w:after="0" w:line="175" w:lineRule="exact"/>
        <w:rPr>
          <w:sz w:val="20"/>
          <w:szCs w:val="20"/>
          <w:color w:val="auto"/>
        </w:rPr>
      </w:pPr>
    </w:p>
    <w:p>
      <w:pPr>
        <w:jc w:val="both"/>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w:t>
      </w:r>
      <w:hyperlink w:anchor="page21">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section of this prospectus, our actual results could differ materially from the results described in or implied by the forward-looking statements contained in the following discussion and analysis.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established out of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we derive the majority of our revenue from our diagnostic test solutions. Our diagnostic business generates revenue and engages with healthcare professionals working with patients primarily through our Women’s Health and Oncology solutions.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w:t>
      </w:r>
      <w:hyperlink w:anchor="page21">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prospectus.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above, we no longer report the number of accessioned tests as a key performance indicator because the number of resulted tests more directly correlates with long-term patient relationships and the size of our genomic database.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ongoing COVID-19 pandemic has had, and continues to have, an extensive impact on the global health and economic environments since the initial outbreak in March 2020.</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w:t>
      </w:r>
    </w:p>
    <w:p>
      <w:pPr>
        <w:spacing w:after="0" w:line="138" w:lineRule="exact"/>
        <w:rPr>
          <w:sz w:val="20"/>
          <w:szCs w:val="20"/>
          <w:color w:val="auto"/>
        </w:rPr>
      </w:pPr>
    </w:p>
    <w:p>
      <w:pPr>
        <w:ind w:right="660"/>
        <w:spacing w:after="0" w:line="438"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Recent Developments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we and our wholly-owned subsidiaries, Orion Merger Sub I, Inc., or Merger Sub I, and Orion Merger Sub II, LLC, or Merger Sub II, entered into an Agreement and Plan of Merger and Reorganization,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Acquisition Merger Agreement, with GeneDx, Inc., a New Jersey corporation, or GeneDx, and a wholly-owned subsidiary of OPKO Health, Inc., or OPKO, GeneDx Holding 2, Inc., or Holdco, and OPKO to acquire 100% of GeneDx. Subject to the terms and conditions of the Acquisition Merger Agreement, we will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our Class A common stock (valued at $4.86 per share), with such mix to be determined in our sole discretion.</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completion of the Acquisition is subject to a number of closing conditions (which, as of the date of this prospectus,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Concurrently with the execution of the Acquisition Merger Agreement, we entered into the Acquisition Subscription Agreements with the Acquisition PIPE Investors. The Acquisition PIPE Investment will be consummated substantially concurrently with the closing of the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 revenue from providing diagnostic testing and related data aggregation reporting services under both short-term and long-term project-based collaboration service agreements with third parties. The terms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contracts generally include non-refundable upfront payments, which we record as contract liabilities, and variable payments based upon the achievement of certain milestones during the contract term.</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Related party expenses primarily consist of amounts incurred in connection with transactions occurred with ISMMS for expenses under our transition services agreement, or TSA, with ISMMS which expired at the end of the first quarter of 2021, and other service agreements. Additional information can be found in our consolidated financial statements in Note 7,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included elsewhere in this prospectus.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primarily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discussion regarding our financial condition and results of consolidated operations for the year ended December 31, 2021 compared to the year ended December 31, 2020 and for the year ended December 31, 2020 compared to the year ended December 31, 2019 is presented below.</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expenses were previously misclassified as cost of services and they are now reported as selling and marketing. The adjustment is reflected in the amounts reported below for years ended December 31, 2021, 2020 and 2019.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information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2"/>
        </w:trPr>
        <w:tc>
          <w:tcPr>
            <w:tcW w:w="5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380"/>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175,351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Change in fair market value of warrant and earn-out contingent 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1"/>
              </w:rPr>
              <w:t>2020 to 2021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increased by $32.9 million, or 18%, to $212.2 million for the year ended December 31, 2021, from $179.3 million for the year ended December 31, 2020.</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0" w:name="page91"/>
    <w:bookmarkEnd w:id="90"/>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volume during the year ended December 31, 2020, compared to the year ended December 31, 2021 (with COVID-19 test volumes growing 26% year over year) .</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228,797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175,296</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53,501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105,162</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72,700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32,462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of the Business Combination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112,738</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63,183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49,555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of the Business Combination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320" w:type="dxa"/>
            <w:vAlign w:val="bottom"/>
          </w:tcPr>
          <w:p>
            <w:pPr>
              <w:jc w:val="center"/>
              <w:ind w:left="16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205,988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86"/>
              </w:rPr>
              <w:t>105,246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of the Business Combination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0"/>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w w:val="90"/>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(427)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0"/>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2,835</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0"/>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5,114</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2,492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23495</wp:posOffset>
            </wp:positionV>
            <wp:extent cx="20485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2020 (Restated)</w:t>
            </w:r>
          </w:p>
        </w:tc>
        <w:tc>
          <w:tcPr>
            <w:tcW w:w="420" w:type="dxa"/>
            <w:vAlign w:val="bottom"/>
          </w:tcPr>
          <w:p>
            <w:pPr>
              <w:spacing w:after="0"/>
              <w:rPr>
                <w:sz w:val="14"/>
                <w:szCs w:val="14"/>
                <w:color w:val="auto"/>
              </w:rPr>
            </w:pPr>
          </w:p>
        </w:tc>
        <w:tc>
          <w:tcPr>
            <w:tcW w:w="11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09"/>
        </w:trPr>
        <w:tc>
          <w:tcPr>
            <w:tcW w:w="5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vMerge w:val="restart"/>
          </w:tcPr>
          <w:p>
            <w:pPr>
              <w:jc w:val="center"/>
              <w:ind w:right="332"/>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77"/>
        </w:trPr>
        <w:tc>
          <w:tcPr>
            <w:tcW w:w="5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5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399"/>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 to 2020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decreased by $16.9 million, or 9%, to $179.3 million for the year ended December 31, 2020, from $196.2 million for the year ended December 31, 2019.</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61,907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top w:val="single" w:sz="8" w:color="auto"/>
              <w:bottom w:val="single" w:sz="8" w:color="auto"/>
            </w:tcBorders>
          </w:tcPr>
          <w:p>
            <w:pPr>
              <w:spacing w:after="0"/>
              <w:rPr>
                <w:sz w:val="17"/>
                <w:szCs w:val="17"/>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37,790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23,831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100,742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71,258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(482)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1,691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2,118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measures to their most directly comparable GAAP financial measures, and not to rely on any single financial measure to evaluate our business.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0"/>
        </w:trPr>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(Restated)</w:t>
            </w:r>
          </w:p>
        </w:tc>
        <w:tc>
          <w:tcPr>
            <w:tcW w:w="320" w:type="dxa"/>
            <w:vAlign w:val="bottom"/>
          </w:tcPr>
          <w:p>
            <w:pPr>
              <w:spacing w:after="0"/>
              <w:rPr>
                <w:sz w:val="9"/>
                <w:szCs w:val="9"/>
                <w:color w:val="auto"/>
              </w:rPr>
            </w:pPr>
          </w:p>
        </w:tc>
        <w:tc>
          <w:tcPr>
            <w:tcW w:w="13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78"/>
        </w:trPr>
        <w:tc>
          <w:tcPr>
            <w:tcW w:w="6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212,195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179,322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228,797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175,296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(16,602)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4,026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12,942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5,965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36,538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83,495</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60" w:hanging="332"/>
        <w:spacing w:after="0" w:line="241" w:lineRule="auto"/>
        <w:tabs>
          <w:tab w:leader="none" w:pos="332"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40" w:right="20" w:hanging="332"/>
        <w:spacing w:after="0" w:line="248" w:lineRule="auto"/>
        <w:tabs>
          <w:tab w:leader="none" w:pos="332"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2021,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3"/>
                <w:szCs w:val="23"/>
                <w:color w:val="auto"/>
                <w:vertAlign w:val="superscript"/>
              </w:rPr>
              <w:t>(5)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that did not meet the requirement for capitalization.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fiscal year 2020 and 2021, primarily consists of funding received under the CARES Act Provider Relief Fund.</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 w:lineRule="exact"/>
        <w:rPr>
          <w:rFonts w:ascii="Arial" w:cs="Arial" w:eastAsia="Arial" w:hAnsi="Arial"/>
          <w:sz w:val="14"/>
          <w:szCs w:val="14"/>
          <w:color w:val="auto"/>
        </w:rPr>
      </w:pPr>
    </w:p>
    <w:p>
      <w:pPr>
        <w:ind w:left="340" w:right="200" w:hanging="332"/>
        <w:spacing w:after="0" w:line="255"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the year ended December 31, 2021, represents the change in fair market value of the liabilities associated with our public warrants, private placement warrants and the earn-out shares issuable under the terms of the Prior Merger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22, 2021, we completed the Business Combination, consummated the Prior PIPE Investment and received net cash proceeds of $510 million. Management determined that the cash proceeds received from the Business Combination provides us with sufficient liquidity to meet our obligations for at least twelve months from the date of the filing of our Annual Report on Form 10-K for the year ended December 31, 2021.</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Accordingly, the consolidated financial statements included elsewhere in this prospectus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In particular, if the Acquisition is consummated, we expect to issue 50 million shares of our Class A common stock for an aggregate purchase price equal to $200 million pursuant to the Acquisition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elsewhere within this prospectus.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Our future contractual purchase commitments were $23.1 million as of December 31, 2021. The timing of these future payments, by year, can be found in our consolidated financial statements in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included elsewhere within this prospectus.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7"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Year Ended</w:t>
      </w:r>
    </w:p>
    <w:p>
      <w:pPr>
        <w:jc w:val="center"/>
        <w:ind w:left="63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(93,128)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(18,728)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(20,786)</w:t>
            </w:r>
          </w:p>
        </w:tc>
        <w:tc>
          <w:tcPr>
            <w:tcW w:w="280" w:type="dxa"/>
            <w:vAlign w:val="bottom"/>
          </w:tcPr>
          <w:p>
            <w:pPr>
              <w:spacing w:after="0"/>
              <w:rPr>
                <w:sz w:val="19"/>
                <w:szCs w:val="19"/>
                <w:color w:val="auto"/>
              </w:rPr>
            </w:pPr>
          </w:p>
        </w:tc>
        <w:tc>
          <w:tcPr>
            <w:tcW w:w="1380" w:type="dxa"/>
            <w:vAlign w:val="bottom"/>
          </w:tcPr>
          <w:p>
            <w:pPr>
              <w:ind w:left="700"/>
              <w:spacing w:after="0"/>
              <w:rPr>
                <w:sz w:val="20"/>
                <w:szCs w:val="20"/>
                <w:color w:val="auto"/>
              </w:rPr>
            </w:pPr>
            <w:r>
              <w:rPr>
                <w:rFonts w:ascii="Arial" w:cs="Arial" w:eastAsia="Arial" w:hAnsi="Arial"/>
                <w:sz w:val="18"/>
                <w:szCs w:val="18"/>
                <w:color w:val="auto"/>
                <w:w w:val="98"/>
              </w:rPr>
              <w:t>(31,974)</w:t>
            </w:r>
          </w:p>
        </w:tc>
        <w:tc>
          <w:tcPr>
            <w:tcW w:w="42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2"/>
              </w:rPr>
              <w:t>(15,456)</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493,729</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129,056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148,012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during the year ended December 31, 2019 was $18.7 million, which was primarily attributable to a net loss of $29.7 million and a net change in our operating assets and liabilities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discussion on our accounting policies. We have identified below our accounting policies that we believe could potentially generate materially different results if we were to change underlying assumptions, estimates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judgments. Although actual results may differ from those estimates, we believe the estimates are reasonable and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on recent accounting pronouncements can be found in Sema4’s audited consolidated financial statements in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included elsewhere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8"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w:t>
      </w:r>
    </w:p>
    <w:p>
      <w:pPr>
        <w:spacing w:after="0" w:line="2"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 Goodwill and Other – Internal-Use Software; and the application of ASC 840, Leases, ASC 340-40, Contracts with Customers and SEC Regulation S-X Article 5.</w:t>
      </w:r>
    </w:p>
    <w:p>
      <w:pPr>
        <w:spacing w:after="0" w:line="131"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During 2021, we made the following enhancements to our control environment:</w:t>
      </w:r>
    </w:p>
    <w:p>
      <w:pPr>
        <w:spacing w:after="0" w:line="116" w:lineRule="exact"/>
        <w:rPr>
          <w:sz w:val="20"/>
          <w:szCs w:val="20"/>
          <w:color w:val="auto"/>
        </w:rPr>
      </w:pPr>
    </w:p>
    <w:p>
      <w:pPr>
        <w:jc w:val="both"/>
        <w:ind w:left="66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29"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1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engaged outside consultants to assist us in the evaluation of our Enterprise Resource Planning (“</w:t>
      </w:r>
      <w:r>
        <w:rPr>
          <w:rFonts w:ascii="Arial" w:cs="Arial" w:eastAsia="Arial" w:hAnsi="Arial"/>
          <w:sz w:val="17"/>
          <w:szCs w:val="17"/>
          <w:i w:val="1"/>
          <w:iCs w:val="1"/>
          <w:color w:val="auto"/>
        </w:rPr>
        <w:t>ERP</w:t>
      </w:r>
      <w:r>
        <w:rPr>
          <w:rFonts w:ascii="Arial" w:cs="Arial" w:eastAsia="Arial" w:hAnsi="Arial"/>
          <w:sz w:val="17"/>
          <w:szCs w:val="17"/>
          <w:color w:val="auto"/>
        </w:rPr>
        <w:t>”) system in order to mitigate the internal control gaps and limitations with the current configuration, and to enhance the information technology general controls environment.</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remediation activities are continuing during 2022. In addition to the above actions, we expect to engage in additional activities, including, but not limited to: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right="1920"/>
        <w:spacing w:after="0" w:line="464" w:lineRule="auto"/>
        <w:rPr>
          <w:sz w:val="20"/>
          <w:szCs w:val="20"/>
          <w:color w:val="auto"/>
        </w:rPr>
      </w:pPr>
      <w:r>
        <w:rPr>
          <w:rFonts w:ascii="Arial" w:cs="Arial" w:eastAsia="Arial" w:hAnsi="Arial"/>
          <w:sz w:val="17"/>
          <w:szCs w:val="17"/>
          <w:color w:val="auto"/>
        </w:rPr>
        <w:t xml:space="preserve">genomics and information platforms, and intend to continue to expand our scale and reach through organic and inorganic growth. </w:t>
      </w:r>
      <w:r>
        <w:rPr>
          <w:rFonts w:ascii="Arial" w:cs="Arial" w:eastAsia="Arial" w:hAnsi="Arial"/>
          <w:sz w:val="17"/>
          <w:szCs w:val="17"/>
          <w:b w:val="1"/>
          <w:bCs w:val="1"/>
          <w:i w:val="1"/>
          <w:iCs w:val="1"/>
          <w:color w:val="auto"/>
        </w:rPr>
        <w:t>Our Purpose-Built, Flexible Platforms Address Immediate and Untapped Market Opportunities</w:t>
      </w:r>
    </w:p>
    <w:p>
      <w:pPr>
        <w:jc w:val="both"/>
        <w:spacing w:after="0" w:line="263" w:lineRule="auto"/>
        <w:rPr>
          <w:sz w:val="20"/>
          <w:szCs w:val="20"/>
          <w:color w:val="auto"/>
        </w:rPr>
      </w:pPr>
      <w:r>
        <w:rPr>
          <w:rFonts w:ascii="Arial" w:cs="Arial" w:eastAsia="Arial" w:hAnsi="Arial"/>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ind w:right="1820"/>
        <w:spacing w:after="0" w:line="438" w:lineRule="auto"/>
        <w:rPr>
          <w:sz w:val="20"/>
          <w:szCs w:val="20"/>
          <w:color w:val="auto"/>
        </w:rPr>
      </w:pPr>
      <w:r>
        <w:rPr>
          <w:rFonts w:ascii="Arial" w:cs="Arial" w:eastAsia="Arial" w:hAnsi="Arial"/>
          <w:sz w:val="18"/>
          <w:szCs w:val="18"/>
          <w:color w:val="auto"/>
        </w:rPr>
        <w:t xml:space="preserve">understanding of disease and wellness and improve the standard of care through information driven knowledge and understanding. </w:t>
      </w:r>
      <w:r>
        <w:rPr>
          <w:rFonts w:ascii="Arial" w:cs="Arial" w:eastAsia="Arial" w:hAnsi="Arial"/>
          <w:sz w:val="18"/>
          <w:szCs w:val="18"/>
          <w:b w:val="1"/>
          <w:bCs w:val="1"/>
          <w:i w:val="1"/>
          <w:iCs w:val="1"/>
          <w:color w:val="auto"/>
        </w:rPr>
        <w:t>Provider Engagement Technologies: Our Next Generation Tools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language processing, augmented as needed by human annotators, to extract information and knowledge from 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Arial" w:cs="Arial" w:eastAsia="Arial" w:hAnsi="Arial"/>
          <w:sz w:val="17"/>
          <w:szCs w:val="17"/>
          <w:i w:val="1"/>
          <w:iCs w:val="1"/>
          <w:color w:val="auto"/>
        </w:rPr>
        <w:t>Certain Relationships and Related Party Transactions—Related Party Transactions—Sema4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Elements Women’s Health Solutions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Elements™, our portfolio of data-science driven products and services to support reproductive and generational 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Testing Solutions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Expansive development in prenatal screening allows our team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our Centrellis platform, combined with our comprehensive whole exome and whole transcriptome tumor profiling and hereditary cancer and pharmacogenomics genomic testing solutions, will make a 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including clinical trial recruitment, improved system-wide quality of care and increased financial and research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Payer Relations Strategy</w:t>
      </w:r>
    </w:p>
    <w:p>
      <w:pPr>
        <w:spacing w:after="0" w:line="200" w:lineRule="exact"/>
        <w:rPr>
          <w:sz w:val="20"/>
          <w:szCs w:val="20"/>
          <w:color w:val="auto"/>
        </w:rPr>
      </w:pPr>
    </w:p>
    <w:p>
      <w:pPr>
        <w:spacing w:after="0" w:line="3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developed and are advancing our strategy to drive increased reimbursement and higher average selling prices, or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Biopharma Solutions Engage and Enable Our Partners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pharmaceutical life cycle as a result of the unique data and patient and provider engagements developed in our health system relationships and information-driven diagnostics solutions, combined with our powerful analytics capabilities and software solutions.</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 therapeutics, provide for pharmacologic proof of concept via the integration of genomic and clinical data support, reduce development costs, enhance the patient experience, and increase speed to market.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91"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69"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 Biopharma partners seeking to use high-quality genomic analysis to assess patient eligibility for clinical trials. We believe our clinical testing services and data solutions make us a key partner for supporting efficient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names, ages as of February 22, 2022, and certain other information regarding our executive officers and directors: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Dennis Charney, M.D.</w:t>
            </w:r>
            <w:r>
              <w:rPr>
                <w:rFonts w:ascii="Arial" w:cs="Arial" w:eastAsia="Arial" w:hAnsi="Arial"/>
                <w:sz w:val="23"/>
                <w:szCs w:val="23"/>
                <w:color w:val="auto"/>
                <w:vertAlign w:val="superscript"/>
              </w:rPr>
              <w:t>(5)</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Emily Leproust, Ph.D.</w:t>
            </w:r>
            <w:r>
              <w:rPr>
                <w:rFonts w:ascii="Arial" w:cs="Arial" w:eastAsia="Arial" w:hAnsi="Arial"/>
                <w:sz w:val="23"/>
                <w:szCs w:val="23"/>
                <w:color w:val="auto"/>
                <w:vertAlign w:val="superscript"/>
              </w:rPr>
              <w:t>(5)</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Keith A. Meister</w:t>
            </w:r>
            <w:r>
              <w:rPr>
                <w:rFonts w:ascii="Arial" w:cs="Arial" w:eastAsia="Arial" w:hAnsi="Arial"/>
                <w:sz w:val="23"/>
                <w:szCs w:val="23"/>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(2)(4)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Rachel Sherman, M.D., M.P.H., F.A.C.P.</w:t>
            </w:r>
            <w:r>
              <w:rPr>
                <w:rFonts w:ascii="Arial" w:cs="Arial" w:eastAsia="Arial" w:hAnsi="Arial"/>
                <w:sz w:val="23"/>
                <w:szCs w:val="23"/>
                <w:color w:val="auto"/>
                <w:vertAlign w:val="superscript"/>
              </w:rPr>
              <w:t>(3)(6)</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Nat Turner</w:t>
            </w:r>
            <w:r>
              <w:rPr>
                <w:rFonts w:ascii="Arial" w:cs="Arial" w:eastAsia="Arial" w:hAnsi="Arial"/>
                <w:sz w:val="23"/>
                <w:szCs w:val="23"/>
                <w:color w:val="auto"/>
                <w:vertAlign w:val="superscript"/>
              </w:rPr>
              <w:t>(6)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Chair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has served as our Chief Executive Officer and as a member of our Board since July 2021. Dr. Schadt was the founder of Legacy Sema4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Jason Ryan </w:t>
      </w:r>
      <w:r>
        <w:rPr>
          <w:rFonts w:ascii="Arial" w:cs="Arial" w:eastAsia="Arial" w:hAnsi="Arial"/>
          <w:sz w:val="17"/>
          <w:szCs w:val="17"/>
          <w:color w:val="auto"/>
        </w:rPr>
        <w:t>has served as a member of our Board since July 2021, and as our Executive Chairman since January 2022. Mr. Ryan served as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Financial Officer of Magenta Therapeutics, Inc., a biotechnology company, from January 2019 to November 2020. Prior to joining Magenta Therapeutics, Inc., Mr. Ryan previously served as Chief Financial Officer of Foundation Medicine, Inc., a molecular information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Isaac Ro </w:t>
      </w:r>
      <w:r>
        <w:rPr>
          <w:rFonts w:ascii="Arial" w:cs="Arial" w:eastAsia="Arial" w:hAnsi="Arial"/>
          <w:sz w:val="16"/>
          <w:szCs w:val="16"/>
          <w:color w:val="auto"/>
        </w:rPr>
        <w:t>has served as our Chief Financial Officer since July 2021. Mr. Ro previously served as Legacy Sema4’s Chief Financial Officer from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Mr. Clark previously served as Legacy Sema4’s General Counsel from March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Mr. Prentice previously served as Legacy Sema4’s Chief Product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Kareem Saad </w:t>
      </w:r>
      <w:r>
        <w:rPr>
          <w:rFonts w:ascii="Arial" w:cs="Arial" w:eastAsia="Arial" w:hAnsi="Arial"/>
          <w:sz w:val="16"/>
          <w:szCs w:val="16"/>
          <w:color w:val="auto"/>
        </w:rPr>
        <w:t>has served as our Chief Business Officer since July 2021. Mr. Saad previously served as Legacy Sema4’s Chief Business Officer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Karen White </w:t>
      </w:r>
      <w:r>
        <w:rPr>
          <w:rFonts w:ascii="Arial" w:cs="Arial" w:eastAsia="Arial" w:hAnsi="Arial"/>
          <w:sz w:val="18"/>
          <w:szCs w:val="18"/>
          <w:color w:val="auto"/>
        </w:rPr>
        <w:t>has served as our Chief People Officer since July 2021. Ms. White previously served as Legacy Sema4’s Chief People Officer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2020 to July 2021. Prior to joining Sema4, Ms. White was Vice 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Dennis Charney, M.D., </w:t>
      </w:r>
      <w:r>
        <w:rPr>
          <w:rFonts w:ascii="Arial" w:cs="Arial" w:eastAsia="Arial" w:hAnsi="Arial"/>
          <w:sz w:val="16"/>
          <w:szCs w:val="16"/>
          <w:color w:val="auto"/>
        </w:rPr>
        <w:t>has served as a member of our Board since July 2021, and previously served as a member of Legacy Sema4’s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Eli D. Casdin </w:t>
      </w:r>
      <w:r>
        <w:rPr>
          <w:rFonts w:ascii="Arial" w:cs="Arial" w:eastAsia="Arial" w:hAnsi="Arial"/>
          <w:sz w:val="16"/>
          <w:szCs w:val="16"/>
          <w:color w:val="auto"/>
        </w:rPr>
        <w:t>has served as a member of our Board since July 2020, and from, previously served as the Chief Executive Officer of CMLS from July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(“CMLS II”)), since September 2021 (having previously served as the Chief Executive Officer of CMLS II from February 2021 to September 2021), and EQRx, Inc., a pharmaceutical company (formerly, CM Life Sciences III Inc., a special purpose acquisition company (“CMLS III”)),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Emily Leproust, Ph.D., </w:t>
      </w:r>
      <w:r>
        <w:rPr>
          <w:rFonts w:ascii="Arial" w:cs="Arial" w:eastAsia="Arial" w:hAnsi="Arial"/>
          <w:sz w:val="16"/>
          <w:szCs w:val="16"/>
          <w:color w:val="auto"/>
        </w:rPr>
        <w:t>has served as a member of our Board since September 2020. Dr. Leproust has been President and Chief Executive Officer of Twist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served as a member of our Board since January 2022, and previously served as the Chairman of the Board of CMLS from July 2020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2021. He founded Corvex Management LP, a New York based investment manager, in December 2010 and since its inception has served as its Managing Partner and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 Officer. From 2003 to 2010, Mr. Meister served as Chief Executive Officer and then Principal Executive Officer and Vice Chairman of the Board of Icahn Enterprises L.P. (Nasdaq: IEP), the primary investment vehicle for Carl Icahn. In addition, Mr. Meister previously served as Chairman of CMLS II from December 2020 to September 2021 and CMLS III from January 2021 to December 2021.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our Board since July 2021, and previously served as a member of Legacy Sema4’s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Rachel Sherman, M.D., </w:t>
      </w:r>
      <w:r>
        <w:rPr>
          <w:rFonts w:ascii="Arial" w:cs="Arial" w:eastAsia="Arial" w:hAnsi="Arial"/>
          <w:sz w:val="16"/>
          <w:szCs w:val="16"/>
          <w:color w:val="auto"/>
        </w:rPr>
        <w:t>M.P.H., F.A.C.P., has served as a member of our Board since July 2021, previously served as a member of Legacy Sema4’s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member of our Board since July 2021. Mr. Turner is currently CEO of Collectors Universe, an authentication and grading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for collectible coins, trading cards, video games, autographs, and memorabilia. Mr. Turner is also Chairman of Flatiron Health, Inc., and Director on the Board of Directors for Clover Health Investments Corp. Previously, Mr. Turner was the Co-Founder and Chief Executive Officer of Flatiron Health, Inc., a healthcare technology company focusing on accelerating oncology research and improving patient care, from June 2012 until April 2021, and was acquired by Roche Holding AG in April 2018. Prior to that,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familial relationships among our executive officers or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our website is not a part of this prospectus, and the inclusion of such website address in this prospectus is an inactive textual reference only.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 committee is comprised of Keith Meister, Dennis Charney and Emily Leproust, with Mr. Meister as the chairman of our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Our audit committee is directly responsible for, among other things:</w:t>
      </w:r>
    </w:p>
    <w:p>
      <w:pPr>
        <w:spacing w:after="0" w:line="138" w:lineRule="exact"/>
        <w:rPr>
          <w:sz w:val="20"/>
          <w:szCs w:val="20"/>
          <w:color w:val="auto"/>
        </w:rPr>
      </w:pPr>
    </w:p>
    <w:p>
      <w:pPr>
        <w:jc w:val="both"/>
        <w:ind w:left="66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 on Form 10-K;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monitoring the qualifications, independence and performance of our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proxy statement for our annual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including our financial statement audits and the integrity of our financial statements;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our financial risks, enterprise exposures, cybersecurity risks and other risks as it deems necessary or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is comprised of Joshua Ruch, Rachel Sherman and Nat Turner,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3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71" w:lineRule="exact"/>
        <w:rPr>
          <w:rFonts w:ascii="Arial" w:cs="Arial" w:eastAsia="Arial" w:hAnsi="Arial"/>
          <w:sz w:val="18"/>
          <w:szCs w:val="18"/>
          <w:color w:val="auto"/>
        </w:rPr>
      </w:pPr>
    </w:p>
    <w:p>
      <w:pPr>
        <w:ind w:right="1380" w:firstLine="332"/>
        <w:spacing w:after="0" w:line="438" w:lineRule="auto"/>
        <w:tabs>
          <w:tab w:leader="none" w:pos="6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(“Radford”)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3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Assisting in developing a peer group of publicly traded companies to be used to help assess the competitiveness of executive compensation;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in ensuring a competitive compensation framework;</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our executive compensation program;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in the competitive assessment of the short-term cash and long-term equity incentive plans designs;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in the risk assessment of our compensation program.</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Outside of its services to the compensation committee, Radford provides no other services to us. The compensation committee evaluated the independence of Radford and determined that it is independent.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ind w:right="2180"/>
        <w:spacing w:after="0" w:line="438" w:lineRule="auto"/>
        <w:rPr>
          <w:sz w:val="20"/>
          <w:szCs w:val="20"/>
          <w:color w:val="auto"/>
        </w:rPr>
      </w:pPr>
      <w:r>
        <w:rPr>
          <w:rFonts w:ascii="Arial" w:cs="Arial" w:eastAsia="Arial" w:hAnsi="Arial"/>
          <w:sz w:val="18"/>
          <w:szCs w:val="18"/>
          <w:color w:val="auto"/>
        </w:rPr>
        <w:t xml:space="preserve">compensation committee also determined that Radford’s work for the Company in 2021 did not raise any conflicts of interest. </w:t>
      </w:r>
      <w:r>
        <w:rPr>
          <w:rFonts w:ascii="Arial" w:cs="Arial" w:eastAsia="Arial" w:hAnsi="Arial"/>
          <w:sz w:val="18"/>
          <w:szCs w:val="18"/>
          <w:b w:val="1"/>
          <w:bCs w:val="1"/>
          <w:i w:val="1"/>
          <w:iCs w:val="1"/>
          <w:color w:val="auto"/>
        </w:rPr>
        <w:t>Role of Compensation Committee and Executive Officers in Compensation Decisions</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himself from any deliberations about his compensation. For fiscal year 2021, our Chief Executive Officer prepared an analysis for the compensation committee recommending each element of compensation to be paid to all other executive officers. The compensation committee considered his recommendations, along with an analysis from Radford, in approving the compensation of our other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nominating and governance committee is comprised of Joshua Ruch and Rachel Sherman, with Ms.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9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advising our Board on other corporate governance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Meetings and Attendance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and its committees meet throughout the year on a pre-determined schedule and also hold special meetings and act by written consent from time to time.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 in connection with the Acquisition. Each director attended at least 75% of the meetings held by the Board and by each committee on which he or she served while he or she was a director during the year, except for Nat Turner.</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Attendance at Annual Meetings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prospectus, and the inclusion of the website address in this prospectus is an inactive textual reference only. We intend to disclose any amendments to the Code of Business Conduct and Ethics, or any waivers of its requirements, on our website to the extent required by the applicable rules and exchange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Under our Corporate Governance Guidelines, at all times, a majority of our directors will be independent, which means, generally, that they will not have any connections to us that could affect their ability to provide impartial oversight. Specifically, these directors will meet the independence requirements of the applicable rules, regulations and listing standards of the stock exchange on which our securities are listed for trading. Our Corporate Governance Guidelines are available without charge on the investor relations section of our website at </w:t>
      </w:r>
      <w:r>
        <w:rPr>
          <w:rFonts w:ascii="Arial" w:cs="Arial" w:eastAsia="Arial" w:hAnsi="Arial"/>
          <w:sz w:val="17"/>
          <w:szCs w:val="17"/>
          <w:i w:val="1"/>
          <w:iCs w:val="1"/>
          <w:color w:val="auto"/>
        </w:rPr>
        <w:t>www.Sema4.com</w:t>
      </w:r>
      <w:r>
        <w:rPr>
          <w:rFonts w:ascii="Arial" w:cs="Arial" w:eastAsia="Arial" w:hAnsi="Arial"/>
          <w:sz w:val="17"/>
          <w:szCs w:val="17"/>
          <w:color w:val="auto"/>
        </w:rPr>
        <w:t>. Information contained on or accessible through such website is not a part of this prospectus, and the inclusion of the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Executive Compensation Program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our Named Executive Officers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for the year ended December 31, 2021, who were:</w:t>
      </w:r>
    </w:p>
    <w:p>
      <w:pPr>
        <w:spacing w:after="0" w:line="11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Eric Schadt, Ph.D.,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Isaac Ro, our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James Coffin, Ph.D., our former President and Chief Operating Officer.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auto"/>
              </w:rPr>
              <w:t>Stock Awards</w:t>
            </w:r>
          </w:p>
        </w:tc>
        <w:tc>
          <w:tcPr>
            <w:tcW w:w="130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Awards</w:t>
            </w:r>
          </w:p>
        </w:tc>
        <w:tc>
          <w:tcPr>
            <w:tcW w:w="1420" w:type="dxa"/>
            <w:vAlign w:val="bottom"/>
            <w:gridSpan w:val="2"/>
          </w:tcPr>
          <w:p>
            <w:pPr>
              <w:ind w:left="380"/>
              <w:spacing w:after="0" w:line="159" w:lineRule="exact"/>
              <w:rPr>
                <w:sz w:val="20"/>
                <w:szCs w:val="20"/>
                <w:color w:val="auto"/>
              </w:rPr>
            </w:pPr>
            <w:r>
              <w:rPr>
                <w:rFonts w:ascii="Arial" w:cs="Arial" w:eastAsia="Arial" w:hAnsi="Arial"/>
                <w:sz w:val="14"/>
                <w:szCs w:val="14"/>
                <w:b w:val="1"/>
                <w:bCs w:val="1"/>
                <w:color w:val="auto"/>
              </w:rPr>
              <w:t>All Other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Salary ($)</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Compensation ($)</w:t>
            </w:r>
            <w:r>
              <w:rPr>
                <w:rFonts w:ascii="Arial" w:cs="Arial" w:eastAsia="Arial" w:hAnsi="Arial"/>
                <w:sz w:val="18"/>
                <w:szCs w:val="18"/>
                <w:b w:val="1"/>
                <w:bCs w:val="1"/>
                <w:color w:val="auto"/>
                <w:w w:val="93"/>
                <w:vertAlign w:val="superscript"/>
              </w:rPr>
              <w:t>(3)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8"/>
        </w:trPr>
        <w:tc>
          <w:tcPr>
            <w:tcW w:w="30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 xml:space="preserve">Eric Schadt, Ph.D. </w:t>
            </w:r>
            <w:r>
              <w:rPr>
                <w:rFonts w:ascii="Arial" w:cs="Arial" w:eastAsia="Arial" w:hAnsi="Arial"/>
                <w:sz w:val="14"/>
                <w:szCs w:val="14"/>
                <w:i w:val="1"/>
                <w:iCs w:val="1"/>
                <w:color w:val="auto"/>
              </w:rPr>
              <w:t>Chief Executive Officer and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513,000</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10,699,239</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3,867,064</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41,533</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15,770,836</w:t>
            </w: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Director</w:t>
            </w: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643,846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540,000</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1,770,474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2,968,076</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Isaac Ro</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353,846</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139,333</w:t>
            </w:r>
          </w:p>
        </w:tc>
        <w:tc>
          <w:tcPr>
            <w:tcW w:w="100" w:type="dxa"/>
            <w:vAlign w:val="bottom"/>
          </w:tcPr>
          <w:p>
            <w:pPr>
              <w:spacing w:after="0"/>
              <w:rPr>
                <w:sz w:val="11"/>
                <w:szCs w:val="11"/>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7,897,167</w:t>
            </w:r>
          </w:p>
        </w:tc>
        <w:tc>
          <w:tcPr>
            <w:tcW w:w="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2,633,103</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16,615</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11,040,064</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James Coffin, Ph.D.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530,397</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180,370</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3,155,535</w:t>
            </w:r>
          </w:p>
        </w:tc>
        <w:tc>
          <w:tcPr>
            <w:tcW w:w="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1,104,874</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4,988,576</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i w:val="1"/>
                <w:iCs w:val="1"/>
                <w:color w:val="auto"/>
              </w:rPr>
              <w:t>Former President and Chief Operating Officer</w:t>
            </w:r>
            <w:r>
              <w:rPr>
                <w:rFonts w:ascii="Arial" w:cs="Arial" w:eastAsia="Arial" w:hAnsi="Arial"/>
                <w:sz w:val="18"/>
                <w:szCs w:val="18"/>
                <w:i w:val="1"/>
                <w:iCs w:val="1"/>
                <w:color w:val="auto"/>
                <w:vertAlign w:val="superscript"/>
              </w:rPr>
              <w:t>(4)</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524,615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623,189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1,521,973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00" w:hanging="332"/>
        <w:spacing w:after="0" w:line="241"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our named executive officers for their service in 2021. For additional information regarding the bonus compensation, see “—2021 Bonuses.”</w:t>
      </w:r>
    </w:p>
    <w:p>
      <w:pPr>
        <w:ind w:left="340" w:right="160" w:hanging="332"/>
        <w:spacing w:after="0" w:line="241"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prospectus. In determining the total value of the equity awards, we have considered all grants issued during the year as earned by the respective executive officers.</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32"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 and other personal benefits including reimbursement for travel costs in the amount of $24,133.</w:t>
      </w: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Dr. Coffin left the Company in February 2022. Amounts reported include payments in respect of his 2021 bonus pursuant to our separation agreement with Dr.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Bonuses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Awards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w w:val="89"/>
              </w:rPr>
              <w:t>Option Awards</w:t>
            </w:r>
            <w:r>
              <w:rPr>
                <w:rFonts w:ascii="Arial" w:cs="Arial" w:eastAsia="Arial" w:hAnsi="Arial"/>
                <w:sz w:val="18"/>
                <w:szCs w:val="18"/>
                <w:b w:val="1"/>
                <w:bCs w:val="1"/>
                <w:color w:val="auto"/>
                <w:w w:val="89"/>
                <w:vertAlign w:val="superscript"/>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30"/>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Shares or Units</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Shares or Units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of Stock That</w:t>
            </w:r>
          </w:p>
        </w:tc>
        <w:tc>
          <w:tcPr>
            <w:tcW w:w="0" w:type="dxa"/>
            <w:vAlign w:val="bottom"/>
          </w:tcPr>
          <w:p>
            <w:pPr>
              <w:spacing w:after="0"/>
              <w:rPr>
                <w:sz w:val="1"/>
                <w:szCs w:val="1"/>
                <w:color w:val="auto"/>
              </w:rPr>
            </w:pPr>
          </w:p>
        </w:tc>
      </w:tr>
      <w:tr>
        <w:trPr>
          <w:trHeight w:val="159"/>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Unexercised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7"/>
              </w:rPr>
              <w:t>Option</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of Stock That</w:t>
            </w:r>
          </w:p>
        </w:tc>
        <w:tc>
          <w:tcPr>
            <w:tcW w:w="520" w:type="dxa"/>
            <w:vAlign w:val="bottom"/>
          </w:tcPr>
          <w:p>
            <w:pPr>
              <w:spacing w:after="0"/>
              <w:rPr>
                <w:sz w:val="13"/>
                <w:szCs w:val="13"/>
                <w:color w:val="auto"/>
              </w:rPr>
            </w:pPr>
          </w:p>
        </w:tc>
        <w:tc>
          <w:tcPr>
            <w:tcW w:w="110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w w:val="94"/>
              </w:rPr>
              <w:t>Have Not Vested</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Unexercised Options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Price</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Option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Have Not Vested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20"/>
              <w:spacing w:after="0" w:line="165"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18"/>
                <w:szCs w:val="18"/>
                <w:b w:val="1"/>
                <w:bCs w:val="1"/>
                <w:color w:val="auto"/>
                <w:w w:val="93"/>
                <w:vertAlign w:val="superscript"/>
              </w:rPr>
              <w:t>(*)</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1260" w:type="dxa"/>
            <w:vAlign w:val="bottom"/>
          </w:tcPr>
          <w:p>
            <w:pPr>
              <w:jc w:val="right"/>
              <w:ind w:right="200"/>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Exercisable (#)</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Unexercisable (#)</w:t>
            </w:r>
          </w:p>
        </w:tc>
        <w:tc>
          <w:tcPr>
            <w:tcW w:w="1040" w:type="dxa"/>
            <w:vAlign w:val="bottom"/>
            <w:gridSpan w:val="3"/>
          </w:tcPr>
          <w:p>
            <w:pPr>
              <w:jc w:val="center"/>
              <w:ind w:left="40"/>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Expiration 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Schadt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6/1/2017</w:t>
            </w:r>
            <w:r>
              <w:rPr>
                <w:rFonts w:ascii="Arial" w:cs="Arial" w:eastAsia="Arial" w:hAnsi="Arial"/>
                <w:sz w:val="21"/>
                <w:szCs w:val="21"/>
                <w:color w:val="auto"/>
                <w:vertAlign w:val="superscript"/>
              </w:rPr>
              <w:t>(2)</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4,829,521</w:t>
            </w:r>
          </w:p>
        </w:tc>
        <w:tc>
          <w:tcPr>
            <w:tcW w:w="10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10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5/31/2027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4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10/17/2019</w:t>
            </w:r>
            <w:r>
              <w:rPr>
                <w:rFonts w:ascii="Arial" w:cs="Arial" w:eastAsia="Arial" w:hAnsi="Arial"/>
                <w:sz w:val="21"/>
                <w:szCs w:val="21"/>
                <w:color w:val="auto"/>
                <w:vertAlign w:val="superscript"/>
              </w:rPr>
              <w:t>(3)</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851,357</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510,815</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10/16/2029</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04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1,300,203</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1,011,285</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04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788,125</w:t>
            </w:r>
          </w:p>
        </w:tc>
        <w:tc>
          <w:tcPr>
            <w:tcW w:w="10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4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1,182,187</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5,272,552</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223,830</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309,334</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(7)</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35,054</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48,444</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197,635</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273,133</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83,818</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115,836</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(9)</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201,720</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278,778</w:t>
            </w:r>
          </w:p>
        </w:tc>
        <w:tc>
          <w:tcPr>
            <w:tcW w:w="0" w:type="dxa"/>
            <w:vAlign w:val="bottom"/>
          </w:tcPr>
          <w:p>
            <w:pPr>
              <w:spacing w:after="0"/>
              <w:rPr>
                <w:sz w:val="1"/>
                <w:szCs w:val="1"/>
                <w:color w:val="auto"/>
              </w:rPr>
            </w:pPr>
          </w:p>
        </w:tc>
      </w:tr>
      <w:tr>
        <w:trPr>
          <w:trHeight w:val="113"/>
        </w:trPr>
        <w:tc>
          <w:tcPr>
            <w:tcW w:w="2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160" w:type="dxa"/>
            <w:vAlign w:val="bottom"/>
          </w:tcPr>
          <w:p>
            <w:pPr>
              <w:ind w:left="20"/>
              <w:spacing w:after="0"/>
              <w:rPr>
                <w:sz w:val="20"/>
                <w:szCs w:val="20"/>
                <w:color w:val="auto"/>
              </w:rPr>
            </w:pPr>
            <w:r>
              <w:rPr>
                <w:rFonts w:ascii="Arial" w:cs="Arial" w:eastAsia="Arial" w:hAnsi="Arial"/>
                <w:sz w:val="16"/>
                <w:szCs w:val="16"/>
                <w:color w:val="auto"/>
              </w:rPr>
              <w:t>Isaac Ro</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108,507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470,197</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812,500</w:t>
            </w:r>
          </w:p>
        </w:tc>
        <w:tc>
          <w:tcPr>
            <w:tcW w:w="5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3,623,750</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(11)</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197,848</w:t>
            </w:r>
          </w:p>
        </w:tc>
        <w:tc>
          <w:tcPr>
            <w:tcW w:w="5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273,428</w:t>
            </w:r>
          </w:p>
        </w:tc>
        <w:tc>
          <w:tcPr>
            <w:tcW w:w="0" w:type="dxa"/>
            <w:vAlign w:val="bottom"/>
          </w:tcPr>
          <w:p>
            <w:pPr>
              <w:spacing w:after="0"/>
              <w:rPr>
                <w:sz w:val="1"/>
                <w:szCs w:val="1"/>
                <w:color w:val="auto"/>
              </w:rPr>
            </w:pPr>
          </w:p>
        </w:tc>
      </w:tr>
      <w:tr>
        <w:trPr>
          <w:trHeight w:val="113"/>
        </w:trPr>
        <w:tc>
          <w:tcPr>
            <w:tcW w:w="216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14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James Coffin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8/31/2017</w:t>
            </w:r>
            <w:r>
              <w:rPr>
                <w:rFonts w:ascii="Arial" w:cs="Arial" w:eastAsia="Arial" w:hAnsi="Arial"/>
                <w:sz w:val="21"/>
                <w:szCs w:val="21"/>
                <w:color w:val="auto"/>
                <w:vertAlign w:val="superscript"/>
              </w:rPr>
              <w:t>(12)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2,167,093</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10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8/30/2027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457,659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355,961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10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225,179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337,767</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1,506,442</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189,119</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261,363</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(13)</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40,155</w:t>
            </w:r>
          </w:p>
        </w:tc>
        <w:tc>
          <w:tcPr>
            <w:tcW w:w="0" w:type="dxa"/>
            <w:vAlign w:val="bottom"/>
          </w:tcPr>
          <w:p>
            <w:pPr>
              <w:spacing w:after="0"/>
              <w:rPr>
                <w:sz w:val="1"/>
                <w:szCs w:val="1"/>
                <w:color w:val="auto"/>
              </w:rPr>
            </w:pPr>
          </w:p>
        </w:tc>
      </w:tr>
      <w:tr>
        <w:trPr>
          <w:trHeight w:val="405"/>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(14)</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57,968</w:t>
            </w:r>
          </w:p>
        </w:tc>
        <w:tc>
          <w:tcPr>
            <w:tcW w:w="0" w:type="dxa"/>
            <w:vAlign w:val="bottom"/>
          </w:tcPr>
          <w:p>
            <w:pPr>
              <w:spacing w:after="0"/>
              <w:rPr>
                <w:sz w:val="1"/>
                <w:szCs w:val="1"/>
                <w:color w:val="auto"/>
              </w:rPr>
            </w:pPr>
          </w:p>
        </w:tc>
      </w:tr>
      <w:tr>
        <w:trPr>
          <w:trHeight w:val="113"/>
        </w:trPr>
        <w:tc>
          <w:tcPr>
            <w:tcW w:w="2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closing market price of our Class A common stock on December 31, 2021 was $4.46 per share.</w:t>
      </w:r>
    </w:p>
    <w:p>
      <w:pPr>
        <w:spacing w:after="0" w:line="1" w:lineRule="exact"/>
        <w:rPr>
          <w:sz w:val="20"/>
          <w:szCs w:val="20"/>
          <w:color w:val="auto"/>
        </w:rPr>
      </w:pPr>
    </w:p>
    <w:p>
      <w:pPr>
        <w:ind w:left="340" w:right="40" w:hanging="332"/>
        <w:spacing w:after="0" w:line="241"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right="300" w:hanging="332"/>
        <w:spacing w:after="0" w:line="241"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140" w:hanging="332"/>
        <w:spacing w:after="0" w:line="241"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w:t>
      </w:r>
    </w:p>
    <w:p>
      <w:pPr>
        <w:ind w:left="340" w:hanging="332"/>
        <w:spacing w:after="0" w:line="248" w:lineRule="auto"/>
        <w:tabs>
          <w:tab w:leader="none" w:pos="33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sectPr>
          <w:pgSz w:w="11900" w:h="16838" w:orient="portrait"/>
          <w:cols w:equalWidth="0" w:num="1">
            <w:col w:w="11240"/>
          </w:cols>
          <w:pgMar w:left="320" w:top="1440" w:right="339" w:bottom="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86" w:gutter="0" w:footer="0" w:header="0"/>
          <w:type w:val="continuous"/>
        </w:sectPr>
      </w:pPr>
    </w:p>
    <w:bookmarkStart w:id="130" w:name="page131"/>
    <w:bookmarkEnd w:id="130"/>
    <w:p>
      <w:pPr>
        <w:spacing w:after="0" w:line="139" w:lineRule="exact"/>
        <w:rPr>
          <w:sz w:val="20"/>
          <w:szCs w:val="20"/>
          <w:color w:val="auto"/>
        </w:rPr>
      </w:pPr>
    </w:p>
    <w:p>
      <w:pPr>
        <w:ind w:left="340" w:right="140" w:hanging="332"/>
        <w:spacing w:after="0" w:line="247" w:lineRule="auto"/>
        <w:tabs>
          <w:tab w:leader="none" w:pos="3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54,532 of the RSUs, and will be satisfied with respect to the remainder of the RSUs over five semi-annual periods, subject to the officer’s continued service to us on each service-based vesting date.</w:t>
      </w:r>
    </w:p>
    <w:p>
      <w:pPr>
        <w:ind w:left="340" w:right="140" w:hanging="332"/>
        <w:spacing w:after="0" w:line="241" w:lineRule="auto"/>
        <w:tabs>
          <w:tab w:leader="none" w:pos="3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spacing w:after="0" w:line="1" w:lineRule="exact"/>
        <w:rPr>
          <w:rFonts w:ascii="Arial" w:cs="Arial" w:eastAsia="Arial" w:hAnsi="Arial"/>
          <w:sz w:val="14"/>
          <w:szCs w:val="14"/>
          <w:color w:val="auto"/>
        </w:rPr>
      </w:pPr>
    </w:p>
    <w:p>
      <w:pPr>
        <w:ind w:left="340" w:right="120" w:hanging="332"/>
        <w:spacing w:after="0" w:line="260" w:lineRule="auto"/>
        <w:tabs>
          <w:tab w:leader="none" w:pos="337" w:val="left"/>
        </w:tabs>
        <w:numPr>
          <w:ilvl w:val="0"/>
          <w:numId w:val="54"/>
        </w:numPr>
        <w:rPr>
          <w:rFonts w:ascii="Arial" w:cs="Arial" w:eastAsia="Arial" w:hAnsi="Arial"/>
          <w:sz w:val="13"/>
          <w:szCs w:val="13"/>
          <w:color w:val="auto"/>
        </w:rPr>
      </w:pPr>
      <w:r>
        <w:rPr>
          <w:rFonts w:ascii="Arial" w:cs="Arial" w:eastAsia="Arial" w:hAnsi="Arial"/>
          <w:sz w:val="13"/>
          <w:szCs w:val="13"/>
          <w:color w:val="auto"/>
        </w:rPr>
        <w:t>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40" w:right="140" w:hanging="332"/>
        <w:spacing w:after="0" w:line="241" w:lineRule="auto"/>
        <w:tabs>
          <w:tab w:leader="none" w:pos="331"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3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w:t>
      </w:r>
    </w:p>
    <w:p>
      <w:pPr>
        <w:spacing w:after="0" w:line="1" w:lineRule="exact"/>
        <w:rPr>
          <w:rFonts w:ascii="Arial" w:cs="Arial" w:eastAsia="Arial" w:hAnsi="Arial"/>
          <w:sz w:val="14"/>
          <w:szCs w:val="14"/>
          <w:color w:val="auto"/>
        </w:rPr>
      </w:pPr>
    </w:p>
    <w:p>
      <w:pPr>
        <w:ind w:left="340" w:hanging="332"/>
        <w:spacing w:after="0" w:line="248" w:lineRule="auto"/>
        <w:tabs>
          <w:tab w:leader="none" w:pos="33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Current Named Executive Officers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Arial" w:cs="Arial" w:eastAsia="Arial" w:hAnsi="Arial"/>
          <w:sz w:val="16"/>
          <w:szCs w:val="16"/>
          <w:i w:val="1"/>
          <w:iCs w:val="1"/>
          <w:color w:val="auto"/>
        </w:rPr>
        <w:t>Potential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Termination or Change in Control</w:t>
      </w:r>
      <w:r>
        <w:rPr>
          <w:rFonts w:ascii="Arial" w:cs="Arial" w:eastAsia="Arial" w:hAnsi="Arial"/>
          <w:sz w:val="16"/>
          <w:szCs w:val="16"/>
          <w:color w:val="auto"/>
        </w:rPr>
        <w:t>.” In addition, Dr’s Schadt’s and Mr. Ro’s employment agreements provided for each to receive certain equity-based incentive awards following the closing of the Business Combination, which awards were granted under the 2021 Equity Incentive Plan (the “2021 EIP”) and are subject to service-based vesting conditions. For more information, see “—</w:t>
      </w:r>
      <w:r>
        <w:rPr>
          <w:rFonts w:ascii="Arial" w:cs="Arial" w:eastAsia="Arial" w:hAnsi="Arial"/>
          <w:sz w:val="16"/>
          <w:szCs w:val="16"/>
          <w:i w:val="1"/>
          <w:iCs w:val="1"/>
          <w:color w:val="auto"/>
        </w:rPr>
        <w:t>Outstanding Equity Awards at 2021 Fiscal Year-End</w:t>
      </w:r>
      <w:r>
        <w:rPr>
          <w:rFonts w:ascii="Arial" w:cs="Arial" w:eastAsia="Arial" w:hAnsi="Arial"/>
          <w:sz w:val="16"/>
          <w:szCs w:val="16"/>
          <w:color w:val="auto"/>
        </w:rPr>
        <w:t>.”</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continued coverage under our group health benefit plans, and accelerated vesting of his outstanding equity-based compensation awards, subject to his execution of a release of claims.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in “—</w:t>
      </w:r>
      <w:r>
        <w:rPr>
          <w:rFonts w:ascii="Arial" w:cs="Arial" w:eastAsia="Arial" w:hAnsi="Arial"/>
          <w:sz w:val="18"/>
          <w:szCs w:val="18"/>
          <w:i w:val="1"/>
          <w:iCs w:val="1"/>
          <w:color w:val="auto"/>
        </w:rPr>
        <w:t>Outstanding Equity Awards at 2021 Fiscal Year-End</w:t>
      </w:r>
      <w:r>
        <w:rPr>
          <w:rFonts w:ascii="Arial" w:cs="Arial" w:eastAsia="Arial" w:hAnsi="Arial"/>
          <w:sz w:val="18"/>
          <w:szCs w:val="18"/>
          <w:color w:val="auto"/>
        </w:rPr>
        <w:t>”, a portion of the stock options held by Dr. Schadt would vest upon a change in control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Our Former Named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Dr. Coffin’s departure from our company in February 2022, we and Dr. Coffin entered into a separation agreement (the “Separation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pursuant to which Dr. Coffin received the following severance benefits in exchange for his execution of release of claims:</w:t>
      </w:r>
    </w:p>
    <w:p>
      <w:pPr>
        <w:spacing w:after="0" w:line="15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severance payment equal to 12 months of Dr. Coffin’s annual base salary in the amount of $550,000;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discretionary 2021 annual bonus payment in the amount of $180,370;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12 months of reimbursement of COBRA continuation benefits;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accelerated vesting of 25,425 stock options that were otherwise scheduled to vest on February 2, 2022 in the amount of $58,233, which is calculated based on the fair value estimated as of the effective date of his separation agreement;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extended period to exercise certain of Dr. Coffin’s vested stock options through May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2021 Equity Incentive Plan or the 2021 EIP was adopted by our Board and approved by our stockholders in July 2021. The following summarizes the material terms of the 2021 EIP. This summary is qualified in its entirety to the full text of the 2021 EIP.</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Shares reserved. </w:t>
      </w:r>
      <w:r>
        <w:rPr>
          <w:rFonts w:ascii="Arial" w:cs="Arial" w:eastAsia="Arial" w:hAnsi="Arial"/>
          <w:sz w:val="17"/>
          <w:szCs w:val="17"/>
          <w:color w:val="auto"/>
        </w:rPr>
        <w:t>We initially reserved 32,734,983 shares of Class A common stock for issuance pursuant to awards granted under the 2021 EIP,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2021 EIP:</w:t>
      </w:r>
    </w:p>
    <w:p>
      <w:pPr>
        <w:spacing w:after="0" w:line="171" w:lineRule="exact"/>
        <w:rPr>
          <w:sz w:val="20"/>
          <w:szCs w:val="20"/>
          <w:color w:val="auto"/>
        </w:rPr>
      </w:pPr>
    </w:p>
    <w:p>
      <w:pPr>
        <w:ind w:left="660" w:right="2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2021 EIP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subsequently forfeited or repurchased by us at the original issue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otherwise terminate without such shares being issued;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2021 EIP that cease to be subject to such options or other awards, by forfeiture or otherwise, after the effective date of the 2021 EIP;</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subject to awards granted under the 2021 EIP that are forfeited or repurchased by us at the original price after the effective date of the 2021 EIP;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subject to awards under the 2021 EIP that are used to pay the exercise price of an option or withheld to satisfy the tax withholding obligations related to any award.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2021 EIP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2021 EIP provides for the grant of both incentive stock options intended to qualify under Section 422 of the Code,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Restricted stock awards (“</w:t>
      </w:r>
      <w:r>
        <w:rPr>
          <w:rFonts w:ascii="Arial" w:cs="Arial" w:eastAsia="Arial" w:hAnsi="Arial"/>
          <w:sz w:val="18"/>
          <w:szCs w:val="18"/>
          <w:color w:val="auto"/>
        </w:rPr>
        <w:t>RSA</w:t>
      </w:r>
      <w:r>
        <w:rPr>
          <w:rFonts w:ascii="Arial" w:cs="Arial" w:eastAsia="Arial" w:hAnsi="Arial"/>
          <w:sz w:val="18"/>
          <w:szCs w:val="18"/>
          <w:i w:val="1"/>
          <w:iCs w:val="1"/>
          <w:color w:val="auto"/>
        </w:rPr>
        <w:t xml:space="preserve">”). </w:t>
      </w:r>
      <w:r>
        <w:rPr>
          <w:rFonts w:ascii="Arial" w:cs="Arial" w:eastAsia="Arial" w:hAnsi="Arial"/>
          <w:sz w:val="18"/>
          <w:szCs w:val="18"/>
          <w:color w:val="auto"/>
        </w:rPr>
        <w:t>An RSA is an offer by us to grant or sell shares of our Class A common stock subject to restrictions, which may lapse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Stock appreciation rights (“</w:t>
      </w:r>
      <w:r>
        <w:rPr>
          <w:rFonts w:ascii="Arial" w:cs="Arial" w:eastAsia="Arial" w:hAnsi="Arial"/>
          <w:sz w:val="16"/>
          <w:szCs w:val="16"/>
          <w:color w:val="auto"/>
        </w:rPr>
        <w:t>SAR”</w:t>
      </w:r>
      <w:r>
        <w:rPr>
          <w:rFonts w:ascii="Arial" w:cs="Arial" w:eastAsia="Arial" w:hAnsi="Arial"/>
          <w:sz w:val="16"/>
          <w:szCs w:val="16"/>
          <w:i w:val="1"/>
          <w:iCs w:val="1"/>
          <w:color w:val="auto"/>
        </w:rPr>
        <w:t>)</w:t>
      </w:r>
      <w:r>
        <w:rPr>
          <w:rFonts w:ascii="Arial" w:cs="Arial" w:eastAsia="Arial" w:hAnsi="Arial"/>
          <w:sz w:val="16"/>
          <w:szCs w:val="16"/>
          <w:color w:val="auto"/>
        </w:rPr>
        <w:t>. A SAR provides for a payment, in cash or shares of our Class A common stock (up to a specified maximum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fair market value of a share of our Class A common stock on the date of grant. SARs may vest based on service or achievement of performance conditions.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SAR may have a term that is longer than ten years from the date of grant.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Restricted stock units (“</w:t>
      </w:r>
      <w:r>
        <w:rPr>
          <w:rFonts w:ascii="Arial" w:cs="Arial" w:eastAsia="Arial" w:hAnsi="Arial"/>
          <w:sz w:val="18"/>
          <w:szCs w:val="18"/>
          <w:color w:val="auto"/>
        </w:rPr>
        <w:t>RSU</w:t>
      </w:r>
      <w:r>
        <w:rPr>
          <w:rFonts w:ascii="Arial" w:cs="Arial" w:eastAsia="Arial" w:hAnsi="Arial"/>
          <w:sz w:val="18"/>
          <w:szCs w:val="18"/>
          <w:i w:val="1"/>
          <w:iCs w:val="1"/>
          <w:color w:val="auto"/>
        </w:rPr>
        <w:t xml:space="preserve">”). </w:t>
      </w:r>
      <w:r>
        <w:rPr>
          <w:rFonts w:ascii="Arial" w:cs="Arial" w:eastAsia="Arial" w:hAnsi="Arial"/>
          <w:sz w:val="18"/>
          <w:szCs w:val="18"/>
          <w:color w:val="auto"/>
        </w:rPr>
        <w:t>An RSU represents the right to receive the value of shares of our Class A common stock at a specified date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2021 EIP may be in the form of a cash bonus, or an award of performance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denominated in shares of our Class A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Stock bonus awards. </w:t>
      </w:r>
      <w:r>
        <w:rPr>
          <w:rFonts w:ascii="Arial" w:cs="Arial" w:eastAsia="Arial" w:hAnsi="Arial"/>
          <w:sz w:val="16"/>
          <w:szCs w:val="16"/>
          <w:color w:val="auto"/>
        </w:rPr>
        <w:t>A stock bonus award provides for payment in the form of cash, shares of our Class A common stock or a combination thereof,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Dividend equivalents rights. </w:t>
      </w:r>
      <w:r>
        <w:rPr>
          <w:rFonts w:ascii="Arial" w:cs="Arial" w:eastAsia="Arial" w:hAnsi="Arial"/>
          <w:sz w:val="18"/>
          <w:szCs w:val="18"/>
          <w:color w:val="auto"/>
        </w:rPr>
        <w:t>Our Board or the compensation committee thereof may permit participants holding RSUs to receive dividend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Our 2021 EIP provides that, in the event of a corporate transaction that constitutes a change of control of our company under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of outstanding shares of our Class A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The administrator may, without prior stockholder approval, (i) reduce the exercise price of outstanding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SARs without the consent of any participant and (ii) pay cash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issue new awards in exchange for the surrender and cancellation of any, or all, outstanding awards, subject to the consent of any affected participant to the extent required by the terms of the 2021 EIP.</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2021 EIP with a grant date value that when combined with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received for his or her service as a director, exceed $750,000 in a calendar year, increased to $1,000,000 in the calendar year of his or her initial services as a non-employee director.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Sub-plans</w:t>
      </w:r>
      <w:r>
        <w:rPr>
          <w:rFonts w:ascii="Arial" w:cs="Arial" w:eastAsia="Arial" w:hAnsi="Arial"/>
          <w:sz w:val="18"/>
          <w:szCs w:val="18"/>
          <w:color w:val="auto"/>
        </w:rPr>
        <w:t>. Subject to the terms of the 2021 EIP, the plan administrator may establish a sub-plan under the 2021 EIP and/or modify the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participants outside of the United States to comply with any laws or regulations applicable to any such jurisdiction.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or compensation committee may amend our 2021 EIP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Legacy Sema4’s 2017 Equity Incentive Plan (the “2017 EIP”)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2021 Employee Stock Purchase Plan (the “ESPP”) was adopted by our Board and approved by our stockholders in July 2021. The following summarizes the material terms of the ESPP. This summary is qualified in its entirety to the full text of the ESPP. We have not yet established an offering period under the ESPP.</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Shares Reserved</w:t>
      </w:r>
      <w:r>
        <w:rPr>
          <w:rFonts w:ascii="Arial" w:cs="Arial" w:eastAsia="Arial" w:hAnsi="Arial"/>
          <w:sz w:val="18"/>
          <w:szCs w:val="18"/>
          <w:color w:val="auto"/>
        </w:rPr>
        <w:t>. We have initially reserved 4,804,011 shares of our Class A common stock equal for issuance and sale under the ESPP.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ESPP will be administered by our compensation committee, or by our Board acting in place of our compensation committee,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any offering pursuant to the ESPP generally include any employee that is employed by us or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Class A common stock at a discount</w:t>
      </w:r>
      <w:r>
        <w:rPr>
          <w:rFonts w:ascii="Arial" w:cs="Arial" w:eastAsia="Arial" w:hAnsi="Arial"/>
          <w:sz w:val="17"/>
          <w:szCs w:val="17"/>
          <w:i w:val="1"/>
          <w:iCs w:val="1"/>
          <w:color w:val="auto"/>
        </w:rPr>
        <w:t xml:space="preserve"> </w:t>
      </w:r>
      <w:r>
        <w:rPr>
          <w:rFonts w:ascii="Arial" w:cs="Arial" w:eastAsia="Arial" w:hAnsi="Arial"/>
          <w:sz w:val="17"/>
          <w:szCs w:val="17"/>
          <w:color w:val="auto"/>
        </w:rPr>
        <w:t>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Offerings; Contributions; Limitations. </w:t>
      </w:r>
      <w:r>
        <w:rPr>
          <w:rFonts w:ascii="Arial" w:cs="Arial" w:eastAsia="Arial" w:hAnsi="Arial"/>
          <w:sz w:val="16"/>
          <w:szCs w:val="16"/>
          <w:color w:val="auto"/>
        </w:rPr>
        <w:t>The purchase price for shares purchased under the ESPP during any given purchase period will be 85% of the lesser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Adjustments upon recapitalization. </w:t>
      </w:r>
      <w:r>
        <w:rPr>
          <w:rFonts w:ascii="Arial" w:cs="Arial" w:eastAsia="Arial" w:hAnsi="Arial"/>
          <w:sz w:val="17"/>
          <w:szCs w:val="17"/>
          <w:color w:val="auto"/>
        </w:rPr>
        <w:t>If the number of outstanding shares of our Class A common stock is changed by stock dividend, recapitalization,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board or compensation committee may amend, suspend or terminate the ESPP at any time without stockholder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2022, our Board appointed Jason Ryan as Executive Chairman and entered into an executive chairman agreement (the “Executive Chairman Agreement”) with Mr. Ryan. Prior to this appointment, Mr. Ryan served as a non-employee director of our Board. The Executive Chairman Agreement provides for an annual base salary of $540,000. In connection with the appointment, we issued to our Executive Chairman an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 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Director Compensation Table</w:t>
      </w:r>
    </w:p>
    <w:p>
      <w:pPr>
        <w:spacing w:after="0" w:line="171"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The following table sets forth the compensation earned by or paid to our non-employee directors for services provided during the year ended December 31, 2021, other than Keith Meister who joined the Board in January 2022. Dr. Schadt did not receive any compensation for his service as a director during fiscal year 2021,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hyperlink w:anchor="page127">
        <w:r>
          <w:rPr>
            <w:rFonts w:ascii="Arial" w:cs="Arial" w:eastAsia="Arial" w:hAnsi="Arial"/>
            <w:sz w:val="18"/>
            <w:szCs w:val="18"/>
            <w:i w:val="1"/>
            <w:iCs w:val="1"/>
            <w:u w:val="single" w:color="auto"/>
            <w:color w:val="0000FF"/>
          </w:rPr>
          <w:t>Executive Compensation</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highlight w:val="white"/>
          </w:rPr>
          <w:t>2021 Summary Compensation Table</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for a</w:t>
      </w:r>
      <w:r>
        <w:rPr>
          <w:rFonts w:ascii="Arial" w:cs="Arial" w:eastAsia="Arial" w:hAnsi="Arial"/>
          <w:sz w:val="18"/>
          <w:szCs w:val="18"/>
          <w:color w:val="auto"/>
        </w:rPr>
        <w:t xml:space="preserve"> summary of payments made to Dr. Schadt.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jc w:val="center"/>
              <w:ind w:left="1748"/>
              <w:spacing w:after="0"/>
              <w:rPr>
                <w:sz w:val="20"/>
                <w:szCs w:val="20"/>
                <w:color w:val="auto"/>
              </w:rPr>
            </w:pPr>
            <w:r>
              <w:rPr>
                <w:rFonts w:ascii="Arial" w:cs="Arial" w:eastAsia="Arial" w:hAnsi="Arial"/>
                <w:sz w:val="14"/>
                <w:szCs w:val="14"/>
                <w:b w:val="1"/>
                <w:bCs w:val="1"/>
                <w:color w:val="auto"/>
                <w:w w:val="92"/>
              </w:rPr>
              <w:t>Fees Earned or Paid</w:t>
            </w:r>
          </w:p>
        </w:tc>
        <w:tc>
          <w:tcPr>
            <w:tcW w:w="1300" w:type="dxa"/>
            <w:vAlign w:val="bottom"/>
          </w:tcPr>
          <w:p>
            <w:pPr>
              <w:jc w:val="center"/>
              <w:ind w:left="21"/>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135"/>
        </w:trPr>
        <w:tc>
          <w:tcPr>
            <w:tcW w:w="2300" w:type="dxa"/>
            <w:vAlign w:val="bottom"/>
            <w:vMerge w:val="continue"/>
          </w:tcPr>
          <w:p>
            <w:pPr>
              <w:spacing w:after="0"/>
              <w:rPr>
                <w:sz w:val="11"/>
                <w:szCs w:val="11"/>
                <w:color w:val="auto"/>
              </w:rPr>
            </w:pPr>
          </w:p>
        </w:tc>
        <w:tc>
          <w:tcPr>
            <w:tcW w:w="3260" w:type="dxa"/>
            <w:vAlign w:val="bottom"/>
          </w:tcPr>
          <w:p>
            <w:pPr>
              <w:jc w:val="center"/>
              <w:ind w:left="1748"/>
              <w:spacing w:after="0" w:line="135" w:lineRule="exact"/>
              <w:rPr>
                <w:sz w:val="20"/>
                <w:szCs w:val="20"/>
                <w:color w:val="auto"/>
              </w:rPr>
            </w:pPr>
            <w:r>
              <w:rPr>
                <w:rFonts w:ascii="Arial" w:cs="Arial" w:eastAsia="Arial" w:hAnsi="Arial"/>
                <w:sz w:val="14"/>
                <w:szCs w:val="14"/>
                <w:b w:val="1"/>
                <w:bCs w:val="1"/>
                <w:color w:val="auto"/>
                <w:w w:val="94"/>
              </w:rPr>
              <w:t>in Cash($)</w:t>
            </w:r>
          </w:p>
        </w:tc>
        <w:tc>
          <w:tcPr>
            <w:tcW w:w="1300" w:type="dxa"/>
            <w:vAlign w:val="bottom"/>
          </w:tcPr>
          <w:p>
            <w:pPr>
              <w:jc w:val="right"/>
              <w:ind w:right="501"/>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260"/>
        <w:spacing w:after="0"/>
        <w:rPr>
          <w:sz w:val="20"/>
          <w:szCs w:val="20"/>
          <w:color w:val="auto"/>
        </w:rPr>
      </w:pPr>
      <w:r>
        <w:rPr>
          <w:rFonts w:ascii="Arial" w:cs="Arial" w:eastAsia="Arial" w:hAnsi="Arial"/>
          <w:sz w:val="12"/>
          <w:szCs w:val="12"/>
          <w:b w:val="1"/>
          <w:bCs w:val="1"/>
          <w:color w:val="auto"/>
        </w:rPr>
        <w:t>Restricted</w:t>
      </w:r>
    </w:p>
    <w:p>
      <w:pPr>
        <w:spacing w:after="0" w:line="10" w:lineRule="exact"/>
        <w:rPr>
          <w:sz w:val="20"/>
          <w:szCs w:val="20"/>
          <w:color w:val="auto"/>
        </w:rPr>
      </w:pPr>
    </w:p>
    <w:p>
      <w:pPr>
        <w:jc w:val="center"/>
        <w:ind w:right="3260"/>
        <w:spacing w:after="0"/>
        <w:rPr>
          <w:sz w:val="20"/>
          <w:szCs w:val="20"/>
          <w:color w:val="auto"/>
        </w:rPr>
      </w:pPr>
      <w:r>
        <w:rPr>
          <w:rFonts w:ascii="Arial" w:cs="Arial" w:eastAsia="Arial" w:hAnsi="Arial"/>
          <w:sz w:val="12"/>
          <w:szCs w:val="12"/>
          <w:b w:val="1"/>
          <w:bCs w:val="1"/>
          <w:color w:val="auto"/>
        </w:rPr>
        <w:t>Stock and</w:t>
      </w:r>
    </w:p>
    <w:p>
      <w:pPr>
        <w:jc w:val="center"/>
        <w:ind w:right="3260"/>
        <w:spacing w:after="0" w:line="201" w:lineRule="auto"/>
        <w:rPr>
          <w:sz w:val="20"/>
          <w:szCs w:val="20"/>
          <w:color w:val="auto"/>
        </w:rPr>
      </w:pPr>
      <w:r>
        <w:rPr>
          <w:rFonts w:ascii="Arial" w:cs="Arial" w:eastAsia="Arial" w:hAnsi="Arial"/>
          <w:sz w:val="14"/>
          <w:szCs w:val="14"/>
          <w:b w:val="1"/>
          <w:bCs w:val="1"/>
          <w:color w:val="auto"/>
        </w:rPr>
        <w:t>Other</w:t>
      </w:r>
    </w:p>
    <w:p>
      <w:pPr>
        <w:spacing w:after="0" w:line="187" w:lineRule="auto"/>
        <w:tabs>
          <w:tab w:leader="none" w:pos="1500" w:val="left"/>
        </w:tabs>
        <w:rPr>
          <w:sz w:val="20"/>
          <w:szCs w:val="20"/>
          <w:color w:val="auto"/>
        </w:rPr>
      </w:pP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4"/>
          <w:szCs w:val="14"/>
          <w:b w:val="1"/>
          <w:bCs w:val="1"/>
          <w:color w:val="auto"/>
        </w:rPr>
        <w:t>All Other</w:t>
      </w:r>
    </w:p>
    <w:p>
      <w:pPr>
        <w:ind w:left="120"/>
        <w:spacing w:after="0"/>
        <w:tabs>
          <w:tab w:leader="none" w:pos="1200" w:val="left"/>
          <w:tab w:leader="none" w:pos="2960" w:val="left"/>
        </w:tabs>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(1)(4)</w:t>
      </w:r>
      <w:r>
        <w:rPr>
          <w:sz w:val="20"/>
          <w:szCs w:val="20"/>
          <w:color w:val="auto"/>
        </w:rPr>
        <w:tab/>
      </w:r>
      <w:r>
        <w:rPr>
          <w:rFonts w:ascii="Arial" w:cs="Arial" w:eastAsia="Arial" w:hAnsi="Arial"/>
          <w:sz w:val="14"/>
          <w:szCs w:val="14"/>
          <w:b w:val="1"/>
          <w:bCs w:val="1"/>
          <w:color w:val="auto"/>
        </w:rPr>
        <w:t>Compensation ($)</w:t>
      </w:r>
      <w:r>
        <w:rPr>
          <w:rFonts w:ascii="Arial" w:cs="Arial" w:eastAsia="Arial" w:hAnsi="Arial"/>
          <w:sz w:val="18"/>
          <w:szCs w:val="18"/>
          <w:b w:val="1"/>
          <w:bCs w:val="1"/>
          <w:color w:val="auto"/>
          <w:vertAlign w:val="superscript"/>
        </w:rPr>
        <w:t>(2)</w:t>
      </w:r>
      <w:r>
        <w:rPr>
          <w:sz w:val="20"/>
          <w:szCs w:val="20"/>
          <w:color w:val="auto"/>
        </w:rPr>
        <w:tab/>
      </w:r>
      <w:r>
        <w:rPr>
          <w:rFonts w:ascii="Arial" w:cs="Arial" w:eastAsia="Arial" w:hAnsi="Arial"/>
          <w:sz w:val="13"/>
          <w:szCs w:val="13"/>
          <w:b w:val="1"/>
          <w:bCs w:val="1"/>
          <w:color w:val="auto"/>
        </w:rPr>
        <w:t>Total($)</w:t>
      </w:r>
    </w:p>
    <w:p>
      <w:pPr>
        <w:spacing w:after="0" w:line="1" w:lineRule="exact"/>
        <w:rPr>
          <w:sz w:val="20"/>
          <w:szCs w:val="20"/>
          <w:color w:val="auto"/>
        </w:rPr>
      </w:pPr>
    </w:p>
    <w:p>
      <w:pPr>
        <w:sectPr>
          <w:pgSz w:w="11900" w:h="16838" w:orient="portrait"/>
          <w:cols w:equalWidth="0" w:num="2">
            <w:col w:w="6880" w:space="480"/>
            <w:col w:w="38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Joshua Ruch</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47,500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201,911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449,396</w:t>
            </w: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Dennis Charney, M.D.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 D. Casdin</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221,393</w:t>
            </w: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Emily Leproust, Ph.D.</w:t>
            </w:r>
          </w:p>
        </w:tc>
        <w:tc>
          <w:tcPr>
            <w:tcW w:w="132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101,401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99,992</w:t>
            </w: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226,393</w:t>
            </w:r>
          </w:p>
        </w:tc>
      </w:tr>
      <w:tr>
        <w:trPr>
          <w:trHeight w:val="219"/>
        </w:trPr>
        <w:tc>
          <w:tcPr>
            <w:tcW w:w="42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Jason Ryan</w:t>
            </w:r>
            <w:r>
              <w:rPr>
                <w:rFonts w:ascii="Arial" w:cs="Arial" w:eastAsia="Arial" w:hAnsi="Arial"/>
                <w:sz w:val="21"/>
                <w:szCs w:val="21"/>
                <w:color w:val="auto"/>
                <w:vertAlign w:val="superscript"/>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431,896</w:t>
            </w: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Michael Pellini, M.D.</w:t>
            </w:r>
          </w:p>
        </w:tc>
        <w:tc>
          <w:tcPr>
            <w:tcW w:w="132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201,911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199,985</w:t>
            </w: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421,896</w:t>
            </w:r>
          </w:p>
        </w:tc>
      </w:tr>
      <w:tr>
        <w:trPr>
          <w:trHeight w:val="21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 Turner</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225,143</w:t>
            </w:r>
          </w:p>
        </w:tc>
      </w:tr>
      <w:tr>
        <w:trPr>
          <w:trHeight w:val="210"/>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Rachel Sherman, M.D., M.P.H., F.A.C.P.</w:t>
            </w:r>
          </w:p>
        </w:tc>
        <w:tc>
          <w:tcPr>
            <w:tcW w:w="132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101,401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143,797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315,198</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60" w:hanging="332"/>
        <w:spacing w:after="0" w:line="241" w:lineRule="auto"/>
        <w:tabs>
          <w:tab w:leader="none" w:pos="332"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prospectus. Note that the amounts reported in this column reflect the aggregate accounting cost for these awards granted during the year, and do not necessarily correspond to the actual economic value that may be received by the director from the awards.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amounts reported in this column represents payments under director legacy and other charitable award programs.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Ryan served as a non-employee director until January 2022.</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p>
      <w:pPr>
        <w:spacing w:after="0" w:line="39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7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Shares Underlying</w:t>
            </w:r>
          </w:p>
        </w:tc>
        <w:tc>
          <w:tcPr>
            <w:tcW w:w="1400" w:type="dxa"/>
            <w:vAlign w:val="bottom"/>
          </w:tcPr>
          <w:p>
            <w:pPr>
              <w:jc w:val="center"/>
              <w:ind w:left="230"/>
              <w:spacing w:after="0"/>
              <w:rPr>
                <w:sz w:val="20"/>
                <w:szCs w:val="20"/>
                <w:color w:val="auto"/>
              </w:rPr>
            </w:pPr>
            <w:r>
              <w:rPr>
                <w:rFonts w:ascii="Arial" w:cs="Arial" w:eastAsia="Arial" w:hAnsi="Arial"/>
                <w:sz w:val="13"/>
                <w:szCs w:val="13"/>
                <w:b w:val="1"/>
                <w:bCs w:val="1"/>
                <w:color w:val="auto"/>
                <w:w w:val="84"/>
              </w:rPr>
              <w:t>Unvested Shares of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560" w:type="dxa"/>
            <w:vAlign w:val="bottom"/>
            <w:gridSpan w:val="2"/>
            <w:vMerge w:val="continue"/>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Unexercised Stock Options</w:t>
            </w:r>
          </w:p>
        </w:tc>
        <w:tc>
          <w:tcPr>
            <w:tcW w:w="1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Restricted Stock Units</w:t>
            </w:r>
          </w:p>
        </w:tc>
        <w:tc>
          <w:tcPr>
            <w:tcW w:w="0" w:type="dxa"/>
            <w:vAlign w:val="bottom"/>
          </w:tcPr>
          <w:p>
            <w:pPr>
              <w:spacing w:after="0"/>
              <w:rPr>
                <w:sz w:val="1"/>
                <w:szCs w:val="1"/>
                <w:color w:val="auto"/>
              </w:rPr>
            </w:pPr>
          </w:p>
        </w:tc>
      </w:tr>
      <w:tr>
        <w:trPr>
          <w:trHeight w:val="188"/>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Joshua Ruch</w:t>
            </w:r>
          </w:p>
        </w:tc>
        <w:tc>
          <w:tcPr>
            <w:tcW w:w="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44,572</w:t>
            </w:r>
          </w:p>
        </w:tc>
        <w:tc>
          <w:tcPr>
            <w:tcW w:w="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Dennis Charney, M.D.</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Eli D. Casdin</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22,286</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Emily Leproust, Ph.D.</w:t>
            </w:r>
          </w:p>
        </w:tc>
        <w:tc>
          <w:tcPr>
            <w:tcW w:w="1540" w:type="dxa"/>
            <w:vAlign w:val="bottom"/>
          </w:tcPr>
          <w:p>
            <w:pPr>
              <w:jc w:val="right"/>
              <w:ind w:right="10"/>
              <w:spacing w:after="0"/>
              <w:rPr>
                <w:sz w:val="20"/>
                <w:szCs w:val="20"/>
                <w:color w:val="auto"/>
              </w:rPr>
            </w:pPr>
            <w:r>
              <w:rPr>
                <w:rFonts w:ascii="Arial" w:cs="Arial" w:eastAsia="Arial" w:hAnsi="Arial"/>
                <w:sz w:val="14"/>
                <w:szCs w:val="14"/>
                <w:color w:val="auto"/>
              </w:rPr>
              <w:t>22,286</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Jason Ryan</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44,572</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Michael Pellini, M.D.</w:t>
            </w:r>
          </w:p>
        </w:tc>
        <w:tc>
          <w:tcPr>
            <w:tcW w:w="1540" w:type="dxa"/>
            <w:vAlign w:val="bottom"/>
          </w:tcPr>
          <w:p>
            <w:pPr>
              <w:jc w:val="right"/>
              <w:ind w:right="10"/>
              <w:spacing w:after="0"/>
              <w:rPr>
                <w:sz w:val="20"/>
                <w:szCs w:val="20"/>
                <w:color w:val="auto"/>
              </w:rPr>
            </w:pPr>
            <w:r>
              <w:rPr>
                <w:rFonts w:ascii="Arial" w:cs="Arial" w:eastAsia="Arial" w:hAnsi="Arial"/>
                <w:sz w:val="14"/>
                <w:szCs w:val="14"/>
                <w:color w:val="auto"/>
              </w:rPr>
              <w:t>44,572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22,286</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Rachel Sherman, M.D., M.P.H., F.A.C.P.</w:t>
            </w:r>
          </w:p>
        </w:tc>
        <w:tc>
          <w:tcPr>
            <w:tcW w:w="1540" w:type="dxa"/>
            <w:vAlign w:val="bottom"/>
          </w:tcPr>
          <w:p>
            <w:pPr>
              <w:jc w:val="right"/>
              <w:ind w:right="10"/>
              <w:spacing w:after="0"/>
              <w:rPr>
                <w:sz w:val="20"/>
                <w:szCs w:val="20"/>
                <w:color w:val="auto"/>
              </w:rPr>
            </w:pPr>
            <w:r>
              <w:rPr>
                <w:rFonts w:ascii="Arial" w:cs="Arial" w:eastAsia="Arial" w:hAnsi="Arial"/>
                <w:sz w:val="14"/>
                <w:szCs w:val="14"/>
                <w:color w:val="auto"/>
              </w:rPr>
              <w:t>385,509</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44,533</w:t>
            </w:r>
          </w:p>
        </w:tc>
        <w:tc>
          <w:tcPr>
            <w:tcW w:w="320" w:type="dxa"/>
            <w:vAlign w:val="bottom"/>
          </w:tcPr>
          <w:p>
            <w:pPr>
              <w:jc w:val="right"/>
              <w:ind w:right="133"/>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31,697 Earnout RSUs granted in connection with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8" w:name="page139"/>
    <w:bookmarkEnd w:id="1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71" w:lineRule="exact"/>
        <w:rPr>
          <w:rFonts w:ascii="Arial" w:cs="Arial" w:eastAsia="Arial" w:hAnsi="Arial"/>
          <w:sz w:val="18"/>
          <w:szCs w:val="18"/>
          <w:color w:val="auto"/>
        </w:rPr>
      </w:pPr>
    </w:p>
    <w:p>
      <w:pPr>
        <w:ind w:firstLine="8"/>
        <w:spacing w:after="0" w:line="277" w:lineRule="auto"/>
        <w:tabs>
          <w:tab w:leader="none" w:pos="3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involved exceeded or will exceed the lesser $120,000 or 1% of the average of our total assets as of year-end for the last two completed fiscal years; and</w:t>
      </w:r>
    </w:p>
    <w:p>
      <w:pPr>
        <w:spacing w:after="0" w:line="116" w:lineRule="exact"/>
        <w:rPr>
          <w:rFonts w:ascii="Arial" w:cs="Arial" w:eastAsia="Arial" w:hAnsi="Arial"/>
          <w:sz w:val="18"/>
          <w:szCs w:val="18"/>
          <w:color w:val="auto"/>
        </w:rPr>
      </w:pPr>
    </w:p>
    <w:p>
      <w:pPr>
        <w:ind w:right="20" w:firstLine="8"/>
        <w:spacing w:after="0" w:line="277" w:lineRule="auto"/>
        <w:tabs>
          <w:tab w:leader="none" w:pos="31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Related to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Subscription Agreements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Acquisition, the Acquisition PIPE Investors executed subscription agreements to purchase an aggregate of 50,000,000 shares of our Class A common stock at $4.00 per share, for an aggregate purchase price of $200 million in private placements that we expect to close in the first half of 2022. The funds from such private placement will be used in part or whole to fund the Acquisition of GeneDx. The following table sets forth the number of shares of our Class A common stock that we expect to issue to our directors, executive officers and 5% stockholders and their affiliates in this transaction: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Mount Sinai</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Rho Partners</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Section32</w:t>
            </w:r>
            <w:r>
              <w:rPr>
                <w:rFonts w:ascii="Arial" w:cs="Arial" w:eastAsia="Arial" w:hAnsi="Arial"/>
                <w:sz w:val="23"/>
                <w:szCs w:val="23"/>
                <w:color w:val="auto"/>
                <w:vertAlign w:val="superscript"/>
              </w:rPr>
              <w:t>(7)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80" w:hanging="332"/>
        <w:spacing w:after="0" w:line="260" w:lineRule="auto"/>
        <w:tabs>
          <w:tab w:leader="none" w:pos="332" w:val="left"/>
        </w:tabs>
        <w:numPr>
          <w:ilvl w:val="0"/>
          <w:numId w:val="61"/>
        </w:numPr>
        <w:rPr>
          <w:rFonts w:ascii="Arial" w:cs="Arial" w:eastAsia="Arial" w:hAnsi="Arial"/>
          <w:sz w:val="13"/>
          <w:szCs w:val="13"/>
          <w:color w:val="auto"/>
        </w:rPr>
      </w:pPr>
      <w:r>
        <w:rPr>
          <w:rFonts w:ascii="Arial" w:cs="Arial" w:eastAsia="Arial" w:hAnsi="Arial"/>
          <w:sz w:val="13"/>
          <w:szCs w:val="13"/>
          <w:color w:val="auto"/>
        </w:rPr>
        <w:t>Consists of 2,434,863 shares of Class A common stock expected to be issued to BTO Sema4 Holdings L.P., 50,402 shares of Class A common stock expected to be issued to Blackstone Tactical Opportunities Fund - FD L.P. and 14,735 shares of Class A common stock expected to be issued to Blackstone Family Tactical Opportunities Investment Partnership III ESC L.P.</w:t>
      </w: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11,437,500 shares of Class A common stock expected to be issued to Casdin Partners Master Fund, L.P.</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3,557,000 shares of Class A common stock expected to be issued to Corvex Master Fund LP, 7,320,000 shares of Class A common stock expected to be issued to Corvex Select Equity Master Fund LP, and 560,500 shares of Class A common stock expected to be issued to Corvex Dynamic Equity Select Master Fund LP.</w:t>
      </w: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6,250,000 shares of Class A common stock expected to be issued to Ichan School of Medicine at Mount Sinai.</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3,125,000 shares of Class A common stock expected to be issued to Deerfield Private Design Fund V, L.P. and 1,875,000 shares of Class A common stock expected to be issued to Deerfield Partners, L.P.</w:t>
      </w:r>
    </w:p>
    <w:p>
      <w:pPr>
        <w:ind w:left="340" w:right="180" w:hanging="332"/>
        <w:spacing w:after="0" w:line="260" w:lineRule="auto"/>
        <w:tabs>
          <w:tab w:leader="none" w:pos="332" w:val="left"/>
        </w:tabs>
        <w:numPr>
          <w:ilvl w:val="0"/>
          <w:numId w:val="61"/>
        </w:numPr>
        <w:rPr>
          <w:rFonts w:ascii="Arial" w:cs="Arial" w:eastAsia="Arial" w:hAnsi="Arial"/>
          <w:sz w:val="13"/>
          <w:szCs w:val="13"/>
          <w:color w:val="auto"/>
        </w:rPr>
      </w:pPr>
      <w:r>
        <w:rPr>
          <w:rFonts w:ascii="Arial" w:cs="Arial" w:eastAsia="Arial" w:hAnsi="Arial"/>
          <w:sz w:val="13"/>
          <w:szCs w:val="13"/>
          <w:color w:val="auto"/>
        </w:rPr>
        <w:t>Consists of 1,632,963 shares of Class A common stock expected to be issued to Vaal Investment Partners Q9 LP, 329,665 shares of Class A common stock expected to be issued to Rugu2 LLC, and 162,372 shares of Class A common stock expected to be issued to Kariba LLC. Rho Partners is an affiliate of Joshua Ruch, a member of our Board.</w:t>
      </w: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1,250,000 shares of Class A common stock expected to be issued to Section 32 Fund 2, L.P. Section32 is an affiliate of Michael Pellini,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execution of the Acquisition Merger Agreement, OPKO Health, Inc. (“OPKO”), the parent of GeneDx, and we entered into Support Agreements (the “Support Agreements”)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Acquisition Merger Agreement and the issuance of our Class A common stock pursuant to the subscription agreements for the acquisitions; (ii) to approve the appointment of two specified designees to the Board for terms that expire no earlier than the end of the Second Milestone Period (as defined in the Acquisition Merger Agreement); (iii) to approve an amendment to our Charter to increase the authorized shares of our Class A common stock from 380,000,000 to 1,000,000,000; (iv) to approve any other proposal included in a proxy 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Our Executive Officers and Directors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Emilio Schadt, the son of Eric Schadt, our Chief Executive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spacing w:after="0" w:line="1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a party to several space license agreements and continue to be a party to sublease agreements with the Mount Sinai Health System (which we refer to together with its related entities as “Mount Sinai”)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Icahn School of Medicine at Mount Sinai (“ISMMS”) to us was $4.2 million for the year ended December 31, 2021 and $5.9 million for the year ended December 31, 2020. Future minimum lease payments are expected to total $4.2 million related to all facilities subleased by ISMMS to Sema4 for the year ending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partial reimbursement to Mount Sinai for limited compensation, services, and related expenses for certain individuals employed by Mount Sinai and certain individuals employed at both Mount Sinai and our company. For the years ended December 31, 2021 and 2020, the total amount of reimbursement for employee compensation and expenses paid by us to Mount Sinai was equal to approximately $1.2 million and $1.3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purchases of shares of Legacy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1"/>
                <w:szCs w:val="11"/>
                <w:color w:val="auto"/>
              </w:rPr>
            </w:pPr>
          </w:p>
        </w:tc>
        <w:tc>
          <w:tcPr>
            <w:tcW w:w="138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20" w:hanging="332"/>
        <w:spacing w:after="0" w:line="255" w:lineRule="auto"/>
        <w:tabs>
          <w:tab w:leader="none" w:pos="332"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27, 2020, Legacy Sema4 entered into a second amended and restated stockholders’ agreement, as amended (the “A&amp;R Stockholders’ Agreement”), with certain holders of Legacy Sema4’s capital stock. The A&amp;R Stockholders’ Agreement provided for certain customary rights with respect 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w:t>
      </w:r>
    </w:p>
    <w:p>
      <w:pPr>
        <w:spacing w:after="0" w:line="130" w:lineRule="exact"/>
        <w:rPr>
          <w:sz w:val="20"/>
          <w:szCs w:val="20"/>
          <w:color w:val="auto"/>
        </w:rPr>
      </w:pPr>
    </w:p>
    <w:p>
      <w:pPr>
        <w:ind w:right="4580"/>
        <w:spacing w:after="0" w:line="440" w:lineRule="auto"/>
        <w:rPr>
          <w:sz w:val="20"/>
          <w:szCs w:val="20"/>
          <w:color w:val="auto"/>
        </w:rPr>
      </w:pPr>
      <w:r>
        <w:rPr>
          <w:rFonts w:ascii="Arial" w:cs="Arial" w:eastAsia="Arial" w:hAnsi="Arial"/>
          <w:sz w:val="18"/>
          <w:szCs w:val="18"/>
          <w:b w:val="1"/>
          <w:bCs w:val="1"/>
          <w:color w:val="auto"/>
        </w:rPr>
        <w:t xml:space="preserve">Related Party Transactions Entered into in Connection with the Business Combination </w:t>
      </w:r>
      <w:r>
        <w:rPr>
          <w:rFonts w:ascii="Arial" w:cs="Arial" w:eastAsia="Arial" w:hAnsi="Arial"/>
          <w:sz w:val="18"/>
          <w:szCs w:val="18"/>
          <w:b w:val="1"/>
          <w:bCs w:val="1"/>
          <w:i w:val="1"/>
          <w:iCs w:val="1"/>
          <w:color w:val="auto"/>
        </w:rPr>
        <w:t>Business Combination Subscription Agreements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Business Combination, the Prior PIPE Investors purchased an aggregate of 35,000,000 shares of our Class A common stock at $10.00 per share, for an aggregate purchase price of $350 million in private placements that closed immediately prior to the closing of the Business Combination.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ind w:left="420"/>
              <w:spacing w:after="0" w:line="135" w:lineRule="exact"/>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156"/>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of 5,000,000 shares of Class A common stock held by affiliates of Casdin Partners Master Fund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of 4,000,000 shares of Class A common stock held by affiliates of Corvex Management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of 2,750,000 shares of Class A common stock held by affiliates of Deerfield Management Company, L.P.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consummation of our Business Combination, we, CMLS Holdings LLC (the “Former Sponsor”) and certain other parties thereto (collectively, the “rights holders”) entered into an amended and restated registration rights agreement (the “Amended and Restated Registration Rights Agreement”). Pursuant to the terms of the Amended and Restated Registration Rights Agreement, we were required to prepare and file with the SEC, no 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w:t>
      </w:r>
    </w:p>
    <w:p>
      <w:pPr>
        <w:spacing w:after="0" w:line="129" w:lineRule="exact"/>
        <w:rPr>
          <w:sz w:val="20"/>
          <w:szCs w:val="20"/>
          <w:color w:val="auto"/>
        </w:rPr>
      </w:pPr>
    </w:p>
    <w:p>
      <w:pPr>
        <w:ind w:right="4880"/>
        <w:spacing w:after="0" w:line="440" w:lineRule="auto"/>
        <w:rPr>
          <w:sz w:val="20"/>
          <w:szCs w:val="20"/>
          <w:color w:val="auto"/>
        </w:rPr>
      </w:pPr>
      <w:r>
        <w:rPr>
          <w:rFonts w:ascii="Arial" w:cs="Arial" w:eastAsia="Arial" w:hAnsi="Arial"/>
          <w:sz w:val="18"/>
          <w:szCs w:val="18"/>
          <w:b w:val="1"/>
          <w:bCs w:val="1"/>
          <w:color w:val="auto"/>
        </w:rPr>
        <w:t xml:space="preserve">CMLS Related Party Transactions Entered into Prior to the Business Combination </w:t>
      </w:r>
      <w:r>
        <w:rPr>
          <w:rFonts w:ascii="Arial" w:cs="Arial" w:eastAsia="Arial" w:hAnsi="Arial"/>
          <w:sz w:val="18"/>
          <w:szCs w:val="18"/>
          <w:b w:val="1"/>
          <w:bCs w:val="1"/>
          <w:i w:val="1"/>
          <w:iCs w:val="1"/>
          <w:color w:val="auto"/>
        </w:rPr>
        <w:t>Founder Shares</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16, 2020, the Former Sponsor purchased an aggregate of 10,062,500 shares of Class B common stock of CMLS (the “Class B common stock”), for a total purchase price of $25,000, or approximately $0.002 per share. In August 2020, the Former Sponsor transferred 25,000 of Class B 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“Founder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 2020, simultaneously with the closing of CMLS’s initial public offering (the “Initial Public Offering”), the Former Sponsor and certain of CMLS’s independent directors purchased an aggregate of 7,236,667 private placement warrants (the “Private Placement Warrants”), at a price of $1.50 per Private Placement Warrant, for an aggregate purchase price of $10,855,000. The Former Sponsor purchased 6,903,335 Private Placement Warrants, and Dr. Leproust (and/or one or more entities controlled by her) purchased 166,666 Private Placement Warrants. Each Private Placement Warrant is exercisable to purchase one share of Class A common stock at a price of $11.50 per share, subject to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16, 2020, the Former Sponsor issued an unsecured promissory note to CMLS (the “Promissory Note”),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 2020, in connection with the Initial Public Offering, CMLS, the Former Sponsor and certain insiders of CMLS entered into a letter agreement (the “Insider Letter”)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 share of Class A common stock issued or issuable upon the exercise of the Private Placement Warrants), until 30 days after the completion of the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Jason Ryan, qualifies as an independent director under Nasdaq listing standards. Each director who serves on our audit committee, compensation committee and nominating and corporate governance committee are independent under Nasdaq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PRINCIPAL SECURITYHOLDERS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Certain Stockholders, Directors and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Class A common stock as of February 22, 2022, by:</w:t>
      </w:r>
    </w:p>
    <w:p>
      <w:pPr>
        <w:spacing w:after="0" w:line="183"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Class A common stock;</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Percentage ownership of our Class A common stock is based on 244,727,239 shares of our Class A common stock outstanding on February 22, 2022. 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Sema4 Holdings Corp., 333 Ludlow Street, North Tower, 8th Floor, Stamford, Connecticut 06902.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35"/>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Class</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 Common Stock</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Class A</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3"/>
                <w:szCs w:val="23"/>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25,866,502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3"/>
                <w:szCs w:val="23"/>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13,966,824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3"/>
                <w:szCs w:val="23"/>
                <w:color w:val="auto"/>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88,355,473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36.1</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Eric Schadt</w:t>
            </w:r>
            <w:r>
              <w:rPr>
                <w:rFonts w:ascii="Arial" w:cs="Arial" w:eastAsia="Arial" w:hAnsi="Arial"/>
                <w:sz w:val="23"/>
                <w:szCs w:val="23"/>
                <w:color w:val="auto"/>
                <w:vertAlign w:val="superscript"/>
              </w:rPr>
              <w:t>(4)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7,484,116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Isaac Ro</w:t>
            </w:r>
            <w:r>
              <w:rPr>
                <w:rFonts w:ascii="Arial" w:cs="Arial" w:eastAsia="Arial" w:hAnsi="Arial"/>
                <w:sz w:val="23"/>
                <w:szCs w:val="23"/>
                <w:color w:val="auto"/>
                <w:vertAlign w:val="superscript"/>
              </w:rPr>
              <w:t>(5)</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395,294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James Coffin </w:t>
            </w:r>
            <w:r>
              <w:rPr>
                <w:rFonts w:ascii="Arial" w:cs="Arial" w:eastAsia="Arial" w:hAnsi="Arial"/>
                <w:sz w:val="23"/>
                <w:szCs w:val="23"/>
                <w:color w:val="auto"/>
                <w:vertAlign w:val="superscript"/>
              </w:rPr>
              <w:t>(6)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2,696,080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Dennis Charney</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Eli D. Casdin</w:t>
            </w:r>
            <w:r>
              <w:rPr>
                <w:rFonts w:ascii="Arial" w:cs="Arial" w:eastAsia="Arial" w:hAnsi="Arial"/>
                <w:sz w:val="23"/>
                <w:szCs w:val="23"/>
                <w:color w:val="auto"/>
                <w:vertAlign w:val="superscript"/>
              </w:rPr>
              <w:t>(7)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22,730,419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Emily Leproust</w:t>
            </w:r>
            <w:r>
              <w:rPr>
                <w:rFonts w:ascii="Arial" w:cs="Arial" w:eastAsia="Arial" w:hAnsi="Arial"/>
                <w:sz w:val="23"/>
                <w:szCs w:val="23"/>
                <w:color w:val="auto"/>
                <w:vertAlign w:val="superscript"/>
              </w:rPr>
              <w:t>(8)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Keith Meister</w:t>
            </w:r>
            <w:r>
              <w:rPr>
                <w:rFonts w:ascii="Arial" w:cs="Arial" w:eastAsia="Arial" w:hAnsi="Arial"/>
                <w:sz w:val="23"/>
                <w:szCs w:val="23"/>
                <w:color w:val="auto"/>
                <w:vertAlign w:val="superscript"/>
              </w:rPr>
              <w:t>(9)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22,230,419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Michael Pellini</w:t>
            </w:r>
            <w:r>
              <w:rPr>
                <w:rFonts w:ascii="Arial" w:cs="Arial" w:eastAsia="Arial" w:hAnsi="Arial"/>
                <w:sz w:val="23"/>
                <w:szCs w:val="23"/>
                <w:color w:val="auto"/>
                <w:vertAlign w:val="superscript"/>
              </w:rPr>
              <w:t>(10)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Jason Ryan</w:t>
            </w:r>
            <w:r>
              <w:rPr>
                <w:rFonts w:ascii="Arial" w:cs="Arial" w:eastAsia="Arial" w:hAnsi="Arial"/>
                <w:sz w:val="23"/>
                <w:szCs w:val="23"/>
                <w:color w:val="auto"/>
                <w:vertAlign w:val="superscript"/>
              </w:rPr>
              <w:t>(11)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(12)</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Rachel Sherman</w:t>
            </w:r>
            <w:r>
              <w:rPr>
                <w:rFonts w:ascii="Arial" w:cs="Arial" w:eastAsia="Arial" w:hAnsi="Arial"/>
                <w:sz w:val="23"/>
                <w:szCs w:val="23"/>
                <w:color w:val="auto"/>
                <w:vertAlign w:val="superscript"/>
              </w:rPr>
              <w:t>(13)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181,609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Nat Turner</w:t>
            </w:r>
            <w:r>
              <w:rPr>
                <w:rFonts w:ascii="Arial" w:cs="Arial" w:eastAsia="Arial" w:hAnsi="Arial"/>
                <w:sz w:val="23"/>
                <w:szCs w:val="23"/>
                <w:color w:val="auto"/>
                <w:vertAlign w:val="superscript"/>
              </w:rPr>
              <w:t>(14)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Directors and executive officers as a group (15 individuals)</w:t>
            </w:r>
            <w:r>
              <w:rPr>
                <w:rFonts w:ascii="Arial" w:cs="Arial" w:eastAsia="Arial" w:hAnsi="Arial"/>
                <w:sz w:val="23"/>
                <w:szCs w:val="23"/>
                <w:b w:val="1"/>
                <w:bCs w:val="1"/>
                <w:color w:val="auto"/>
                <w:vertAlign w:val="superscript"/>
              </w:rPr>
              <w:t>(15)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39,485,253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16.1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 w:lineRule="exact"/>
        <w:rPr>
          <w:sz w:val="20"/>
          <w:szCs w:val="20"/>
          <w:color w:val="auto"/>
        </w:rPr>
      </w:pPr>
    </w:p>
    <w:p>
      <w:pPr>
        <w:ind w:left="340" w:right="120" w:hanging="332"/>
        <w:spacing w:after="0" w:line="248" w:lineRule="auto"/>
        <w:tabs>
          <w:tab w:leader="none" w:pos="328"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20, 2022 by Blackstone Holding III L.P. Consists of (i) 24,404,324 shares of Class A common stock held by BTO Sema4 Holdings L.P., (ii) 505,095 shares of Class A common stock held by Blackstone Tactical Opportunities Fund - FD L.P., (iii) 147,574 shares of Class A common stock held by Blackstone 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9" w:lineRule="exact"/>
        <w:rPr>
          <w:sz w:val="20"/>
          <w:szCs w:val="20"/>
          <w:color w:val="auto"/>
        </w:rPr>
      </w:pPr>
    </w:p>
    <w:p>
      <w:pPr>
        <w:ind w:left="332"/>
        <w:spacing w:after="0" w:line="261" w:lineRule="auto"/>
        <w:rPr>
          <w:sz w:val="20"/>
          <w:szCs w:val="20"/>
          <w:color w:val="auto"/>
        </w:rPr>
      </w:pPr>
      <w:r>
        <w:rPr>
          <w:rFonts w:ascii="Arial" w:cs="Arial" w:eastAsia="Arial" w:hAnsi="Arial"/>
          <w:sz w:val="13"/>
          <w:szCs w:val="13"/>
          <w:color w:val="auto"/>
        </w:rPr>
        <w:t>Tactical Opportunities Investment Partnership III ESC L.P., and (iv) (a) 100,000 shares of Class A common stock and (b) warrants to purchase 709,509 shares of Class A common stock which are exercisable within 60 days of February 22, 2022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spacing w:after="0" w:line="3" w:lineRule="exact"/>
        <w:rPr>
          <w:sz w:val="20"/>
          <w:szCs w:val="20"/>
          <w:color w:val="auto"/>
        </w:rPr>
      </w:pPr>
    </w:p>
    <w:p>
      <w:pPr>
        <w:ind w:left="332" w:right="120" w:hanging="332"/>
        <w:spacing w:after="0" w:line="260" w:lineRule="auto"/>
        <w:tabs>
          <w:tab w:leader="none" w:pos="3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13G/A filed with the SEC on February 11, 2022 by James E. Flynn. Consists of (i) 7,042,580 shares of Class A common stock held by Deerfield Partners and (ii) 6,924,244 shares of Class A common stock held by DPDF.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ind w:left="332" w:right="140" w:hanging="332"/>
        <w:spacing w:after="0" w:line="241"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21, 2022 by Icahn School of Medicine at Mount Sinai (“ISMMS”). Consists of 88,355,473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Consists of (i) 168,351 shares of Class A common stock and (ii) 7,315,765 shares of Class A common stock subject to options that are exercisable within 60 days of February 22, 2022.</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Consists of (i) 250,618 shares of Class A common stock and (ii) 144,676 shares of Class A common stock subject to options that are exercisable within 60 days of February 22, 2022.</w:t>
      </w:r>
    </w:p>
    <w:p>
      <w:pPr>
        <w:spacing w:after="0" w:line="12" w:lineRule="exact"/>
        <w:rPr>
          <w:rFonts w:ascii="Arial" w:cs="Arial" w:eastAsia="Arial" w:hAnsi="Arial"/>
          <w:sz w:val="13"/>
          <w:szCs w:val="13"/>
          <w:color w:val="auto"/>
        </w:rPr>
      </w:pPr>
    </w:p>
    <w:p>
      <w:pPr>
        <w:ind w:left="332" w:right="180" w:hanging="332"/>
        <w:spacing w:after="0" w:line="241"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Consists of (i) 30,893 shares of Class A common stock and (ii) 2,665,187 shares of Class A common stock subject to options that are exercisable within 60 days of February 22, 2022. Dr. Coffin left the Company in February 2022.</w:t>
      </w:r>
    </w:p>
    <w:p>
      <w:pPr>
        <w:ind w:left="332" w:hanging="332"/>
        <w:spacing w:after="0" w:line="260" w:lineRule="auto"/>
        <w:tabs>
          <w:tab w:leader="none" w:pos="3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February 22, 2022 held indirectly by CMLS Holdings LLC (the “Former Sponsor”).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ind w:left="332" w:right="440" w:hanging="332"/>
        <w:spacing w:after="0" w:line="241"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and (ii) 166,666 shares of Class A common stock underlying private placement warrants that are exercisable within 60 days of February 22, 2022.</w:t>
      </w:r>
    </w:p>
    <w:p>
      <w:pPr>
        <w:ind w:left="332" w:hanging="332"/>
        <w:spacing w:after="0" w:line="241"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February 22, 2022 held indirectly by the Former Sponsor.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2" w:lineRule="exact"/>
        <w:rPr>
          <w:rFonts w:ascii="Arial" w:cs="Arial" w:eastAsia="Arial" w:hAnsi="Arial"/>
          <w:sz w:val="14"/>
          <w:szCs w:val="14"/>
          <w:color w:val="auto"/>
        </w:rPr>
      </w:pPr>
    </w:p>
    <w:p>
      <w:pPr>
        <w:ind w:left="392" w:hanging="392"/>
        <w:spacing w:after="0"/>
        <w:tabs>
          <w:tab w:leader="none" w:pos="392"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72" w:hanging="372"/>
        <w:spacing w:after="0"/>
        <w:tabs>
          <w:tab w:leader="none" w:pos="372"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92" w:hanging="392"/>
        <w:spacing w:after="0"/>
        <w:tabs>
          <w:tab w:leader="none" w:pos="392"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92" w:hanging="392"/>
        <w:spacing w:after="0"/>
        <w:tabs>
          <w:tab w:leader="none" w:pos="392"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Consists of 181,609 shares of Class A common stock subject to options that are exercisable within 60 days of 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46" w:name="page147"/>
    <w:bookmarkEnd w:id="146"/>
    <w:p>
      <w:pPr>
        <w:spacing w:after="0" w:line="139" w:lineRule="exact"/>
        <w:rPr>
          <w:sz w:val="20"/>
          <w:szCs w:val="20"/>
          <w:color w:val="auto"/>
        </w:rPr>
      </w:pPr>
    </w:p>
    <w:p>
      <w:pPr>
        <w:ind w:left="332" w:right="200" w:hanging="332"/>
        <w:spacing w:after="0" w:line="247" w:lineRule="auto"/>
        <w:tabs>
          <w:tab w:leader="none" w:pos="392"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held by Nat Turner and (ii) 166,666 shares of Class A common stock underlying private placement warrants held by NTWJ Holdings, LLC (“NTWJ”), that are exercisable within 60 days of February 22, 2022. Mr. Turner is a managing member of NTWJ. The address for NTWJ is 139 Reade Street, New York, New York 10013.</w:t>
      </w:r>
    </w:p>
    <w:p>
      <w:pPr>
        <w:ind w:left="332" w:hanging="332"/>
        <w:spacing w:after="0" w:line="244" w:lineRule="auto"/>
        <w:tabs>
          <w:tab w:leader="none" w:pos="392"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Consists of (i) 21,376,237 shares of Class A common stock held directly and indirectly by all current directors and executive officers of the Company as a group, (ii) 18,014 shares of Class A common stock issuable pursuant to RSUs held directly by all current directors and executive officers of the Company as a group and that will be vested within 60 days of February 22, 2022, (iii) 11,021,001 shares of Class A common stock subject to options held directly by all current directors and executive officers of the Company as a group and that are exercisable within 60 days of February 22, 2022, and (iv) 7,070,001 shares of Class A common stock underlying private placement warrants held directly and indirectly by all current directors and executive officers of the Company as a group and that are exercisable within 60 days of 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47" w:name="page148"/>
    <w:bookmarkEnd w:id="14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summary sets forth certain material terms and provisions of our securities that are registered under Section 12 of the Securities Exchange Act of 1934, as amended (the “Exchange Act”). This description also summarizes relevant provisions of the General Corporation Law of Delaware (the “DGCL”). The following description is a summary and does not purport to be a complete description of the rights and preferences of our securities. It is subject to, and qualified in its entirety by reference to, the applicable provisions of the DGCL and our third amended and restated certificate of incorporation (our “Amended and Restated Certificate of Incorporation”), and our restated bylaws (our “Bylaws”), each of which is filed as an exhibit hereto. We encourage you to read our Amended and Certificate of Incorporation, our Bylaws, and the applicable provisions of the DGCL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Amended and Restated Certificate of Incorporation authorizes the issuance of 400,000,000 shares of Class A common stock, $0.0001 par value per share. The outstanding shares of our common stock are duly authorized, validly issued, fully paid and non-assessable. As of December 31, 2021, there were 242,647,604 shares of our Class A common stock outstanding, no shares of preferred stock outstanding and 21,994,972 warrants outstanding.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Amended and Restated Certificate of Incorporation provides that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or under our Amended and Restated Certificate of Incorporation, the holders of common stock possess all voting power for the election of our directors and all other matters requiring stockholder action and are entitled to one vote per share on matters to be voted on by stockholders. The holders of common stock shall at all times vote together as one class on all matters submitted to a vote of the holders of common stock under our Amended and Restated Certificate of Incorporation.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rights, if any of the holders of any outstanding shares of preferred stock, under our Amended and Restated Certificate of Incorporation, holders of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event of the voluntary or involuntary liquidation, dissolution or winding-up of the Company our Amended and Restated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our Amended and Restated Certificate of Incorporation, our stockholders have no preemptive or other subscription rights and there are no sinking fund or redemption provisions applicable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our Amended and Restated Certificate of Incorporation, the term of the Class I Directors in place at such time will expire at our first annual meeting of the stockholders of the following the effectiveness of our Amended and Restated Certificate of Incorporation; the term of the Class II Directors in place at such time will expire at our second annual meeting of the stockholders following the effectiveness of our Amended and Restated Certificate of Incorporation; and the term of the Class III Directors in place at such time will expire at our third annual meeting of the stockholders following the effectiveness of our Amended and Restated Certificate of Incorporation.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whole public warrant entitles the registered holder to purchase one share of our Class A common stock at a price of $11.50 per whole share, subject to adjustment as discussed below, at any time commencing on the later of 12 months from the closing of CMLS’s initial public offering (“IPO”) or 30 days after the completion of the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CMLS’ initial business combination, at 5:00 p.m., New York City time, or earlier upon redemption or liquidation.</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not obligated to deliver any shares of common stock pursuant to the exercise of a public warrant and will have no obligation to settle such public warrant exercise unless a registration statement under the Securities Act of 1933, as amended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w:t>
      </w:r>
      <w:r>
        <w:rPr>
          <w:rFonts w:ascii="Arial" w:cs="Arial" w:eastAsia="Arial" w:hAnsi="Arial"/>
          <w:sz w:val="18"/>
          <w:szCs w:val="18"/>
          <w:color w:val="auto"/>
        </w:rPr>
        <w:t>- 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public warrants:</w:t>
      </w:r>
    </w:p>
    <w:p>
      <w:pPr>
        <w:spacing w:after="0" w:line="116"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$10.00 </w:t>
      </w:r>
      <w:r>
        <w:rPr>
          <w:rFonts w:ascii="Arial" w:cs="Arial" w:eastAsia="Arial" w:hAnsi="Arial"/>
          <w:sz w:val="18"/>
          <w:szCs w:val="18"/>
          <w:color w:val="auto"/>
        </w:rPr>
        <w:t>- Once the warrants become exercisable, we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w:t>
      </w:r>
    </w:p>
    <w:p>
      <w:pPr>
        <w:spacing w:after="0" w:line="116"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we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the Business Combination. If we call our public warrants for redemption and our management does not take advantage of this option, the Sponsor and its permitted transferees would still be entitled to exercise their private placement warrants for cash or on a cashless basis using the same formula described above that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warrant holders would have been required to use had all warrant holders been required to exercise their public warrants on a cashless basis, as described in more detail below.</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shares of common stock is increased by a stock dividend payable in shares of common stock, or by</w:t>
      </w:r>
      <w:r>
        <w:rPr>
          <w:rFonts w:ascii="Arial" w:cs="Arial" w:eastAsia="Arial" w:hAnsi="Arial"/>
          <w:sz w:val="16"/>
          <w:szCs w:val="16"/>
          <w:i w:val="1"/>
          <w:iCs w:val="1"/>
          <w:color w:val="auto"/>
        </w:rPr>
        <w:t xml:space="preserve"> </w:t>
      </w:r>
      <w:r>
        <w:rPr>
          <w:rFonts w:ascii="Arial" w:cs="Arial" w:eastAsia="Arial" w:hAnsi="Arial"/>
          <w:sz w:val="16"/>
          <w:szCs w:val="16"/>
          <w:color w:val="auto"/>
        </w:rPr>
        <w:t>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w:t>
      </w:r>
    </w:p>
    <w:p>
      <w:pPr>
        <w:spacing w:after="0" w:line="6" w:lineRule="exact"/>
        <w:rPr>
          <w:sz w:val="20"/>
          <w:szCs w:val="20"/>
          <w:color w:val="auto"/>
        </w:rPr>
      </w:pPr>
    </w:p>
    <w:p>
      <w:pPr>
        <w:jc w:val="both"/>
        <w:ind w:firstLine="8"/>
        <w:spacing w:after="0" w:line="255" w:lineRule="auto"/>
        <w:tabs>
          <w:tab w:leader="none" w:pos="2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our current certificate of incorporation to modify the substance or timing of our obligation to redeem 100% of our public shares if we do not complete a business combination within 24 months from the closing of CMLS’s IPO, or (v) in connection with the redemption of our public shares upon our failure to complete the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CMLS’s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CMLS’s IPO, except that (1) the private placement warrants and the Class A common stock issuable upon the exercise of the private placement warrants will not be transferable, assignable or saleable until 30 days after the completion of the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Amended and Restated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69"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unreserved common stock and preferred stock could render more difficult or discourage an attempt to obtain control of us by means of a proxy contest, tender offer, merger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3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action to interpret, apply, enforce or determine the validity of our Amended and Restated Certificate of Incorporation or the Bylaws; or</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16" w:lineRule="exact"/>
        <w:rPr>
          <w:sz w:val="20"/>
          <w:szCs w:val="20"/>
          <w:color w:val="auto"/>
        </w:rPr>
      </w:pPr>
    </w:p>
    <w:p>
      <w:pPr>
        <w:jc w:val="both"/>
        <w:spacing w:after="0" w:line="270" w:lineRule="auto"/>
        <w:rPr>
          <w:rFonts w:ascii="Arial" w:cs="Arial" w:eastAsia="Arial" w:hAnsi="Arial"/>
          <w:sz w:val="17"/>
          <w:szCs w:val="17"/>
          <w:i w:val="1"/>
          <w:iCs w:val="1"/>
          <w:color w:val="0000FF"/>
        </w:rPr>
      </w:pPr>
      <w:r>
        <w:rPr>
          <w:rFonts w:ascii="Arial" w:cs="Arial" w:eastAsia="Arial" w:hAnsi="Arial"/>
          <w:sz w:val="17"/>
          <w:szCs w:val="17"/>
          <w:color w:val="auto"/>
        </w:rPr>
        <w:t xml:space="preserve">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w:t>
      </w:r>
      <w:hyperlink w:anchor="page62">
        <w:r>
          <w:rPr>
            <w:rFonts w:ascii="Arial" w:cs="Arial" w:eastAsia="Arial" w:hAnsi="Arial"/>
            <w:sz w:val="17"/>
            <w:szCs w:val="17"/>
            <w:color w:val="auto"/>
          </w:rPr>
          <w:t xml:space="preserve">enforce any duty or liability created by the Securities Act or the rules and regulations promulgated thereunder. Please see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FF"/>
          </w:rPr>
          <w:t>Risk Factors - The Amended and</w:t>
        </w:r>
      </w:hyperlink>
      <w:r>
        <w:rPr>
          <w:rFonts w:ascii="Arial" w:cs="Arial" w:eastAsia="Arial" w:hAnsi="Arial"/>
          <w:sz w:val="17"/>
          <w:szCs w:val="17"/>
          <w:color w:val="auto"/>
        </w:rPr>
        <w:t xml:space="preserve"> </w:t>
      </w:r>
      <w:hyperlink w:anchor="page62">
        <w:r>
          <w:rPr>
            <w:rFonts w:ascii="Arial" w:cs="Arial" w:eastAsia="Arial" w:hAnsi="Arial"/>
            <w:sz w:val="17"/>
            <w:szCs w:val="17"/>
            <w:i w:val="1"/>
            <w:iCs w:val="1"/>
            <w:u w:val="single" w:color="auto"/>
            <w:color w:val="0000FF"/>
          </w:rPr>
          <w:t>Restated Certificate of Incorporation designates the Court of Chancery of the State of Delaware and federal court within the State of Delaware as the</w:t>
        </w:r>
      </w:hyperlink>
      <w:r>
        <w:rPr>
          <w:rFonts w:ascii="Arial" w:cs="Arial" w:eastAsia="Arial" w:hAnsi="Arial"/>
          <w:sz w:val="17"/>
          <w:szCs w:val="17"/>
          <w:i w:val="1"/>
          <w:iCs w:val="1"/>
          <w:u w:val="single" w:color="auto"/>
          <w:color w:val="0000FF"/>
        </w:rPr>
        <w:t xml:space="preserve"> </w:t>
      </w:r>
      <w:hyperlink w:anchor="page62">
        <w:r>
          <w:rPr>
            <w:rFonts w:ascii="Arial" w:cs="Arial" w:eastAsia="Arial" w:hAnsi="Arial"/>
            <w:sz w:val="17"/>
            <w:szCs w:val="17"/>
            <w:i w:val="1"/>
            <w:iCs w:val="1"/>
            <w:u w:val="single" w:color="auto"/>
            <w:color w:val="0000FF"/>
          </w:rPr>
          <w:t>exclusive forum for certain types of actions and proceedings that our stockholders may initiate, which could limit a stockholder’s ability to obtain a</w:t>
        </w:r>
      </w:hyperlink>
      <w:r>
        <w:rPr>
          <w:rFonts w:ascii="Arial" w:cs="Arial" w:eastAsia="Arial" w:hAnsi="Arial"/>
          <w:sz w:val="17"/>
          <w:szCs w:val="17"/>
          <w:i w:val="1"/>
          <w:iCs w:val="1"/>
          <w:u w:val="single" w:color="auto"/>
          <w:color w:val="0000FF"/>
        </w:rPr>
        <w:t xml:space="preserve"> </w:t>
      </w:r>
      <w:hyperlink w:anchor="page62">
        <w:r>
          <w:rPr>
            <w:rFonts w:ascii="Arial" w:cs="Arial" w:eastAsia="Arial" w:hAnsi="Arial"/>
            <w:sz w:val="17"/>
            <w:szCs w:val="17"/>
            <w:i w:val="1"/>
            <w:iCs w:val="1"/>
            <w:u w:val="single" w:color="auto"/>
            <w:color w:val="0000FF"/>
          </w:rPr>
          <w:t>favorable judicial forum for disputes with us or our directors, officers or employees</w:t>
        </w:r>
        <w:r>
          <w:rPr>
            <w:rFonts w:ascii="Arial" w:cs="Arial" w:eastAsia="Arial" w:hAnsi="Arial"/>
            <w:sz w:val="17"/>
            <w:szCs w:val="17"/>
            <w:i w:val="1"/>
            <w:iCs w:val="1"/>
            <w:color w:val="000000"/>
          </w:rPr>
          <w:t>.”</w:t>
        </w:r>
      </w:hyperlink>
    </w:p>
    <w:p>
      <w:pPr>
        <w:spacing w:after="0" w:line="123" w:lineRule="exact"/>
        <w:rPr>
          <w:rFonts w:ascii="Arial" w:cs="Arial" w:eastAsia="Arial" w:hAnsi="Arial"/>
          <w:sz w:val="17"/>
          <w:szCs w:val="17"/>
          <w:i w:val="1"/>
          <w:iCs w:val="1"/>
          <w:u w:val="single" w:color="auto"/>
          <w:color w:val="0000FF"/>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5" w:lineRule="exact"/>
        <w:rPr>
          <w:rFonts w:ascii="Arial" w:cs="Arial" w:eastAsia="Arial" w:hAnsi="Arial"/>
          <w:sz w:val="17"/>
          <w:szCs w:val="17"/>
          <w:i w:val="1"/>
          <w:iCs w:val="1"/>
          <w:u w:val="single" w:color="auto"/>
          <w:color w:val="0000FF"/>
        </w:rPr>
      </w:pPr>
    </w:p>
    <w:p>
      <w:pPr>
        <w:spacing w:after="0"/>
        <w:rPr>
          <w:sz w:val="20"/>
          <w:szCs w:val="20"/>
          <w:color w:val="auto"/>
        </w:rPr>
      </w:pPr>
      <w:r>
        <w:rPr>
          <w:rFonts w:ascii="Arial" w:cs="Arial" w:eastAsia="Arial" w:hAnsi="Arial"/>
          <w:sz w:val="18"/>
          <w:szCs w:val="18"/>
          <w:color w:val="auto"/>
        </w:rPr>
        <w:t>Our common stock and warrants are listed on Nasdaq under the symbols “SMFR” and “SMFRW,” respectively.</w:t>
      </w:r>
    </w:p>
    <w:p>
      <w:pPr>
        <w:spacing w:after="0" w:line="200" w:lineRule="exact"/>
        <w:rPr>
          <w:rFonts w:ascii="Arial" w:cs="Arial" w:eastAsia="Arial" w:hAnsi="Arial"/>
          <w:sz w:val="17"/>
          <w:szCs w:val="17"/>
          <w:i w:val="1"/>
          <w:iCs w:val="1"/>
          <w:u w:val="single" w:color="auto"/>
          <w:color w:val="0000FF"/>
        </w:rPr>
      </w:pPr>
    </w:p>
    <w:p>
      <w:pPr>
        <w:spacing w:after="0" w:line="200" w:lineRule="exact"/>
        <w:rPr>
          <w:rFonts w:ascii="Arial" w:cs="Arial" w:eastAsia="Arial" w:hAnsi="Arial"/>
          <w:sz w:val="17"/>
          <w:szCs w:val="17"/>
          <w:i w:val="1"/>
          <w:iCs w:val="1"/>
          <w:u w:val="single" w:color="auto"/>
          <w:color w:val="0000FF"/>
        </w:rPr>
      </w:pPr>
    </w:p>
    <w:p>
      <w:pPr>
        <w:spacing w:after="0" w:line="200" w:lineRule="exact"/>
        <w:rPr>
          <w:rFonts w:ascii="Arial" w:cs="Arial" w:eastAsia="Arial" w:hAnsi="Arial"/>
          <w:sz w:val="17"/>
          <w:szCs w:val="17"/>
          <w:i w:val="1"/>
          <w:iCs w:val="1"/>
          <w:u w:val="single" w:color="auto"/>
          <w:color w:val="0000FF"/>
        </w:rPr>
      </w:pPr>
    </w:p>
    <w:p>
      <w:pPr>
        <w:spacing w:after="0" w:line="200" w:lineRule="exact"/>
        <w:rPr>
          <w:rFonts w:ascii="Arial" w:cs="Arial" w:eastAsia="Arial" w:hAnsi="Arial"/>
          <w:sz w:val="17"/>
          <w:szCs w:val="17"/>
          <w:i w:val="1"/>
          <w:iCs w:val="1"/>
          <w:u w:val="single" w:color="auto"/>
          <w:color w:val="0000FF"/>
        </w:rPr>
      </w:pPr>
    </w:p>
    <w:p>
      <w:pPr>
        <w:spacing w:after="0" w:line="289" w:lineRule="exact"/>
        <w:rPr>
          <w:rFonts w:ascii="Arial" w:cs="Arial" w:eastAsia="Arial" w:hAnsi="Arial"/>
          <w:sz w:val="17"/>
          <w:szCs w:val="17"/>
          <w:i w:val="1"/>
          <w:iCs w:val="1"/>
          <w:u w:val="single" w:color="auto"/>
          <w:color w:val="0000FF"/>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17"/>
          <w:szCs w:val="17"/>
          <w:i w:val="1"/>
          <w:iCs w:val="1"/>
          <w:u w:val="single" w:color="auto"/>
          <w:color w:val="0000FF"/>
        </w:rPr>
      </w:pPr>
      <w:r>
        <w:rPr>
          <w:rFonts w:ascii="Arial" w:cs="Arial" w:eastAsia="Arial" w:hAnsi="Arial"/>
          <w:sz w:val="17"/>
          <w:szCs w:val="17"/>
          <w:i w:val="1"/>
          <w:i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Selling Securityholders may offer and sell, from time to time, any or all of the shares of common stock or warrants being offered for resale by this prospectus, which consists of:</w:t>
      </w:r>
    </w:p>
    <w:p>
      <w:pPr>
        <w:spacing w:after="0" w:line="116"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 to 35,000,000 Prior PIPE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 to 11,068,750 Founder Shares;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 to 182,917,984 shares of Class A common stock issued or issuable to the Legacy Sema4 equity holders in connection with or as a result of the consummation of the Business Combination, consisting of:</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up to 149,856,840 shares of our Class A common stock (“Legacy Sema4 Holder Shares”);</w:t>
      </w:r>
    </w:p>
    <w:p>
      <w:pPr>
        <w:spacing w:after="0" w:line="171"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75"/>
        </w:numPr>
        <w:rPr>
          <w:rFonts w:ascii="Arial" w:cs="Arial" w:eastAsia="Arial" w:hAnsi="Arial"/>
          <w:sz w:val="18"/>
          <w:szCs w:val="18"/>
          <w:color w:val="auto"/>
        </w:rPr>
      </w:pPr>
      <w:r>
        <w:rPr>
          <w:rFonts w:ascii="Arial" w:cs="Arial" w:eastAsia="Arial" w:hAnsi="Arial"/>
          <w:sz w:val="18"/>
          <w:szCs w:val="18"/>
          <w:color w:val="auto"/>
        </w:rPr>
        <w:t>up to 14,039,568 shares of Class A common stock issuable upon the exercise or vesting of certain equity awards (“Legacy Sema4 Holder Equity Award Shares”); and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up to 19,021,576 Earn-Out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 to 7,236,667 shares of common stock issuable upon the exercise of private placement warrants;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 to 7,236,667 private placement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 “Selling Securityholders” includes the securityholders listed in the tables below and their permitted transferees.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provide, as of the date of this prospectus, information regarding the beneficial ownership of our common stock and warrants of each Selling Securityholder, the number of shares of common stock and number of warrants that may be sold by each Selling Securityholder under this prospectus and that each Selling Securityholder will beneficially own after this offering.</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earn-out provisions of the Prior Merger Agreement, we may issue an aggregate of up to 19,021,576 shares of common stock upon the occurrence of certain triggering events provided for in the Prior Merger Agreement, which shares are comprised of initial Earn-Out Shares issuable to pre-closing Legacy Sema4 equity holders and shares of Class A common stock (“Earn-Out RSU Shares”) issuable upon the vesting of certain RSU awards (“Earn-Out RSUs”) that are expected to be granted to certain pre-closing Sema4 equity holders. As of the Closing, the initial allocation of such shares comprises up to 16,331,812 Earn-Out Shares and up to 2,689,764 Earn-Out RSU Shares. We expect to issue the Earn-Out RSUs on or after September 27, 2021. In the event any Earn-Out RSUs are forfeited following the closing of the Business Combination (for example, as a result of a Legacy Sema4 equity holder no longer being an employee of our company), the Prior Merger Agreement provides for a forfeiture pool in respect of the Earn-Out RSU Shares that were originally allocated to such forfeited Earn-Out RSUs, with such Earn-Out RSU Shares becoming available for issuance to the other recipients of Earn-Out Shares and Earn-Out RSUs. In the case of a Selling Securityholder that is entitled to receive Earn-Out Shares pursuant to the Prior Merger Agreement, the table below includes such Selling Securityholder’s pro rata portion of the initial allocation of Earn-Out Shares (such Selling Securityholder’s “Allocated Earn-Out Shares”), as well as such Selling Securityholder’s pro rata portion of the reallocated Earn-Out RSU Shares (such Selling Securityholder’s “Reallocated Earn-Out Shares”), assuming that 100% of the Earn-Out RSUs are forfeited after the closing of the Business Combination.</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each Selling Securityholder may dispose of all, none or some portion of their securities, no estimate can be given as to the number of securities that will be beneficially owned by a Selling Securityholder upon termination of this offering. For purposes of the tables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 transactions exempt from the registration requirements of the Securities Act after the date on which the information in the tables is presented.</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amend or supplement this prospectus from time to time in the future to update or change this Selling Securityholders list and the securities that may be resold.</w:t>
      </w:r>
    </w:p>
    <w:p>
      <w:pPr>
        <w:spacing w:after="0" w:line="116" w:lineRule="exact"/>
        <w:rPr>
          <w:sz w:val="20"/>
          <w:szCs w:val="20"/>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Please see the section titled “</w:t>
      </w:r>
      <w:hyperlink w:anchor="page162">
        <w:r>
          <w:rPr>
            <w:rFonts w:ascii="Arial" w:cs="Arial" w:eastAsia="Arial" w:hAnsi="Arial"/>
            <w:sz w:val="18"/>
            <w:szCs w:val="18"/>
            <w:i w:val="1"/>
            <w:iCs w:val="1"/>
            <w:u w:val="single" w:color="auto"/>
            <w:color w:val="0000FF"/>
          </w:rPr>
          <w:t>Plan of Distribution</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for further information regarding the Selling Securityholders’ method of distributing these shares and</w:t>
      </w:r>
      <w:r>
        <w:rPr>
          <w:rFonts w:ascii="Arial" w:cs="Arial" w:eastAsia="Arial" w:hAnsi="Arial"/>
          <w:sz w:val="18"/>
          <w:szCs w:val="18"/>
          <w:color w:val="auto"/>
        </w:rPr>
        <w:t xml:space="preserve"> warrants.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Shares of Class A Common Stock</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Number Beneficially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Registered</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Number Beneficially</w:t>
            </w:r>
          </w:p>
        </w:tc>
        <w:tc>
          <w:tcPr>
            <w:tcW w:w="15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5260" w:type="dxa"/>
            <w:vAlign w:val="bottom"/>
            <w:gridSpan w:val="2"/>
            <w:vMerge w:val="restart"/>
          </w:tcPr>
          <w:p>
            <w:pPr>
              <w:ind w:left="2400"/>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Owned Prior to</w:t>
            </w:r>
          </w:p>
        </w:tc>
        <w:tc>
          <w:tcPr>
            <w:tcW w:w="1460" w:type="dxa"/>
            <w:vAlign w:val="bottom"/>
            <w:gridSpan w:val="2"/>
            <w:vMerge w:val="continue"/>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Owned After</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60" w:type="dxa"/>
            <w:vAlign w:val="bottom"/>
            <w:gridSpan w:val="2"/>
            <w:vMerge w:val="continue"/>
          </w:tcPr>
          <w:p>
            <w:pPr>
              <w:spacing w:after="0"/>
              <w:rPr>
                <w:sz w:val="16"/>
                <w:szCs w:val="16"/>
                <w:color w:val="auto"/>
              </w:rPr>
            </w:pPr>
          </w:p>
        </w:tc>
        <w:tc>
          <w:tcPr>
            <w:tcW w:w="148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for Sale Hereby</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1560" w:type="dxa"/>
            <w:vAlign w:val="bottom"/>
          </w:tcPr>
          <w:p>
            <w:pPr>
              <w:ind w:left="440"/>
              <w:spacing w:after="0" w:line="189"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Entities affiliated with Avidity </w:t>
            </w:r>
            <w:r>
              <w:rPr>
                <w:rFonts w:ascii="Arial" w:cs="Arial" w:eastAsia="Arial" w:hAnsi="Arial"/>
                <w:sz w:val="23"/>
                <w:szCs w:val="23"/>
                <w:color w:val="auto"/>
                <w:vertAlign w:val="superscript"/>
              </w:rPr>
              <w:t>(3)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Entities affiliated with BlackRock, Inc. </w:t>
            </w:r>
            <w:r>
              <w:rPr>
                <w:rFonts w:ascii="Arial" w:cs="Arial" w:eastAsia="Arial" w:hAnsi="Arial"/>
                <w:sz w:val="23"/>
                <w:szCs w:val="23"/>
                <w:color w:val="auto"/>
                <w:vertAlign w:val="superscript"/>
              </w:rPr>
              <w:t>(4)</w:t>
            </w:r>
          </w:p>
        </w:tc>
        <w:tc>
          <w:tcPr>
            <w:tcW w:w="1380" w:type="dxa"/>
            <w:vAlign w:val="bottom"/>
          </w:tcPr>
          <w:p>
            <w:pPr>
              <w:jc w:val="right"/>
              <w:spacing w:after="0"/>
              <w:rPr>
                <w:sz w:val="20"/>
                <w:szCs w:val="20"/>
                <w:color w:val="auto"/>
              </w:rPr>
            </w:pPr>
            <w:r>
              <w:rPr>
                <w:rFonts w:ascii="Arial" w:cs="Arial" w:eastAsia="Arial" w:hAnsi="Arial"/>
                <w:sz w:val="18"/>
                <w:szCs w:val="18"/>
                <w:color w:val="auto"/>
              </w:rPr>
              <w:t>8,519,747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8,519,747</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Entities advised by Corvex Management </w:t>
            </w:r>
            <w:r>
              <w:rPr>
                <w:rFonts w:ascii="Arial" w:cs="Arial" w:eastAsia="Arial" w:hAnsi="Arial"/>
                <w:sz w:val="23"/>
                <w:szCs w:val="23"/>
                <w:color w:val="auto"/>
                <w:vertAlign w:val="superscript"/>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JS Capital LLC </w:t>
            </w:r>
            <w:r>
              <w:rPr>
                <w:rFonts w:ascii="Arial" w:cs="Arial" w:eastAsia="Arial" w:hAnsi="Arial"/>
                <w:sz w:val="23"/>
                <w:szCs w:val="23"/>
                <w:color w:val="auto"/>
                <w:vertAlign w:val="superscript"/>
              </w:rPr>
              <w:t>(6)</w:t>
            </w:r>
          </w:p>
        </w:tc>
        <w:tc>
          <w:tcPr>
            <w:tcW w:w="13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Entities affiliated with D.E. Shaw Group </w:t>
            </w:r>
            <w:r>
              <w:rPr>
                <w:rFonts w:ascii="Arial" w:cs="Arial" w:eastAsia="Arial" w:hAnsi="Arial"/>
                <w:sz w:val="23"/>
                <w:szCs w:val="23"/>
                <w:color w:val="auto"/>
                <w:vertAlign w:val="superscript"/>
              </w:rPr>
              <w:t>(7)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Entities affiliated with Deerfield </w:t>
            </w:r>
            <w:r>
              <w:rPr>
                <w:rFonts w:ascii="Arial" w:cs="Arial" w:eastAsia="Arial" w:hAnsi="Arial"/>
                <w:sz w:val="23"/>
                <w:szCs w:val="23"/>
                <w:color w:val="auto"/>
                <w:vertAlign w:val="superscript"/>
              </w:rPr>
              <w:t>(8)</w:t>
            </w:r>
          </w:p>
        </w:tc>
        <w:tc>
          <w:tcPr>
            <w:tcW w:w="1380" w:type="dxa"/>
            <w:vAlign w:val="bottom"/>
          </w:tcPr>
          <w:p>
            <w:pPr>
              <w:jc w:val="right"/>
              <w:spacing w:after="0"/>
              <w:rPr>
                <w:sz w:val="20"/>
                <w:szCs w:val="20"/>
                <w:color w:val="auto"/>
              </w:rPr>
            </w:pPr>
            <w:r>
              <w:rPr>
                <w:rFonts w:ascii="Arial" w:cs="Arial" w:eastAsia="Arial" w:hAnsi="Arial"/>
                <w:sz w:val="18"/>
                <w:szCs w:val="18"/>
                <w:color w:val="auto"/>
              </w:rPr>
              <w:t>15,069,320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15,069,320</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Entities managed by Driehaus Capital Management LLC </w:t>
            </w:r>
            <w:r>
              <w:rPr>
                <w:rFonts w:ascii="Arial" w:cs="Arial" w:eastAsia="Arial" w:hAnsi="Arial"/>
                <w:sz w:val="23"/>
                <w:szCs w:val="23"/>
                <w:color w:val="auto"/>
                <w:vertAlign w:val="superscript"/>
              </w:rPr>
              <w:t>(9)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Entities affiliated with Fidelity </w:t>
            </w:r>
            <w:r>
              <w:rPr>
                <w:rFonts w:ascii="Arial" w:cs="Arial" w:eastAsia="Arial" w:hAnsi="Arial"/>
                <w:sz w:val="23"/>
                <w:szCs w:val="23"/>
                <w:color w:val="auto"/>
                <w:vertAlign w:val="superscript"/>
              </w:rPr>
              <w:t>(10)</w:t>
            </w:r>
          </w:p>
        </w:tc>
        <w:tc>
          <w:tcPr>
            <w:tcW w:w="1380" w:type="dxa"/>
            <w:vAlign w:val="bottom"/>
          </w:tcPr>
          <w:p>
            <w:pPr>
              <w:jc w:val="right"/>
              <w:spacing w:after="0"/>
              <w:rPr>
                <w:sz w:val="20"/>
                <w:szCs w:val="20"/>
                <w:color w:val="auto"/>
              </w:rPr>
            </w:pPr>
            <w:r>
              <w:rPr>
                <w:rFonts w:ascii="Arial" w:cs="Arial" w:eastAsia="Arial" w:hAnsi="Arial"/>
                <w:sz w:val="18"/>
                <w:szCs w:val="18"/>
                <w:color w:val="auto"/>
              </w:rPr>
              <w:t>275,387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275,387</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Entities affiliated with Moore </w:t>
            </w:r>
            <w:r>
              <w:rPr>
                <w:rFonts w:ascii="Arial" w:cs="Arial" w:eastAsia="Arial" w:hAnsi="Arial"/>
                <w:sz w:val="23"/>
                <w:szCs w:val="23"/>
                <w:color w:val="auto"/>
                <w:vertAlign w:val="superscript"/>
              </w:rPr>
              <w:t>(11)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1,619,851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1,619,851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 Munib Z. Islam </w:t>
            </w:r>
            <w:r>
              <w:rPr>
                <w:rFonts w:ascii="Arial" w:cs="Arial" w:eastAsia="Arial" w:hAnsi="Arial"/>
                <w:sz w:val="23"/>
                <w:szCs w:val="23"/>
                <w:color w:val="auto"/>
                <w:vertAlign w:val="superscript"/>
              </w:rPr>
              <w:t>(12)</w:t>
            </w:r>
          </w:p>
        </w:tc>
        <w:tc>
          <w:tcPr>
            <w:tcW w:w="1380" w:type="dxa"/>
            <w:vAlign w:val="bottom"/>
          </w:tcPr>
          <w:p>
            <w:pPr>
              <w:jc w:val="right"/>
              <w:spacing w:after="0"/>
              <w:rPr>
                <w:sz w:val="20"/>
                <w:szCs w:val="20"/>
                <w:color w:val="auto"/>
              </w:rPr>
            </w:pPr>
            <w:r>
              <w:rPr>
                <w:rFonts w:ascii="Arial" w:cs="Arial" w:eastAsia="Arial" w:hAnsi="Arial"/>
                <w:sz w:val="18"/>
                <w:szCs w:val="18"/>
                <w:color w:val="auto"/>
              </w:rPr>
              <w:t>291,666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291,666</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Perceptive Life Sciences Master Fund </w:t>
            </w:r>
            <w:r>
              <w:rPr>
                <w:rFonts w:ascii="Arial" w:cs="Arial" w:eastAsia="Arial" w:hAnsi="Arial"/>
                <w:sz w:val="23"/>
                <w:szCs w:val="23"/>
                <w:color w:val="auto"/>
                <w:vertAlign w:val="superscript"/>
              </w:rPr>
              <w:t>(13)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Entities affiliated with Sachem Head </w:t>
            </w:r>
            <w:r>
              <w:rPr>
                <w:rFonts w:ascii="Arial" w:cs="Arial" w:eastAsia="Arial" w:hAnsi="Arial"/>
                <w:sz w:val="23"/>
                <w:szCs w:val="23"/>
                <w:color w:val="auto"/>
                <w:vertAlign w:val="superscript"/>
              </w:rPr>
              <w:t>(14)</w:t>
            </w:r>
          </w:p>
        </w:tc>
        <w:tc>
          <w:tcPr>
            <w:tcW w:w="13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SB Northstar LP </w:t>
            </w:r>
            <w:r>
              <w:rPr>
                <w:rFonts w:ascii="Arial" w:cs="Arial" w:eastAsia="Arial" w:hAnsi="Arial"/>
                <w:sz w:val="23"/>
                <w:szCs w:val="23"/>
                <w:color w:val="auto"/>
                <w:vertAlign w:val="superscript"/>
              </w:rPr>
              <w:t>(15)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Entities affiliated with T. Rowe Price Associates, Inc. </w:t>
            </w:r>
            <w:r>
              <w:rPr>
                <w:rFonts w:ascii="Arial" w:cs="Arial" w:eastAsia="Arial" w:hAnsi="Arial"/>
                <w:sz w:val="23"/>
                <w:szCs w:val="23"/>
                <w:color w:val="auto"/>
                <w:vertAlign w:val="superscript"/>
              </w:rPr>
              <w:t>(16)</w:t>
            </w:r>
          </w:p>
        </w:tc>
        <w:tc>
          <w:tcPr>
            <w:tcW w:w="13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Entities affiliated with Third Point Loan LLC </w:t>
            </w:r>
            <w:r>
              <w:rPr>
                <w:rFonts w:ascii="Arial" w:cs="Arial" w:eastAsia="Arial" w:hAnsi="Arial"/>
                <w:sz w:val="23"/>
                <w:szCs w:val="23"/>
                <w:color w:val="auto"/>
                <w:vertAlign w:val="superscript"/>
              </w:rPr>
              <w:t>(17)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TBC 222 LLC </w:t>
            </w:r>
            <w:r>
              <w:rPr>
                <w:rFonts w:ascii="Arial" w:cs="Arial" w:eastAsia="Arial" w:hAnsi="Arial"/>
                <w:sz w:val="23"/>
                <w:szCs w:val="23"/>
                <w:color w:val="auto"/>
                <w:vertAlign w:val="superscript"/>
              </w:rPr>
              <w:t>(18)</w:t>
            </w:r>
          </w:p>
        </w:tc>
        <w:tc>
          <w:tcPr>
            <w:tcW w:w="13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Entities affiliated with Viking Global </w:t>
            </w:r>
            <w:r>
              <w:rPr>
                <w:rFonts w:ascii="Arial" w:cs="Arial" w:eastAsia="Arial" w:hAnsi="Arial"/>
                <w:sz w:val="23"/>
                <w:szCs w:val="23"/>
                <w:color w:val="auto"/>
                <w:vertAlign w:val="superscript"/>
              </w:rPr>
              <w:t>(19)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Icahn School of Medicine at Mount Sinai </w:t>
            </w:r>
            <w:r>
              <w:rPr>
                <w:rFonts w:ascii="Arial" w:cs="Arial" w:eastAsia="Arial" w:hAnsi="Arial"/>
                <w:sz w:val="23"/>
                <w:szCs w:val="23"/>
                <w:color w:val="auto"/>
                <w:vertAlign w:val="superscript"/>
              </w:rPr>
              <w:t>(20)</w:t>
            </w:r>
          </w:p>
        </w:tc>
        <w:tc>
          <w:tcPr>
            <w:tcW w:w="1380" w:type="dxa"/>
            <w:vAlign w:val="bottom"/>
          </w:tcPr>
          <w:p>
            <w:pPr>
              <w:jc w:val="right"/>
              <w:spacing w:after="0"/>
              <w:rPr>
                <w:sz w:val="20"/>
                <w:szCs w:val="20"/>
                <w:color w:val="auto"/>
              </w:rPr>
            </w:pPr>
            <w:r>
              <w:rPr>
                <w:rFonts w:ascii="Arial" w:cs="Arial" w:eastAsia="Arial" w:hAnsi="Arial"/>
                <w:sz w:val="18"/>
                <w:szCs w:val="18"/>
                <w:color w:val="auto"/>
              </w:rPr>
              <w:t>99,952,671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99,952,671</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Entities affiliated with Blackstone </w:t>
            </w:r>
            <w:r>
              <w:rPr>
                <w:rFonts w:ascii="Arial" w:cs="Arial" w:eastAsia="Arial" w:hAnsi="Arial"/>
                <w:sz w:val="23"/>
                <w:szCs w:val="23"/>
                <w:color w:val="auto"/>
                <w:vertAlign w:val="superscript"/>
              </w:rPr>
              <w:t>(21)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28,345,879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28,345,879</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Section 32 Fund 2, L.P. </w:t>
            </w:r>
            <w:r>
              <w:rPr>
                <w:rFonts w:ascii="Arial" w:cs="Arial" w:eastAsia="Arial" w:hAnsi="Arial"/>
                <w:sz w:val="23"/>
                <w:szCs w:val="23"/>
                <w:color w:val="auto"/>
                <w:vertAlign w:val="superscript"/>
              </w:rPr>
              <w:t>(22)</w:t>
            </w:r>
          </w:p>
        </w:tc>
        <w:tc>
          <w:tcPr>
            <w:tcW w:w="1380" w:type="dxa"/>
            <w:vAlign w:val="bottom"/>
          </w:tcPr>
          <w:p>
            <w:pPr>
              <w:jc w:val="right"/>
              <w:spacing w:after="0"/>
              <w:rPr>
                <w:sz w:val="20"/>
                <w:szCs w:val="20"/>
                <w:color w:val="auto"/>
              </w:rPr>
            </w:pPr>
            <w:r>
              <w:rPr>
                <w:rFonts w:ascii="Arial" w:cs="Arial" w:eastAsia="Arial" w:hAnsi="Arial"/>
                <w:sz w:val="18"/>
                <w:szCs w:val="18"/>
                <w:color w:val="auto"/>
              </w:rPr>
              <w:t>8,268,643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8,268,643</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Oak HC/FT Partners II, L.P. </w:t>
            </w:r>
            <w:r>
              <w:rPr>
                <w:rFonts w:ascii="Arial" w:cs="Arial" w:eastAsia="Arial" w:hAnsi="Arial"/>
                <w:sz w:val="23"/>
                <w:szCs w:val="23"/>
                <w:color w:val="auto"/>
                <w:vertAlign w:val="superscript"/>
              </w:rPr>
              <w:t>(23)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6,302,462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6,302,462</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Decheng Capital China Life Sciences USD Fund III, L.P. </w:t>
            </w:r>
            <w:r>
              <w:rPr>
                <w:rFonts w:ascii="Arial" w:cs="Arial" w:eastAsia="Arial" w:hAnsi="Arial"/>
                <w:sz w:val="23"/>
                <w:szCs w:val="23"/>
                <w:color w:val="auto"/>
                <w:vertAlign w:val="superscript"/>
              </w:rPr>
              <w:t>(24)</w:t>
            </w:r>
          </w:p>
        </w:tc>
        <w:tc>
          <w:tcPr>
            <w:tcW w:w="1380" w:type="dxa"/>
            <w:vAlign w:val="bottom"/>
          </w:tcPr>
          <w:p>
            <w:pPr>
              <w:jc w:val="right"/>
              <w:spacing w:after="0"/>
              <w:rPr>
                <w:sz w:val="20"/>
                <w:szCs w:val="20"/>
                <w:color w:val="auto"/>
              </w:rPr>
            </w:pPr>
            <w:r>
              <w:rPr>
                <w:rFonts w:ascii="Arial" w:cs="Arial" w:eastAsia="Arial" w:hAnsi="Arial"/>
                <w:sz w:val="18"/>
                <w:szCs w:val="18"/>
                <w:color w:val="auto"/>
              </w:rPr>
              <w:t>3,795,012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3,795,012</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Connecticut Innovations, Incorporated </w:t>
            </w:r>
            <w:r>
              <w:rPr>
                <w:rFonts w:ascii="Arial" w:cs="Arial" w:eastAsia="Arial" w:hAnsi="Arial"/>
                <w:sz w:val="23"/>
                <w:szCs w:val="23"/>
                <w:color w:val="auto"/>
                <w:vertAlign w:val="superscript"/>
              </w:rPr>
              <w:t>(25)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578,722</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Joel Sendek </w:t>
            </w:r>
            <w:r>
              <w:rPr>
                <w:rFonts w:ascii="Arial" w:cs="Arial" w:eastAsia="Arial" w:hAnsi="Arial"/>
                <w:sz w:val="23"/>
                <w:szCs w:val="23"/>
                <w:color w:val="auto"/>
                <w:vertAlign w:val="superscript"/>
              </w:rPr>
              <w:t>(26)</w:t>
            </w:r>
          </w:p>
        </w:tc>
        <w:tc>
          <w:tcPr>
            <w:tcW w:w="1380" w:type="dxa"/>
            <w:vAlign w:val="bottom"/>
          </w:tcPr>
          <w:p>
            <w:pPr>
              <w:jc w:val="right"/>
              <w:spacing w:after="0"/>
              <w:rPr>
                <w:sz w:val="20"/>
                <w:szCs w:val="20"/>
                <w:color w:val="auto"/>
              </w:rPr>
            </w:pPr>
            <w:r>
              <w:rPr>
                <w:rFonts w:ascii="Arial" w:cs="Arial" w:eastAsia="Arial" w:hAnsi="Arial"/>
                <w:sz w:val="18"/>
                <w:szCs w:val="18"/>
                <w:color w:val="auto"/>
              </w:rPr>
              <w:t>74,914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74,914</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Mary Joy Chavez Pineda </w:t>
            </w:r>
            <w:r>
              <w:rPr>
                <w:rFonts w:ascii="Arial" w:cs="Arial" w:eastAsia="Arial" w:hAnsi="Arial"/>
                <w:sz w:val="23"/>
                <w:szCs w:val="23"/>
                <w:color w:val="auto"/>
                <w:vertAlign w:val="superscript"/>
              </w:rPr>
              <w:t>(27)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Jyoti Roy </w:t>
            </w:r>
            <w:r>
              <w:rPr>
                <w:rFonts w:ascii="Arial" w:cs="Arial" w:eastAsia="Arial" w:hAnsi="Arial"/>
                <w:sz w:val="23"/>
                <w:szCs w:val="23"/>
                <w:color w:val="auto"/>
                <w:vertAlign w:val="superscript"/>
              </w:rPr>
              <w:t>(28)</w:t>
            </w:r>
          </w:p>
        </w:tc>
        <w:tc>
          <w:tcPr>
            <w:tcW w:w="1380" w:type="dxa"/>
            <w:vAlign w:val="bottom"/>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Wang Zichen </w:t>
            </w:r>
            <w:r>
              <w:rPr>
                <w:rFonts w:ascii="Arial" w:cs="Arial" w:eastAsia="Arial" w:hAnsi="Arial"/>
                <w:sz w:val="23"/>
                <w:szCs w:val="23"/>
                <w:color w:val="auto"/>
                <w:vertAlign w:val="superscript"/>
              </w:rPr>
              <w:t>(29)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William Laughlin </w:t>
            </w:r>
            <w:r>
              <w:rPr>
                <w:rFonts w:ascii="Arial" w:cs="Arial" w:eastAsia="Arial" w:hAnsi="Arial"/>
                <w:sz w:val="23"/>
                <w:szCs w:val="23"/>
                <w:color w:val="auto"/>
                <w:vertAlign w:val="superscript"/>
              </w:rPr>
              <w:t>(30)</w:t>
            </w:r>
          </w:p>
        </w:tc>
        <w:tc>
          <w:tcPr>
            <w:tcW w:w="1380" w:type="dxa"/>
            <w:vAlign w:val="bottom"/>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Lauren Peters </w:t>
            </w:r>
            <w:r>
              <w:rPr>
                <w:rFonts w:ascii="Arial" w:cs="Arial" w:eastAsia="Arial" w:hAnsi="Arial"/>
                <w:sz w:val="23"/>
                <w:szCs w:val="23"/>
                <w:color w:val="auto"/>
                <w:vertAlign w:val="superscript"/>
              </w:rPr>
              <w:t>(31)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Todd Arnold </w:t>
            </w:r>
            <w:r>
              <w:rPr>
                <w:rFonts w:ascii="Arial" w:cs="Arial" w:eastAsia="Arial" w:hAnsi="Arial"/>
                <w:sz w:val="23"/>
                <w:szCs w:val="23"/>
                <w:color w:val="auto"/>
                <w:vertAlign w:val="superscript"/>
              </w:rPr>
              <w:t>(32)</w:t>
            </w:r>
          </w:p>
        </w:tc>
        <w:tc>
          <w:tcPr>
            <w:tcW w:w="1380" w:type="dxa"/>
            <w:vAlign w:val="bottom"/>
          </w:tcPr>
          <w:p>
            <w:pPr>
              <w:jc w:val="right"/>
              <w:spacing w:after="0"/>
              <w:rPr>
                <w:sz w:val="20"/>
                <w:szCs w:val="20"/>
                <w:color w:val="auto"/>
              </w:rPr>
            </w:pPr>
            <w:r>
              <w:rPr>
                <w:rFonts w:ascii="Arial" w:cs="Arial" w:eastAsia="Arial" w:hAnsi="Arial"/>
                <w:sz w:val="18"/>
                <w:szCs w:val="18"/>
                <w:color w:val="auto"/>
              </w:rPr>
              <w:t>165,743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165,743</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Gregory T. Zalecki </w:t>
            </w:r>
            <w:r>
              <w:rPr>
                <w:rFonts w:ascii="Arial" w:cs="Arial" w:eastAsia="Arial" w:hAnsi="Arial"/>
                <w:sz w:val="23"/>
                <w:szCs w:val="23"/>
                <w:color w:val="auto"/>
                <w:vertAlign w:val="superscript"/>
              </w:rPr>
              <w:t>(33)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Eunjee Lee </w:t>
            </w:r>
            <w:r>
              <w:rPr>
                <w:rFonts w:ascii="Arial" w:cs="Arial" w:eastAsia="Arial" w:hAnsi="Arial"/>
                <w:sz w:val="23"/>
                <w:szCs w:val="23"/>
                <w:color w:val="auto"/>
                <w:vertAlign w:val="superscript"/>
              </w:rPr>
              <w:t>(34)</w:t>
            </w:r>
          </w:p>
        </w:tc>
        <w:tc>
          <w:tcPr>
            <w:tcW w:w="1380" w:type="dxa"/>
            <w:vAlign w:val="bottom"/>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Amanda B. Zheutlin </w:t>
            </w:r>
            <w:r>
              <w:rPr>
                <w:rFonts w:ascii="Arial" w:cs="Arial" w:eastAsia="Arial" w:hAnsi="Arial"/>
                <w:sz w:val="23"/>
                <w:szCs w:val="23"/>
                <w:color w:val="auto"/>
                <w:vertAlign w:val="superscript"/>
              </w:rPr>
              <w:t>(35)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Shares of Class A Common Stock</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Number Beneficially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Registered</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Number Beneficially</w:t>
            </w:r>
          </w:p>
        </w:tc>
        <w:tc>
          <w:tcPr>
            <w:tcW w:w="15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5260" w:type="dxa"/>
            <w:vAlign w:val="bottom"/>
            <w:gridSpan w:val="2"/>
            <w:vMerge w:val="restart"/>
          </w:tcPr>
          <w:p>
            <w:pPr>
              <w:ind w:left="2400"/>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Owned Prior to</w:t>
            </w:r>
          </w:p>
        </w:tc>
        <w:tc>
          <w:tcPr>
            <w:tcW w:w="1460" w:type="dxa"/>
            <w:vAlign w:val="bottom"/>
            <w:gridSpan w:val="2"/>
            <w:vMerge w:val="continue"/>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Owned After</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60" w:type="dxa"/>
            <w:vAlign w:val="bottom"/>
            <w:gridSpan w:val="2"/>
            <w:vMerge w:val="continue"/>
          </w:tcPr>
          <w:p>
            <w:pPr>
              <w:spacing w:after="0"/>
              <w:rPr>
                <w:sz w:val="16"/>
                <w:szCs w:val="16"/>
                <w:color w:val="auto"/>
              </w:rPr>
            </w:pPr>
          </w:p>
        </w:tc>
        <w:tc>
          <w:tcPr>
            <w:tcW w:w="148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0"/>
              </w:rPr>
              <w:t xml:space="preserve">Offering </w:t>
            </w:r>
            <w:r>
              <w:rPr>
                <w:rFonts w:ascii="Arial" w:cs="Arial" w:eastAsia="Arial" w:hAnsi="Arial"/>
                <w:sz w:val="18"/>
                <w:szCs w:val="18"/>
                <w:b w:val="1"/>
                <w:bCs w:val="1"/>
                <w:color w:val="auto"/>
                <w:w w:val="90"/>
                <w:vertAlign w:val="superscript"/>
              </w:rPr>
              <w:t>(1)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for Sale Hereby</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1560" w:type="dxa"/>
            <w:vAlign w:val="bottom"/>
          </w:tcPr>
          <w:p>
            <w:pPr>
              <w:ind w:left="440"/>
              <w:spacing w:after="0" w:line="189" w:lineRule="exact"/>
              <w:rPr>
                <w:sz w:val="20"/>
                <w:szCs w:val="20"/>
                <w:color w:val="auto"/>
              </w:rPr>
            </w:pPr>
            <w:r>
              <w:rPr>
                <w:rFonts w:ascii="Arial" w:cs="Arial" w:eastAsia="Arial" w:hAnsi="Arial"/>
                <w:sz w:val="14"/>
                <w:szCs w:val="14"/>
                <w:b w:val="1"/>
                <w:bCs w:val="1"/>
                <w:color w:val="auto"/>
              </w:rPr>
              <w:t xml:space="preserve">Offering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color w:val="auto"/>
              </w:rPr>
              <w:t xml:space="preserve">Shinichiro J. Takiguchi </w:t>
            </w:r>
            <w:r>
              <w:rPr>
                <w:rFonts w:ascii="Arial" w:cs="Arial" w:eastAsia="Arial" w:hAnsi="Arial"/>
                <w:sz w:val="23"/>
                <w:szCs w:val="23"/>
                <w:color w:val="auto"/>
                <w:vertAlign w:val="superscript"/>
              </w:rPr>
              <w:t>(36)</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15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 Martin Chavez </w:t>
            </w:r>
            <w:r>
              <w:rPr>
                <w:rFonts w:ascii="Arial" w:cs="Arial" w:eastAsia="Arial" w:hAnsi="Arial"/>
                <w:sz w:val="23"/>
                <w:szCs w:val="23"/>
                <w:color w:val="auto"/>
                <w:vertAlign w:val="superscript"/>
              </w:rPr>
              <w:t>(37)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Ling Feng Pu </w:t>
            </w:r>
            <w:r>
              <w:rPr>
                <w:rFonts w:ascii="Arial" w:cs="Arial" w:eastAsia="Arial" w:hAnsi="Arial"/>
                <w:sz w:val="23"/>
                <w:szCs w:val="23"/>
                <w:color w:val="auto"/>
                <w:vertAlign w:val="superscript"/>
              </w:rPr>
              <w:t>(38)</w:t>
            </w:r>
          </w:p>
        </w:tc>
        <w:tc>
          <w:tcPr>
            <w:tcW w:w="138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Mitchell Dillon </w:t>
            </w:r>
            <w:r>
              <w:rPr>
                <w:rFonts w:ascii="Arial" w:cs="Arial" w:eastAsia="Arial" w:hAnsi="Arial"/>
                <w:sz w:val="23"/>
                <w:szCs w:val="23"/>
                <w:color w:val="auto"/>
                <w:vertAlign w:val="superscript"/>
              </w:rPr>
              <w:t>(39)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Ming Xue </w:t>
            </w:r>
            <w:r>
              <w:rPr>
                <w:rFonts w:ascii="Arial" w:cs="Arial" w:eastAsia="Arial" w:hAnsi="Arial"/>
                <w:sz w:val="23"/>
                <w:szCs w:val="23"/>
                <w:color w:val="auto"/>
                <w:vertAlign w:val="superscript"/>
              </w:rPr>
              <w:t>(40)</w:t>
            </w:r>
          </w:p>
        </w:tc>
        <w:tc>
          <w:tcPr>
            <w:tcW w:w="1380" w:type="dxa"/>
            <w:vAlign w:val="bottom"/>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Rong Chen </w:t>
            </w:r>
            <w:r>
              <w:rPr>
                <w:rFonts w:ascii="Arial" w:cs="Arial" w:eastAsia="Arial" w:hAnsi="Arial"/>
                <w:sz w:val="23"/>
                <w:szCs w:val="23"/>
                <w:color w:val="auto"/>
                <w:vertAlign w:val="superscript"/>
              </w:rPr>
              <w:t>(41)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735,198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Meng Ma </w:t>
            </w:r>
            <w:r>
              <w:rPr>
                <w:rFonts w:ascii="Arial" w:cs="Arial" w:eastAsia="Arial" w:hAnsi="Arial"/>
                <w:sz w:val="23"/>
                <w:szCs w:val="23"/>
                <w:color w:val="auto"/>
                <w:vertAlign w:val="superscript"/>
              </w:rPr>
              <w:t>(42)</w:t>
            </w:r>
          </w:p>
        </w:tc>
        <w:tc>
          <w:tcPr>
            <w:tcW w:w="1380" w:type="dxa"/>
            <w:vAlign w:val="bottom"/>
          </w:tcPr>
          <w:p>
            <w:pPr>
              <w:jc w:val="right"/>
              <w:spacing w:after="0"/>
              <w:rPr>
                <w:sz w:val="20"/>
                <w:szCs w:val="20"/>
                <w:color w:val="auto"/>
              </w:rPr>
            </w:pPr>
            <w:r>
              <w:rPr>
                <w:rFonts w:ascii="Arial" w:cs="Arial" w:eastAsia="Arial" w:hAnsi="Arial"/>
                <w:sz w:val="18"/>
                <w:szCs w:val="18"/>
                <w:color w:val="auto"/>
              </w:rPr>
              <w:t>13,744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13,744</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Richie Casimir </w:t>
            </w:r>
            <w:r>
              <w:rPr>
                <w:rFonts w:ascii="Arial" w:cs="Arial" w:eastAsia="Arial" w:hAnsi="Arial"/>
                <w:sz w:val="23"/>
                <w:szCs w:val="23"/>
                <w:color w:val="auto"/>
                <w:vertAlign w:val="superscript"/>
              </w:rPr>
              <w:t>(43)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Dalia Herrera </w:t>
            </w:r>
            <w:r>
              <w:rPr>
                <w:rFonts w:ascii="Arial" w:cs="Arial" w:eastAsia="Arial" w:hAnsi="Arial"/>
                <w:sz w:val="23"/>
                <w:szCs w:val="23"/>
                <w:color w:val="auto"/>
                <w:vertAlign w:val="superscript"/>
              </w:rPr>
              <w:t>(44)</w:t>
            </w:r>
          </w:p>
        </w:tc>
        <w:tc>
          <w:tcPr>
            <w:tcW w:w="138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Kathleen Moscarda-Cruz </w:t>
            </w:r>
            <w:r>
              <w:rPr>
                <w:rFonts w:ascii="Arial" w:cs="Arial" w:eastAsia="Arial" w:hAnsi="Arial"/>
                <w:sz w:val="23"/>
                <w:szCs w:val="23"/>
                <w:color w:val="auto"/>
                <w:vertAlign w:val="superscript"/>
              </w:rPr>
              <w:t>(45)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Xin Sui </w:t>
            </w:r>
            <w:r>
              <w:rPr>
                <w:rFonts w:ascii="Arial" w:cs="Arial" w:eastAsia="Arial" w:hAnsi="Arial"/>
                <w:sz w:val="23"/>
                <w:szCs w:val="23"/>
                <w:color w:val="auto"/>
                <w:vertAlign w:val="superscript"/>
              </w:rPr>
              <w:t>(46)</w:t>
            </w:r>
          </w:p>
        </w:tc>
        <w:tc>
          <w:tcPr>
            <w:tcW w:w="1380" w:type="dxa"/>
            <w:vAlign w:val="bottom"/>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Huan Wang </w:t>
            </w:r>
            <w:r>
              <w:rPr>
                <w:rFonts w:ascii="Arial" w:cs="Arial" w:eastAsia="Arial" w:hAnsi="Arial"/>
                <w:sz w:val="23"/>
                <w:szCs w:val="23"/>
                <w:color w:val="auto"/>
                <w:vertAlign w:val="superscript"/>
              </w:rPr>
              <w:t>(47)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Kejian Zhang </w:t>
            </w:r>
            <w:r>
              <w:rPr>
                <w:rFonts w:ascii="Arial" w:cs="Arial" w:eastAsia="Arial" w:hAnsi="Arial"/>
                <w:sz w:val="23"/>
                <w:szCs w:val="23"/>
                <w:color w:val="auto"/>
                <w:vertAlign w:val="superscript"/>
              </w:rPr>
              <w:t>(48)</w:t>
            </w:r>
          </w:p>
        </w:tc>
        <w:tc>
          <w:tcPr>
            <w:tcW w:w="1380" w:type="dxa"/>
            <w:vAlign w:val="bottom"/>
          </w:tcPr>
          <w:p>
            <w:pPr>
              <w:jc w:val="right"/>
              <w:spacing w:after="0"/>
              <w:rPr>
                <w:sz w:val="20"/>
                <w:szCs w:val="20"/>
                <w:color w:val="auto"/>
              </w:rPr>
            </w:pPr>
            <w:r>
              <w:rPr>
                <w:rFonts w:ascii="Arial" w:cs="Arial" w:eastAsia="Arial" w:hAnsi="Arial"/>
                <w:sz w:val="18"/>
                <w:szCs w:val="18"/>
                <w:color w:val="auto"/>
              </w:rPr>
              <w:t>44,322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38,518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Avram Billig </w:t>
            </w:r>
            <w:r>
              <w:rPr>
                <w:rFonts w:ascii="Arial" w:cs="Arial" w:eastAsia="Arial" w:hAnsi="Arial"/>
                <w:sz w:val="23"/>
                <w:szCs w:val="23"/>
                <w:color w:val="auto"/>
                <w:vertAlign w:val="superscript"/>
              </w:rPr>
              <w:t>(49)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Carol R. Gottesman </w:t>
            </w:r>
            <w:r>
              <w:rPr>
                <w:rFonts w:ascii="Arial" w:cs="Arial" w:eastAsia="Arial" w:hAnsi="Arial"/>
                <w:sz w:val="23"/>
                <w:szCs w:val="23"/>
                <w:color w:val="auto"/>
                <w:vertAlign w:val="superscript"/>
              </w:rPr>
              <w:t>(50)</w:t>
            </w:r>
          </w:p>
        </w:tc>
        <w:tc>
          <w:tcPr>
            <w:tcW w:w="138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Emmett Higgins </w:t>
            </w:r>
            <w:r>
              <w:rPr>
                <w:rFonts w:ascii="Arial" w:cs="Arial" w:eastAsia="Arial" w:hAnsi="Arial"/>
                <w:sz w:val="23"/>
                <w:szCs w:val="23"/>
                <w:color w:val="auto"/>
                <w:vertAlign w:val="superscript"/>
              </w:rPr>
              <w:t>(51)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Shilong Li </w:t>
            </w:r>
            <w:r>
              <w:rPr>
                <w:rFonts w:ascii="Arial" w:cs="Arial" w:eastAsia="Arial" w:hAnsi="Arial"/>
                <w:sz w:val="23"/>
                <w:szCs w:val="23"/>
                <w:color w:val="auto"/>
                <w:vertAlign w:val="superscript"/>
              </w:rPr>
              <w:t>(52)</w:t>
            </w:r>
          </w:p>
        </w:tc>
        <w:tc>
          <w:tcPr>
            <w:tcW w:w="138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Olga Lukatskaya </w:t>
            </w:r>
            <w:r>
              <w:rPr>
                <w:rFonts w:ascii="Arial" w:cs="Arial" w:eastAsia="Arial" w:hAnsi="Arial"/>
                <w:sz w:val="23"/>
                <w:szCs w:val="23"/>
                <w:color w:val="auto"/>
                <w:vertAlign w:val="superscript"/>
              </w:rPr>
              <w:t>(53)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Milind C. Mahajan </w:t>
            </w:r>
            <w:r>
              <w:rPr>
                <w:rFonts w:ascii="Arial" w:cs="Arial" w:eastAsia="Arial" w:hAnsi="Arial"/>
                <w:sz w:val="23"/>
                <w:szCs w:val="23"/>
                <w:color w:val="auto"/>
                <w:vertAlign w:val="superscript"/>
              </w:rPr>
              <w:t>(54)</w:t>
            </w:r>
          </w:p>
        </w:tc>
        <w:tc>
          <w:tcPr>
            <w:tcW w:w="1380" w:type="dxa"/>
            <w:vAlign w:val="bottom"/>
          </w:tcPr>
          <w:p>
            <w:pPr>
              <w:jc w:val="right"/>
              <w:spacing w:after="0"/>
              <w:rPr>
                <w:sz w:val="20"/>
                <w:szCs w:val="20"/>
                <w:color w:val="auto"/>
              </w:rPr>
            </w:pPr>
            <w:r>
              <w:rPr>
                <w:rFonts w:ascii="Arial" w:cs="Arial" w:eastAsia="Arial" w:hAnsi="Arial"/>
                <w:sz w:val="18"/>
                <w:szCs w:val="18"/>
                <w:color w:val="auto"/>
              </w:rPr>
              <w:t>63,321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50,859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Frank Makosiej </w:t>
            </w:r>
            <w:r>
              <w:rPr>
                <w:rFonts w:ascii="Arial" w:cs="Arial" w:eastAsia="Arial" w:hAnsi="Arial"/>
                <w:sz w:val="23"/>
                <w:szCs w:val="23"/>
                <w:color w:val="auto"/>
                <w:vertAlign w:val="superscript"/>
              </w:rPr>
              <w:t>(55)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Sanjaya W. Punyasena </w:t>
            </w:r>
            <w:r>
              <w:rPr>
                <w:rFonts w:ascii="Arial" w:cs="Arial" w:eastAsia="Arial" w:hAnsi="Arial"/>
                <w:sz w:val="23"/>
                <w:szCs w:val="23"/>
                <w:color w:val="auto"/>
                <w:vertAlign w:val="superscript"/>
              </w:rPr>
              <w:t>(56)</w:t>
            </w:r>
          </w:p>
        </w:tc>
        <w:tc>
          <w:tcPr>
            <w:tcW w:w="1380" w:type="dxa"/>
            <w:vAlign w:val="bottom"/>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Molly Madden </w:t>
            </w:r>
            <w:r>
              <w:rPr>
                <w:rFonts w:ascii="Arial" w:cs="Arial" w:eastAsia="Arial" w:hAnsi="Arial"/>
                <w:sz w:val="23"/>
                <w:szCs w:val="23"/>
                <w:color w:val="auto"/>
                <w:vertAlign w:val="superscript"/>
              </w:rPr>
              <w:t>(57)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Bino Mathew </w:t>
            </w:r>
            <w:r>
              <w:rPr>
                <w:rFonts w:ascii="Arial" w:cs="Arial" w:eastAsia="Arial" w:hAnsi="Arial"/>
                <w:sz w:val="23"/>
                <w:szCs w:val="23"/>
                <w:color w:val="auto"/>
                <w:vertAlign w:val="superscript"/>
              </w:rPr>
              <w:t>(58)</w:t>
            </w:r>
          </w:p>
        </w:tc>
        <w:tc>
          <w:tcPr>
            <w:tcW w:w="1380" w:type="dxa"/>
            <w:vAlign w:val="bottom"/>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8,248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Daniel Sisco </w:t>
            </w:r>
            <w:r>
              <w:rPr>
                <w:rFonts w:ascii="Arial" w:cs="Arial" w:eastAsia="Arial" w:hAnsi="Arial"/>
                <w:sz w:val="23"/>
                <w:szCs w:val="23"/>
                <w:color w:val="auto"/>
                <w:vertAlign w:val="superscript"/>
              </w:rPr>
              <w:t>(59)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Patricia Taik </w:t>
            </w:r>
            <w:r>
              <w:rPr>
                <w:rFonts w:ascii="Arial" w:cs="Arial" w:eastAsia="Arial" w:hAnsi="Arial"/>
                <w:sz w:val="23"/>
                <w:szCs w:val="23"/>
                <w:color w:val="auto"/>
                <w:vertAlign w:val="superscript"/>
              </w:rPr>
              <w:t>(60)</w:t>
            </w:r>
          </w:p>
        </w:tc>
        <w:tc>
          <w:tcPr>
            <w:tcW w:w="1380" w:type="dxa"/>
            <w:vAlign w:val="bottom"/>
          </w:tcPr>
          <w:p>
            <w:pPr>
              <w:jc w:val="right"/>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4,467</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Anthony Prentice </w:t>
            </w:r>
            <w:r>
              <w:rPr>
                <w:rFonts w:ascii="Arial" w:cs="Arial" w:eastAsia="Arial" w:hAnsi="Arial"/>
                <w:sz w:val="23"/>
                <w:szCs w:val="23"/>
                <w:color w:val="auto"/>
                <w:vertAlign w:val="superscript"/>
              </w:rPr>
              <w:t>(61)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2,178,164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2,178,164</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Daniel Clark </w:t>
            </w:r>
            <w:r>
              <w:rPr>
                <w:rFonts w:ascii="Arial" w:cs="Arial" w:eastAsia="Arial" w:hAnsi="Arial"/>
                <w:sz w:val="23"/>
                <w:szCs w:val="23"/>
                <w:color w:val="auto"/>
                <w:vertAlign w:val="superscript"/>
              </w:rPr>
              <w:t>(62)</w:t>
            </w:r>
          </w:p>
        </w:tc>
        <w:tc>
          <w:tcPr>
            <w:tcW w:w="1380" w:type="dxa"/>
            <w:vAlign w:val="bottom"/>
          </w:tcPr>
          <w:p>
            <w:pPr>
              <w:jc w:val="right"/>
              <w:spacing w:after="0"/>
              <w:rPr>
                <w:sz w:val="20"/>
                <w:szCs w:val="20"/>
                <w:color w:val="auto"/>
              </w:rPr>
            </w:pPr>
            <w:r>
              <w:rPr>
                <w:rFonts w:ascii="Arial" w:cs="Arial" w:eastAsia="Arial" w:hAnsi="Arial"/>
                <w:sz w:val="18"/>
                <w:szCs w:val="18"/>
                <w:color w:val="auto"/>
              </w:rPr>
              <w:t>1,400,178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1,400,178</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Eric Schadt </w:t>
            </w:r>
            <w:r>
              <w:rPr>
                <w:rFonts w:ascii="Arial" w:cs="Arial" w:eastAsia="Arial" w:hAnsi="Arial"/>
                <w:sz w:val="23"/>
                <w:szCs w:val="23"/>
                <w:color w:val="auto"/>
                <w:vertAlign w:val="superscript"/>
              </w:rPr>
              <w:t>(63)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7,440,287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7,440,287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James M. Coffin </w:t>
            </w:r>
            <w:r>
              <w:rPr>
                <w:rFonts w:ascii="Arial" w:cs="Arial" w:eastAsia="Arial" w:hAnsi="Arial"/>
                <w:sz w:val="23"/>
                <w:szCs w:val="23"/>
                <w:color w:val="auto"/>
                <w:vertAlign w:val="superscript"/>
              </w:rPr>
              <w:t>(64)</w:t>
            </w:r>
          </w:p>
        </w:tc>
        <w:tc>
          <w:tcPr>
            <w:tcW w:w="1380" w:type="dxa"/>
            <w:vAlign w:val="bottom"/>
          </w:tcPr>
          <w:p>
            <w:pPr>
              <w:jc w:val="right"/>
              <w:spacing w:after="0"/>
              <w:rPr>
                <w:sz w:val="20"/>
                <w:szCs w:val="20"/>
                <w:color w:val="auto"/>
              </w:rPr>
            </w:pPr>
            <w:r>
              <w:rPr>
                <w:rFonts w:ascii="Arial" w:cs="Arial" w:eastAsia="Arial" w:hAnsi="Arial"/>
                <w:sz w:val="18"/>
                <w:szCs w:val="18"/>
                <w:color w:val="auto"/>
              </w:rPr>
              <w:t>2,726,455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2,726,455</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Karen White </w:t>
            </w:r>
            <w:r>
              <w:rPr>
                <w:rFonts w:ascii="Arial" w:cs="Arial" w:eastAsia="Arial" w:hAnsi="Arial"/>
                <w:sz w:val="23"/>
                <w:szCs w:val="23"/>
                <w:color w:val="auto"/>
                <w:vertAlign w:val="superscript"/>
              </w:rPr>
              <w:t>(65)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90,173</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Rachel Sherman </w:t>
            </w:r>
            <w:r>
              <w:rPr>
                <w:rFonts w:ascii="Arial" w:cs="Arial" w:eastAsia="Arial" w:hAnsi="Arial"/>
                <w:sz w:val="23"/>
                <w:szCs w:val="23"/>
                <w:color w:val="auto"/>
                <w:vertAlign w:val="superscript"/>
              </w:rPr>
              <w:t>(66)</w:t>
            </w:r>
          </w:p>
        </w:tc>
        <w:tc>
          <w:tcPr>
            <w:tcW w:w="1380" w:type="dxa"/>
            <w:vAlign w:val="bottom"/>
          </w:tcPr>
          <w:p>
            <w:pPr>
              <w:jc w:val="right"/>
              <w:spacing w:after="0"/>
              <w:rPr>
                <w:sz w:val="20"/>
                <w:szCs w:val="20"/>
                <w:color w:val="auto"/>
              </w:rPr>
            </w:pPr>
            <w:r>
              <w:rPr>
                <w:rFonts w:ascii="Arial" w:cs="Arial" w:eastAsia="Arial" w:hAnsi="Arial"/>
                <w:sz w:val="18"/>
                <w:szCs w:val="18"/>
                <w:color w:val="auto"/>
              </w:rPr>
              <w:t>204,311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204,311</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CMLS Holdings LLC </w:t>
            </w:r>
            <w:r>
              <w:rPr>
                <w:rFonts w:ascii="Arial" w:cs="Arial" w:eastAsia="Arial" w:hAnsi="Arial"/>
                <w:sz w:val="23"/>
                <w:szCs w:val="23"/>
                <w:color w:val="auto"/>
                <w:vertAlign w:val="superscript"/>
              </w:rPr>
              <w:t>(67)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17,730,419</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17,730,419</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Nat Turner </w:t>
            </w:r>
            <w:r>
              <w:rPr>
                <w:rFonts w:ascii="Arial" w:cs="Arial" w:eastAsia="Arial" w:hAnsi="Arial"/>
                <w:sz w:val="23"/>
                <w:szCs w:val="23"/>
                <w:color w:val="auto"/>
                <w:vertAlign w:val="superscript"/>
              </w:rPr>
              <w:t>(68)</w:t>
            </w:r>
          </w:p>
        </w:tc>
        <w:tc>
          <w:tcPr>
            <w:tcW w:w="1380" w:type="dxa"/>
            <w:vAlign w:val="bottom"/>
          </w:tcPr>
          <w:p>
            <w:pPr>
              <w:jc w:val="right"/>
              <w:spacing w:after="0"/>
              <w:rPr>
                <w:sz w:val="20"/>
                <w:szCs w:val="20"/>
                <w:color w:val="auto"/>
              </w:rPr>
            </w:pPr>
            <w:r>
              <w:rPr>
                <w:rFonts w:ascii="Arial" w:cs="Arial" w:eastAsia="Arial" w:hAnsi="Arial"/>
                <w:sz w:val="18"/>
                <w:szCs w:val="18"/>
                <w:color w:val="auto"/>
              </w:rPr>
              <w:t>191,666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191,666</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Emily Leproust </w:t>
            </w:r>
            <w:r>
              <w:rPr>
                <w:rFonts w:ascii="Arial" w:cs="Arial" w:eastAsia="Arial" w:hAnsi="Arial"/>
                <w:sz w:val="23"/>
                <w:szCs w:val="23"/>
                <w:color w:val="auto"/>
                <w:vertAlign w:val="superscript"/>
              </w:rPr>
              <w:t>(69)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191,666</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260" w:type="dxa"/>
            <w:vAlign w:val="bottom"/>
            <w:gridSpan w:val="2"/>
          </w:tcPr>
          <w:p>
            <w:pPr>
              <w:ind w:left="20"/>
              <w:spacing w:after="0" w:line="239" w:lineRule="exact"/>
              <w:rPr>
                <w:sz w:val="20"/>
                <w:szCs w:val="20"/>
                <w:color w:val="auto"/>
              </w:rPr>
            </w:pPr>
            <w:r>
              <w:rPr>
                <w:rFonts w:ascii="Arial" w:cs="Arial" w:eastAsia="Arial" w:hAnsi="Arial"/>
                <w:sz w:val="18"/>
                <w:szCs w:val="18"/>
                <w:color w:val="auto"/>
              </w:rPr>
              <w:t xml:space="preserve">Entities advised by Casdin Capital </w:t>
            </w:r>
            <w:r>
              <w:rPr>
                <w:rFonts w:ascii="Arial" w:cs="Arial" w:eastAsia="Arial" w:hAnsi="Arial"/>
                <w:sz w:val="23"/>
                <w:szCs w:val="23"/>
                <w:color w:val="auto"/>
                <w:vertAlign w:val="superscript"/>
              </w:rPr>
              <w:t>(70)</w:t>
            </w:r>
          </w:p>
        </w:tc>
        <w:tc>
          <w:tcPr>
            <w:tcW w:w="13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230,438,686</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229,657,978</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780,708</w:t>
            </w:r>
          </w:p>
        </w:tc>
        <w:tc>
          <w:tcPr>
            <w:tcW w:w="100" w:type="dxa"/>
            <w:vAlign w:val="bottom"/>
          </w:tcPr>
          <w:p>
            <w:pPr>
              <w:spacing w:after="0"/>
              <w:rPr>
                <w:sz w:val="20"/>
                <w:szCs w:val="20"/>
                <w:color w:val="auto"/>
              </w:rPr>
            </w:pPr>
          </w:p>
        </w:tc>
        <w:tc>
          <w:tcPr>
            <w:tcW w:w="1560" w:type="dxa"/>
            <w:vAlign w:val="bottom"/>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Warrants to Purchase Common Stock</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Number Beneficially</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Number Registered for</w:t>
            </w: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Beneficially</w:t>
            </w:r>
          </w:p>
        </w:tc>
        <w:tc>
          <w:tcPr>
            <w:tcW w:w="15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4700" w:type="dxa"/>
            <w:vAlign w:val="bottom"/>
            <w:gridSpan w:val="2"/>
            <w:vMerge w:val="restart"/>
          </w:tcPr>
          <w:p>
            <w:pPr>
              <w:ind w:left="214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Owned Prior to</w:t>
            </w:r>
          </w:p>
        </w:tc>
        <w:tc>
          <w:tcPr>
            <w:tcW w:w="166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Offering</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Sale Hereby</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Owned After Offering</w:t>
            </w:r>
          </w:p>
        </w:tc>
        <w:tc>
          <w:tcPr>
            <w:tcW w:w="1560" w:type="dxa"/>
            <w:vAlign w:val="bottom"/>
          </w:tcPr>
          <w:p>
            <w:pPr>
              <w:ind w:left="420"/>
              <w:spacing w:after="0"/>
              <w:rPr>
                <w:sz w:val="20"/>
                <w:szCs w:val="20"/>
                <w:color w:val="auto"/>
              </w:rPr>
            </w:pPr>
            <w:r>
              <w:rPr>
                <w:rFonts w:ascii="Arial" w:cs="Arial" w:eastAsia="Arial" w:hAnsi="Arial"/>
                <w:sz w:val="14"/>
                <w:szCs w:val="14"/>
                <w:b w:val="1"/>
                <w:bCs w:val="1"/>
                <w:color w:val="auto"/>
              </w:rPr>
              <w:t>Offering (2)</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CMLS Holdings LLC </w:t>
            </w:r>
            <w:r>
              <w:rPr>
                <w:rFonts w:ascii="Arial" w:cs="Arial" w:eastAsia="Arial" w:hAnsi="Arial"/>
                <w:sz w:val="23"/>
                <w:szCs w:val="23"/>
                <w:color w:val="auto"/>
                <w:vertAlign w:val="superscript"/>
              </w:rPr>
              <w:t>(67)</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6,736,669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6,736,669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Nat Turner </w:t>
            </w:r>
            <w:r>
              <w:rPr>
                <w:rFonts w:ascii="Arial" w:cs="Arial" w:eastAsia="Arial" w:hAnsi="Arial"/>
                <w:sz w:val="23"/>
                <w:szCs w:val="23"/>
                <w:color w:val="auto"/>
                <w:vertAlign w:val="superscript"/>
              </w:rPr>
              <w:t>(68)</w:t>
            </w:r>
          </w:p>
        </w:tc>
        <w:tc>
          <w:tcPr>
            <w:tcW w:w="1560" w:type="dxa"/>
            <w:vAlign w:val="bottom"/>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Emily Leproust </w:t>
            </w:r>
            <w:r>
              <w:rPr>
                <w:rFonts w:ascii="Arial" w:cs="Arial" w:eastAsia="Arial" w:hAnsi="Arial"/>
                <w:sz w:val="23"/>
                <w:szCs w:val="23"/>
                <w:color w:val="auto"/>
                <w:vertAlign w:val="superscript"/>
              </w:rPr>
              <w:t>(69)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 Munib Z. Islam </w:t>
            </w:r>
            <w:r>
              <w:rPr>
                <w:rFonts w:ascii="Arial" w:cs="Arial" w:eastAsia="Arial" w:hAnsi="Arial"/>
                <w:sz w:val="23"/>
                <w:szCs w:val="23"/>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166,666</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7,236,667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7,236,667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right="80" w:hanging="332"/>
        <w:spacing w:after="0" w:line="260" w:lineRule="auto"/>
        <w:tabs>
          <w:tab w:leader="none" w:pos="33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first table includes Prior PIPE Shares, Founder Shares, Legacy Sema4 Holder Shares, Legacy Sema4 Holder Equity Award Shares (including both shares beneficially owned as determined in accordance with Rule 13d-3 of the Exchange Act and additional shares underlying options to purchase common stock or RSUs which may be exercisable or vest within one year following the Closing), Earn-Out Shares (includes both shares beneficially owned as determined in accordance with Rule 13d-3 of the Exchange Act and shares which the holder has a contingent right to receive), and shares of common stock issuable upon exercise of the private placement warrants, and the second table includes the private placement warrants included in this table (collectively, the “Resale Securities”). We do not know when or in what amounts the Selling Securityholders will offer the Resale Securities for sale, if at all.</w:t>
      </w:r>
    </w:p>
    <w:p>
      <w:pPr>
        <w:ind w:left="340" w:right="460" w:hanging="332"/>
        <w:spacing w:after="0" w:line="260" w:lineRule="auto"/>
        <w:tabs>
          <w:tab w:leader="none" w:pos="33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percentage of shares or warrants to be beneficially owned after completion of the offering is calculated on the basis of 236,223,401 shares of Class A common stock outstanding, assuming the issuance of all Earn-Out Shares, and the exercise of all currently outstanding warrants, and the sale of all Resale Securities by the selling securityholders.</w:t>
      </w:r>
    </w:p>
    <w:p>
      <w:pPr>
        <w:ind w:left="340" w:right="580" w:hanging="332"/>
        <w:spacing w:after="0" w:line="241" w:lineRule="auto"/>
        <w:tabs>
          <w:tab w:leader="none" w:pos="332"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hereby offered consist of 107,000 Prior PIPE Shares held by Avidity Capital Fund II LP (“Avidity Capital”) and 843,000 Prior PIPE Shares held by Avidity Master Fund LP (“Avidity Master”).</w:t>
      </w:r>
    </w:p>
    <w:p>
      <w:pPr>
        <w:ind w:left="340" w:right="20" w:hanging="332"/>
        <w:spacing w:after="0" w:line="260" w:lineRule="auto"/>
        <w:tabs>
          <w:tab w:leader="none" w:pos="332" w:val="left"/>
        </w:tabs>
        <w:numPr>
          <w:ilvl w:val="0"/>
          <w:numId w:val="77"/>
        </w:numPr>
        <w:rPr>
          <w:rFonts w:ascii="Arial" w:cs="Arial" w:eastAsia="Arial" w:hAnsi="Arial"/>
          <w:sz w:val="13"/>
          <w:szCs w:val="13"/>
          <w:color w:val="auto"/>
        </w:rPr>
      </w:pPr>
      <w:r>
        <w:rPr>
          <w:rFonts w:ascii="Arial" w:cs="Arial" w:eastAsia="Arial" w:hAnsi="Arial"/>
          <w:sz w:val="13"/>
          <w:szCs w:val="13"/>
          <w:color w:val="auto"/>
        </w:rPr>
        <w:t>Shares hereby offered consist of 112,202 Prior PIPE Shares held by Blackrock Capital Allocation Trust, 221,910 Sema4 Holder Shares, 61,714 Prior PIPE Shares and 24,410 Earn-out Shares (consisting of 20,957 Allocated Earn-Out Shares and 3,453 Reallocated Earn-Out Shares) held by BlackRock Global Allocation Collective Fund, 36,407 Legacy Sema4 Holder Shares and 4,005 Earn-out Shares (consisting of 3,438 Allocated Earn-Out Shares and 567 Reallocated Earn-Out Shares) held by BlackRock Global Allocation Fund (Aust), 2,124,370 Legacy Sema4 Holder Shares, 580,473 Prior PIPE Shares and 233,680 Earn-out Shares (consisting of 200,637 Allocated Earn-Out Shares and 33,043 Reallocated Earn-Out Shares) held by BlackRock Global Allocation Fund, Inc., 16,717 Legacy Sema4 Holder Shares, 4,315 Prior PIPE Shares and 1,840 Earn-out Shares (consisting of 1,579 Allocated Earn-Out Shares and 261 Reallocated Earn-Out Shares) held by BlackRock Global Allocation Portfolio of BlackRock Series Fund, Inc., 743,993 Legacy Sema4 Holder Shares, 169,746 Prior PIPE Shares and 81,840 Earn-out Shares (consisting of 70,268 Allocated Earn-Out Shares and 11,572 Reallocated Earn-Out Shares) held by BlackRock Global Allocation V.I. Fund of BlackRock Variable Series Funds, Inc., 1,284,776 Legacy Sema4 Holder Shares, 419,014 Prior PIPE Shares and 141,325 Earn-out Shares (consisting of 121,342 Allocated Earn-Out Shares and 19,983 Reallocated Earn-Out Shares) held by BlackRock Global Funds - Global Allocation Fund, 112,069 Legacy Sema4 Holder Shares, 22,482 Prior PIPE Shares and 12,328 Earn-out Shares (consisting of 10,584 Allocated Earn-Out Shares and 1,744 Reallocated Earn-Out Shares) held by BlackRock Global Funds - Global Dynamic Equity Fund, 1,513,373 Legacy Sema4 Holder Shares,430,287 Prior PIPE Shares and 166,471 Earn-out Shares (consisting of 142,931 Allocated Earn-Out Shares and 23,540 Reallocated Earn-Out Shares) held by BlackRock Strategic Income Opportunities Portfolio of BlackRock Funds V. The registered holders of the referenced shares to be registered are the following funds and accounts under management by subsidiaries of BlackRock, Inc.: BlackRock Strategic Income Opportunities Portfolio of BlackRock Funds V; BlackRock Global Allocation Collective Fund; BlackRock Global Funds – Global Dynamic Equity Fund; BlackRock Global Allocation Portfolio of BlackRock Series Fund, Inc.; BlackRock Global Allocation Fund, Inc.; BlackRock Global Funds – Global Allocation Fund; BlackRock Global Allocation V.I. Fund of BlackRock Variable Series Funds, Inc.; BlackRock Global Allocation Fund (Aust); and BlackRock Capital Allocation Trust.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ind w:left="340" w:right="180" w:hanging="332"/>
        <w:spacing w:after="0" w:line="260" w:lineRule="auto"/>
        <w:tabs>
          <w:tab w:leader="none" w:pos="332" w:val="left"/>
        </w:tabs>
        <w:numPr>
          <w:ilvl w:val="0"/>
          <w:numId w:val="77"/>
        </w:numPr>
        <w:rPr>
          <w:rFonts w:ascii="Arial" w:cs="Arial" w:eastAsia="Arial" w:hAnsi="Arial"/>
          <w:sz w:val="13"/>
          <w:szCs w:val="13"/>
          <w:color w:val="auto"/>
        </w:rPr>
      </w:pPr>
      <w:r>
        <w:rPr>
          <w:rFonts w:ascii="Arial" w:cs="Arial" w:eastAsia="Arial" w:hAnsi="Arial"/>
          <w:sz w:val="13"/>
          <w:szCs w:val="13"/>
          <w:color w:val="auto"/>
        </w:rPr>
        <w:t>Shares hereby offered consist of 64,000 Prior PIPE Shares held by Corvex Dynamic Equity Select Master Fund LP (“Corvex Dynamic Fund”), 240,000 Prior PIPE Shares held by Corvex Master Fund LP (“Corvex Master Fund”) and 3,696,000 Prior PIPE Shares held by Corvex Select Equity Master Fund LP (“Corvex Select Fund”). Since January 2022, Keith Meister, Managing Partner and Chief Investment Officer of Corvex Management LP, has served as a director on the Board and as Chairman of the Audit Committee.</w:t>
      </w: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hereby offered consist of 1,500,000 Prior PIPE Shares held by JS Capital LLC.</w:t>
      </w:r>
    </w:p>
    <w:p>
      <w:pPr>
        <w:spacing w:after="0" w:line="1" w:lineRule="exact"/>
        <w:rPr>
          <w:rFonts w:ascii="Arial" w:cs="Arial" w:eastAsia="Arial" w:hAnsi="Arial"/>
          <w:sz w:val="14"/>
          <w:szCs w:val="14"/>
          <w:color w:val="auto"/>
        </w:rPr>
      </w:pPr>
    </w:p>
    <w:p>
      <w:pPr>
        <w:ind w:left="340" w:right="40" w:hanging="332"/>
        <w:spacing w:after="0" w:line="244" w:lineRule="auto"/>
        <w:tabs>
          <w:tab w:leader="none" w:pos="332"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hereby offered consist of 50,000 Prior PIPE Shares held by D. E. Shaw Oculus Portfolios, L.L.C. and 150,000 Prior PIPE Shares held by D. E. Shaw Valence Portfolios, L.L.C. (together with D. E. Shaw Oculus Portfolios, L.L.C., the “D. E. Shaw Entities”). Each of the D. E. Shaw Entities has the power to vote or to direct the vote of (and the power to dispose or direct the disposition of) the shares directly owned by it. D. E. Shaw &amp; Co., L.P. (“DESCO LP”), as the investment adviser of the D. E. Shaw Entities, may be deemed to have the shared power to vote or direct the vote of (and the shared power to dispose or direct the disposition of) the shares owned by the D. E. Shaw Entities. D. E. Shaw &amp; Co., L.L.C. (“DESCO LLC”), as the manager of the D. E. Shaw Entities, may be deemed to have the shared power to vote or direct the vote of (and the shared power to dispose or direct the disposition of) the shares owned by the D. E. Shaw Entities. Julius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9" w:lineRule="exact"/>
        <w:rPr>
          <w:sz w:val="20"/>
          <w:szCs w:val="20"/>
          <w:color w:val="auto"/>
        </w:rPr>
      </w:pPr>
    </w:p>
    <w:p>
      <w:pPr>
        <w:ind w:left="340" w:right="100"/>
        <w:spacing w:after="0" w:line="262" w:lineRule="auto"/>
        <w:rPr>
          <w:sz w:val="20"/>
          <w:szCs w:val="20"/>
          <w:color w:val="auto"/>
        </w:rPr>
      </w:pPr>
      <w:r>
        <w:rPr>
          <w:rFonts w:ascii="Arial" w:cs="Arial" w:eastAsia="Arial" w:hAnsi="Arial"/>
          <w:sz w:val="13"/>
          <w:szCs w:val="13"/>
          <w:color w:val="auto"/>
        </w:rPr>
        <w:t>Gaudio, Maximilian Stone, and Eric Wepsic, or their designees, exercise voting and investment control over the shares owned by the D. E. Shaw Entities on DESCO LP’s and DESCO LLC’s behalf. D. E. Shaw &amp; Co., Inc. (“DESCO Inc.”), as general partner of DESCO LP, may be deemed to have the shared power to vote or direct the vote of (and the shared power to dispose or direct the disposition of) the shares owned by the D. E. Shaw Entities. D. E. Shaw &amp; Co. II, Inc. (“DESCO II Inc.”), as managing member of DESCO LLC, may be deemed to have the shared power to vote or direct the vote of (and the shared power to dispose or direct the disposition of) the shares owned by the D. E. Shaw Entities. None of DESCO LP, DESCO LLC, DESCO Inc., or DESCO II Inc. owns any shares of the Company directly, and each such entity disclaims beneficial ownership of the shares owned by the D. E. Shaw Entities. 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shares owned by the D. E. Shaw Entities and, therefore, David E. Shaw may be deemed to be the beneficial owner of the shares owned by the D. E. Shaw Entities. David E. Shaw disclaims beneficial ownership of the shares owned by the D. E. Shaw Entities.</w:t>
      </w:r>
    </w:p>
    <w:p>
      <w:pPr>
        <w:spacing w:after="0" w:line="1" w:lineRule="exact"/>
        <w:rPr>
          <w:sz w:val="20"/>
          <w:szCs w:val="20"/>
          <w:color w:val="auto"/>
        </w:rPr>
      </w:pPr>
    </w:p>
    <w:p>
      <w:pPr>
        <w:ind w:left="340" w:right="120" w:hanging="332"/>
        <w:spacing w:after="0" w:line="260" w:lineRule="auto"/>
        <w:tabs>
          <w:tab w:leader="none" w:pos="332" w:val="left"/>
        </w:tabs>
        <w:numPr>
          <w:ilvl w:val="0"/>
          <w:numId w:val="78"/>
        </w:numPr>
        <w:rPr>
          <w:rFonts w:ascii="Arial" w:cs="Arial" w:eastAsia="Arial" w:hAnsi="Arial"/>
          <w:sz w:val="13"/>
          <w:szCs w:val="13"/>
          <w:color w:val="auto"/>
        </w:rPr>
      </w:pPr>
      <w:r>
        <w:rPr>
          <w:rFonts w:ascii="Arial" w:cs="Arial" w:eastAsia="Arial" w:hAnsi="Arial"/>
          <w:sz w:val="13"/>
          <w:szCs w:val="13"/>
          <w:color w:val="auto"/>
        </w:rPr>
        <w:t>Shares hereby offered consist of 1,375,000 Prior PIPE Shares, 5,549,244 Legacy Sema4 Holder Shares and 610,416 Earn-out Shares (consisting of 524,100 Allocated Earn-Out Shares and 86,316 Reallocated Earn-Out Shares) held by Deerfield Partners, L.P. (“Deerfield Partners”) and 1,375,000 Prior PIPE Shares, 5,549,244 Legacy Sema4 Holder Shares and 610,416 Earn-out Shares (consisting of 524,100 Allocated Earn-Out Shares and 86,316 Reallocated Earn-Out Shares) held by Deerfield Private Design Fund V, L.P. (“Deerfield Private Design”).</w:t>
      </w:r>
    </w:p>
    <w:p>
      <w:pPr>
        <w:ind w:left="340" w:right="80" w:hanging="332"/>
        <w:spacing w:after="0" w:line="241" w:lineRule="auto"/>
        <w:tabs>
          <w:tab w:leader="none" w:pos="332"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489,000 Prior PIPE Shares held by Destinations Multi Strategy Alternatives Fund, a series of Brinker Capital Destinations Trust (“Destination”), 67,000 Prior PIPE Shares held by Driehaus Event Driven Fund, a series of Driehaus Mutual Funds (“Driehaus Event Driven Fund”) and 444,000 Prior PIPE Shares held by Driehaus Life Sciences Master Fund, L.P. (“Driehaus Life Sciences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Shares hereby offered consist of 30,200 Prior PIPE Shares held by Booth &amp; Co., LLC fbo Variable Insurance Products Fund III: Growth Opportunities Portfolio, 217,600 Prior PIPE Shares</w:t>
      </w:r>
    </w:p>
    <w:p>
      <w:pPr>
        <w:spacing w:after="0" w:line="12" w:lineRule="exact"/>
        <w:rPr>
          <w:rFonts w:ascii="Arial" w:cs="Arial" w:eastAsia="Arial" w:hAnsi="Arial"/>
          <w:sz w:val="13"/>
          <w:szCs w:val="13"/>
          <w:color w:val="auto"/>
        </w:rPr>
      </w:pPr>
    </w:p>
    <w:p>
      <w:pPr>
        <w:ind w:left="340"/>
        <w:spacing w:after="0" w:line="241" w:lineRule="auto"/>
        <w:rPr>
          <w:rFonts w:ascii="Arial" w:cs="Arial" w:eastAsia="Arial" w:hAnsi="Arial"/>
          <w:sz w:val="13"/>
          <w:szCs w:val="13"/>
          <w:color w:val="auto"/>
        </w:rPr>
      </w:pPr>
      <w:r>
        <w:rPr>
          <w:rFonts w:ascii="Arial" w:cs="Arial" w:eastAsia="Arial" w:hAnsi="Arial"/>
          <w:sz w:val="14"/>
          <w:szCs w:val="14"/>
          <w:color w:val="auto"/>
        </w:rPr>
        <w:t>held by Mag &amp; Co fbo Fidelity Advisor Series I: Fidelity Advisor Growth Opportunities Fund, 7,600 Prior PIPE Shares held by WARMWIND + CO fbo Fidelity Advisor Series I: Fidelity Advisor Series Growth Opportunities Fund, 2,800 Prior PIPE Shares held by THISBE &amp; CO fbo Fidelity U.S. Growth Opportunities Investment Trust, and 17,187 Prior PIPE Shares held by THISBE &amp; CO fbo Fidelity NorthStar Fund.</w:t>
      </w:r>
    </w:p>
    <w:p>
      <w:pPr>
        <w:spacing w:after="0" w:line="1" w:lineRule="exact"/>
        <w:rPr>
          <w:rFonts w:ascii="Arial" w:cs="Arial" w:eastAsia="Arial" w:hAnsi="Arial"/>
          <w:sz w:val="13"/>
          <w:szCs w:val="13"/>
          <w:color w:val="auto"/>
        </w:rPr>
      </w:pPr>
    </w:p>
    <w:p>
      <w:pPr>
        <w:ind w:left="340" w:hanging="332"/>
        <w:spacing w:after="0" w:line="241" w:lineRule="auto"/>
        <w:tabs>
          <w:tab w:leader="none" w:pos="331"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500,000 Prior PIPE Shares held by MMF LT LLC (“MMF”), 1,008,874 Legacy Sema4 Holder Shares, and 110,977 Earn-out Shares (consisting of 95,283 Allocated Earn-Out Shares and 15,694 Reallocated Earn-Out Shares) held by Moore Strategic Ventures, LLC (“Moore Ventures”). Moore Capital Management, LP (“MCM LP”), the investment manager of MMF, has voting and investment control over the shares held by MMF. Louis M. Bacon controls the general partner of MCM LP and may be deemed the beneficial owner of the shares held by MMF. Mr. Bacon is also the indirect majority owner of MMF. Mr. Bacon is the indirect majority owner of MSV LLC, has voting and investment control over the shares held by MSV LLC, and may be deemed the beneficial owner of the shares held by MSV LLC. The address of MMF, MCM LP, MSV LLC and Mr. Bacon is 11 Times Square, 38th Floor, New York, New York 10036.</w:t>
      </w:r>
    </w:p>
    <w:p>
      <w:pPr>
        <w:spacing w:after="0" w:line="2" w:lineRule="exact"/>
        <w:rPr>
          <w:rFonts w:ascii="Arial" w:cs="Arial" w:eastAsia="Arial" w:hAnsi="Arial"/>
          <w:sz w:val="14"/>
          <w:szCs w:val="14"/>
          <w:color w:val="auto"/>
        </w:rPr>
      </w:pPr>
    </w:p>
    <w:p>
      <w:pPr>
        <w:ind w:left="340" w:right="40" w:hanging="332"/>
        <w:spacing w:after="0" w:line="241" w:lineRule="auto"/>
        <w:tabs>
          <w:tab w:leader="none" w:pos="337"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purposes of the first table, shares hereby offered consist of 100,000 Prior PIPE Shares and 166,666 shares of common stock underlying warrants that will become exercisable within 60 days of the Closing held by M. Munib Z. For the purposes of the second table, consists of 166,666 warrants. The first table assumes the exercise in full of the warrants held by M. Munib Z., and the second table assumes no exercise of the warrants held by M. Munib 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2,500,000 Prior PIPE Shares held by Perceptive Life Sciences Master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297,650 Prior PIPE Shares held by Sachem Head LP and 202,350 Prior PIPE Shares held by Sachem Head Master LP.</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7"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2,500,000 Prior PIPE Shares held by SB Northstar LP. SB Management Limited is the investment manager of SB Northstar LP and as such may be deemed to have voting and investment power over the securities held by SB Northstar LP. SB Management Limited is owned by Softbank Group Corp. The principal business address of SB Northstar LP is 190 Elgin Avenue, George Town, Grand Cayman KY1-9008, Cayman Islands.</w:t>
      </w:r>
    </w:p>
    <w:p>
      <w:pPr>
        <w:spacing w:after="0" w:line="1" w:lineRule="exact"/>
        <w:rPr>
          <w:rFonts w:ascii="Arial" w:cs="Arial" w:eastAsia="Arial" w:hAnsi="Arial"/>
          <w:sz w:val="14"/>
          <w:szCs w:val="14"/>
          <w:color w:val="auto"/>
        </w:rPr>
      </w:pPr>
    </w:p>
    <w:p>
      <w:pPr>
        <w:ind w:left="340" w:right="160" w:hanging="332"/>
        <w:spacing w:after="0" w:line="260" w:lineRule="auto"/>
        <w:tabs>
          <w:tab w:leader="none" w:pos="337" w:val="left"/>
        </w:tabs>
        <w:numPr>
          <w:ilvl w:val="0"/>
          <w:numId w:val="78"/>
        </w:numPr>
        <w:rPr>
          <w:rFonts w:ascii="Arial" w:cs="Arial" w:eastAsia="Arial" w:hAnsi="Arial"/>
          <w:sz w:val="13"/>
          <w:szCs w:val="13"/>
          <w:color w:val="auto"/>
        </w:rPr>
      </w:pPr>
      <w:r>
        <w:rPr>
          <w:rFonts w:ascii="Arial" w:cs="Arial" w:eastAsia="Arial" w:hAnsi="Arial"/>
          <w:sz w:val="13"/>
          <w:szCs w:val="13"/>
          <w:color w:val="auto"/>
        </w:rPr>
        <w:t>Shares hereby offered consist of 666,431 Prior PIPE Shares held by T. Rowe Price Health Sciences Fund (“T. Rowe Health Sciences Fund”), 53,808 Prior PIPE Shares held by TD Mutual Funds - TD Health Sciences Fund (“TD Health Sciences Fund”) and 29,761 Prior PIPE Shares held by T. Rowe Price Health Sciences Portfolio (“T. Rowe Health Sciences Portfolio”).</w:t>
      </w:r>
    </w:p>
    <w:p>
      <w:pPr>
        <w:ind w:left="340" w:right="120" w:hanging="332"/>
        <w:spacing w:after="0" w:line="241" w:lineRule="auto"/>
        <w:tabs>
          <w:tab w:leader="none" w:pos="337"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1,500,000 Prior PIPE Shares held by Third Point Loan LLC. (“TP Loan”). TP Loan holds the securities listed herein as nominee for funds managed and/or advised by Third Point LLC (Third Point”) and not in its individual capacity. Daniel S. Loeb is the Chief Executive Officer of Third Point. By reason of the provisions of Rule 13d-3 under the Securities Exchange Act of 1934, as amended, Third Point and Mr. Loeb may be deemed to be the beneficial owners of the securities beneficially owned by TP Loan. Third Point and Mr. Loeb hereby disclaim beneficial ownership of all such securities, except to the extent of any indirect pecuniary interest therein. The business address for Mr. Loeb and the entities identified in this footnote is c/o Third Point LLC, 55 Hudson Yards, 51st Floor, New York, NY 10001.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300,000 Prior PIPE Shares held by TBC 222 LLC.</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7"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2,187,500 Prior PIPE Shares held by Viking Global Equities Master Ltd. (“VGEM”), 44,643 Prior PIPE Shares held by Viking Global Equities II LP (“VGE II”) and 767,857 Prior PIPE Shares held by Viking Long Fund Master Ltd. (“VLFM” and together with VGEM and VGE II, the “Viking Funds”). O. Andreas Halvorsen, David C. Ott and Rose S. Shabet are Executive Committee members of certain management entities, including Viking Global Partners LLC, the general partner of Viking Global Investors LP (“VGI”), Viking Global Performance LLC (“VGP”) and Viking Long Fund GP LLC (“VLFGP”). VGI provides managerial services to various investment funds, including each of the Viking Funds. VGP serves as the investment manager of VGEM and is the general partner of VGE II. VLFGP serves as the investment manager of VLFM. Each of the Viking Funds, VGI, VGP, VLFGP, Mr. Halvorsen, Mr. Ott and Ms. Shabet may be deemed to beneficially own the shares reported in this prospectus.</w:t>
      </w:r>
    </w:p>
    <w:p>
      <w:pPr>
        <w:spacing w:after="0" w:line="2" w:lineRule="exact"/>
        <w:rPr>
          <w:rFonts w:ascii="Arial" w:cs="Arial" w:eastAsia="Arial" w:hAnsi="Arial"/>
          <w:sz w:val="14"/>
          <w:szCs w:val="14"/>
          <w:color w:val="auto"/>
        </w:rPr>
      </w:pPr>
    </w:p>
    <w:p>
      <w:pPr>
        <w:ind w:left="340" w:right="160" w:hanging="332"/>
        <w:spacing w:after="0" w:line="255" w:lineRule="auto"/>
        <w:tabs>
          <w:tab w:leader="none" w:pos="337"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hereby offered consist of 88,355,473 Legacy Sema4 Holder Shares and 11,597,198 Earn-out Shares (consisting of 9,957,284 Allocated Earn-Out Shares and 1,639,914 Reallocated Earn-Out Shares). The shares are held by ISMMS, a New York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9" w:lineRule="exact"/>
        <w:rPr>
          <w:sz w:val="20"/>
          <w:szCs w:val="20"/>
          <w:color w:val="auto"/>
        </w:rPr>
      </w:pPr>
    </w:p>
    <w:p>
      <w:pPr>
        <w:ind w:left="332" w:right="120"/>
        <w:spacing w:after="0" w:line="247" w:lineRule="auto"/>
        <w:rPr>
          <w:sz w:val="20"/>
          <w:szCs w:val="20"/>
          <w:color w:val="auto"/>
        </w:rPr>
      </w:pPr>
      <w:r>
        <w:rPr>
          <w:rFonts w:ascii="Arial" w:cs="Arial" w:eastAsia="Arial" w:hAnsi="Arial"/>
          <w:sz w:val="14"/>
          <w:szCs w:val="14"/>
          <w:color w:val="auto"/>
        </w:rPr>
        <w:t>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sz w:val="20"/>
          <w:szCs w:val="20"/>
          <w:color w:val="auto"/>
        </w:rPr>
      </w:pPr>
    </w:p>
    <w:p>
      <w:pPr>
        <w:ind w:left="332"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24,404,324 Legacy Sema4 Holder Shares and 3,203,218 Earn-out Shares (consisting of 2,750,264 Allocated Earn-Out Shares and 452,954 Reallocated Earn-Out Shares) held by BTO Sema4 Holdings L.P. (“BTO Sema4 Holdings”), 505,095 Legacy Sema4 Holder Shares and 66,297 Earn-out Shares (consisting of 56,922 Allocated Earn-Out Shares and 9,375 Reallocated Earn-Out Shares) held by Blackstone Tactical Opportunities Fund - FD L.P. (“Blackstone Opportunities Fund”) and 147,574 Legacy Sema4 Holder Shares and 19,371 Earn-out Shares (consisting of 16,632 Allocated Earn-Out Shares and 2,739 Reallocated Earn-Out Shares) held by Blackstone Family Tactical Opportunities Investment Partnership III ESC L.P. (“Blackstone Opportunities Partnership”).</w:t>
      </w:r>
    </w:p>
    <w:p>
      <w:pPr>
        <w:spacing w:after="0" w:line="1" w:lineRule="exact"/>
        <w:rPr>
          <w:rFonts w:ascii="Arial" w:cs="Arial" w:eastAsia="Arial" w:hAnsi="Arial"/>
          <w:sz w:val="14"/>
          <w:szCs w:val="14"/>
          <w:color w:val="auto"/>
        </w:rPr>
      </w:pPr>
    </w:p>
    <w:p>
      <w:pPr>
        <w:ind w:left="332" w:right="4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7,449,227 Legacy Sema4 Holder Shares and 819,416 Earn-out Shares (consisting of 703,545 Allocated Earn-Out Shares and 115,871 Reallocated Earn-Out Shares).</w:t>
      </w:r>
    </w:p>
    <w:p>
      <w:pPr>
        <w:ind w:left="332"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5,571,207 Legacy Sema4 Holder Shares and 731,255 Earn-Out Shares (consisting of 627,851 Allocated Earn-Out Shares and 103,404 Reallocated Earn-Out Shares).</w:t>
      </w:r>
    </w:p>
    <w:p>
      <w:pPr>
        <w:ind w:left="332" w:right="10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3,418,929 Legacy Sema4 Holder Shares and 376,083 Earn-out Shares (consisting of 322,902 Allocated Earn-Out Shares and 53,181 Reallocated Earn-Out Shares).</w:t>
      </w:r>
    </w:p>
    <w:p>
      <w:pPr>
        <w:ind w:left="332" w:right="44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520,380 Legacy Sema4 Holder Shares and 58,342 Earn-out Shares (consisting of 50,093 Allocated Earn-Out Shares and 8,249 Reallocated Earn-Out Shares).</w:t>
      </w:r>
    </w:p>
    <w:p>
      <w:pPr>
        <w:ind w:left="312" w:hanging="312"/>
        <w:spacing w:after="0"/>
        <w:tabs>
          <w:tab w:leader="none" w:pos="3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74,914 Earn-out Shares (consisting of 64,321 Allocated Earn-Out Shares and 10,593 Reallocated Earn-Out Shares).</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51,172 Legacy Sema4 Holder Shares and 6,495 Earn-out Shares (consisting of 5,578 Allocated Earn-Out Shares and 917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5,572 Legacy Sema4 Holder Shares and 614 Earn-out Shares (consisting of 527 Allocated Earn-Out Shares and 87 Reallocated Earn-Out Shares).</w:t>
      </w:r>
    </w:p>
    <w:p>
      <w:pPr>
        <w:spacing w:after="0" w:line="12" w:lineRule="exact"/>
        <w:rPr>
          <w:rFonts w:ascii="Arial" w:cs="Arial" w:eastAsia="Arial" w:hAnsi="Arial"/>
          <w:sz w:val="13"/>
          <w:szCs w:val="13"/>
          <w:color w:val="auto"/>
        </w:rPr>
      </w:pPr>
    </w:p>
    <w:p>
      <w:pPr>
        <w:ind w:left="332" w:right="12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3,869 Legacy Sema4 Holder Shares and 426 Earn-out Shares Earn-Out Shares (consisting of 366 Allocated Earn-Out Shares and 60 Reallocated Earn-Out Shares).</w:t>
      </w:r>
    </w:p>
    <w:p>
      <w:pPr>
        <w:ind w:left="332" w:right="16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9,470 Legacy Sema4 Holder Shares and 1,043 Earn-out Shares Earn-Out Shares (consisting of 894 Allocated Earn-Out Shares and 149 Reallocated Earn-Out Shares).</w:t>
      </w: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34,965 Legacy Sema4 Holder Shares and 3,846 Earn-out Shares (consisting of 3,303 Allocated Earn-Out Shares and 543 Reallocated Earn-Out Shares).</w:t>
      </w:r>
    </w:p>
    <w:p>
      <w:pPr>
        <w:spacing w:after="0" w:line="12" w:lineRule="exact"/>
        <w:rPr>
          <w:rFonts w:ascii="Arial" w:cs="Arial" w:eastAsia="Arial" w:hAnsi="Arial"/>
          <w:sz w:val="13"/>
          <w:szCs w:val="13"/>
          <w:color w:val="auto"/>
        </w:rPr>
      </w:pPr>
    </w:p>
    <w:p>
      <w:pPr>
        <w:ind w:left="332" w:right="2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146,512 Legacy Sema4 Holder Shares and 19,231 Earn-out Shares Earn-Out Shares (consisting of 16,512 Allocated Earn-Out Shares and 2,719 Reallocated Earn-Out Shares).</w:t>
      </w: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12,073 Legacy Sema4 Holder Shares and 1,328 Earn-out Shares (consisting of 1,139 Allocated Earn-Out Shares and 189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8,049 Legacy Sema4 Holder Shares and 885 Earn-out Shares (consisting of 761 Allocated Earn-Out Shares and 124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580 Legacy Sema4 Holder Shares and 63 Earn-out Shares (consisting of 54 Allocated Earn-Out Shares and 9 Reallocated Earn-Out Shares).</w:t>
      </w:r>
    </w:p>
    <w:p>
      <w:pPr>
        <w:spacing w:after="0" w:line="1" w:lineRule="exact"/>
        <w:rPr>
          <w:rFonts w:ascii="Arial" w:cs="Arial" w:eastAsia="Arial" w:hAnsi="Arial"/>
          <w:sz w:val="14"/>
          <w:szCs w:val="14"/>
          <w:color w:val="auto"/>
        </w:rPr>
      </w:pPr>
    </w:p>
    <w:p>
      <w:pPr>
        <w:ind w:left="332" w:right="12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3,141 Legacy Sema4 Holder Shares and 345 Earn-out Shares Earn-Out Shares (consisting of 297 Allocated Earn-Out Shares and 48 Reallocated Earn-Out Shares).</w:t>
      </w:r>
    </w:p>
    <w:p>
      <w:pPr>
        <w:ind w:left="332" w:right="44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161,933 Legacy Sema4 Holder Shares and 21,254 Earn-out Shares (consisting of 18,250 Allocated Earn-Out Shares and 3,004 Reallocated Earn-Out Shares).</w:t>
      </w: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6,036 Legacy Sema4 Holder Shares and 665 Earn-out Shares (consisting of 570 Allocated Earn-Out Shares and 95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773 Legacy Sema4 Holder Shares and 84 Earn-out Shares (consisting of 72 Allocated Earn-Out Shares and 12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8,049 Legacy Sema4 Holder Shares and 885 Earn-out Shares (consisting of 761 Allocated Earn-Out Shares and 124 Reallocated Earn-Out Shares).</w:t>
      </w:r>
    </w:p>
    <w:p>
      <w:pPr>
        <w:spacing w:after="0" w:line="12" w:lineRule="exact"/>
        <w:rPr>
          <w:rFonts w:ascii="Arial" w:cs="Arial" w:eastAsia="Arial" w:hAnsi="Arial"/>
          <w:sz w:val="13"/>
          <w:szCs w:val="13"/>
          <w:color w:val="auto"/>
        </w:rPr>
      </w:pPr>
    </w:p>
    <w:p>
      <w:pPr>
        <w:ind w:left="332" w:right="12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4,334 Legacy Sema4 Holder Shares and 477 Earn-out Shares Earn-Out Shares (consisting of 410 Allocated Earn-Out Shares and 67 Reallocated Earn-Out Shares).</w:t>
      </w: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12,383 Legacy Sema4 Holder Shares and 1,361 Earn-out Shares (consisting of 1,169 Allocated Earn-Out Shares and 192 Reallocated Earn-Out Shares).</w:t>
      </w:r>
    </w:p>
    <w:p>
      <w:pPr>
        <w:spacing w:after="0" w:line="12" w:lineRule="exact"/>
        <w:rPr>
          <w:rFonts w:ascii="Arial" w:cs="Arial" w:eastAsia="Arial" w:hAnsi="Arial"/>
          <w:sz w:val="13"/>
          <w:szCs w:val="13"/>
          <w:color w:val="auto"/>
        </w:rPr>
      </w:pPr>
    </w:p>
    <w:p>
      <w:pPr>
        <w:ind w:left="332" w:right="12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1,609 Legacy Sema4 Holder Shares and 177 Earn-out Shares Earn-Out Shares (consisting of 153 Allocated Earn-Out Shares and 24 Reallocated Earn-Out Shares).</w:t>
      </w: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1,349 Legacy Sema4 Holder Shares and 177 Earn-out Shares (consisting of 153 Allocated Earn-Out Shares and 24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1,609 Legacy Sema4 Holder Shares and 177 Earn-out Shares (consisting of 153 Allocated Earn-Out Shares and 24 Reallocated Earn-Out Shares).</w:t>
      </w:r>
    </w:p>
    <w:p>
      <w:pPr>
        <w:spacing w:after="0" w:line="12" w:lineRule="exact"/>
        <w:rPr>
          <w:rFonts w:ascii="Arial" w:cs="Arial" w:eastAsia="Arial" w:hAnsi="Arial"/>
          <w:sz w:val="13"/>
          <w:szCs w:val="13"/>
          <w:color w:val="auto"/>
        </w:rPr>
      </w:pPr>
    </w:p>
    <w:p>
      <w:pPr>
        <w:ind w:left="332" w:right="120" w:hanging="332"/>
        <w:spacing w:after="0" w:line="241" w:lineRule="auto"/>
        <w:tabs>
          <w:tab w:leader="none" w:pos="3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hereby offered consist of 6,036 Legacy Sema4 Holder Shares and 665 Earn-out Shares Earn-Out Shares (consisting of 570 Allocated Earn-Out Shares and 95 Reallocated Earn-Out Shares).</w:t>
      </w: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6,191 Legacy Sema4 Holder Shares and 681 Earn-out Shares (consisting of 585 Allocated Earn-Out Shares and 96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34,049 Legacy Sema4 Holder Shares and 4,469 Earn-out Shares (consisting of 3,837 Allocated Earn-Out Shares and 632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Shares hereby offered consist of 4,953 Legacy Sema4 Holder Shares and 545 Earn-out Shares (consisting of 468 Allocated Earn-Out Shares and 77 Reallocated Earn-Out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60" w:name="page161"/>
    <w:bookmarkEnd w:id="160"/>
    <w:p>
      <w:pPr>
        <w:spacing w:after="0" w:line="139" w:lineRule="exact"/>
        <w:rPr>
          <w:sz w:val="20"/>
          <w:szCs w:val="20"/>
          <w:color w:val="auto"/>
        </w:rPr>
      </w:pP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2,414 Legacy Sema4 Holder Shares and 266 Earn-out Shares (consisting of 228 Allocated Earn-Out Shares and 38 Reallocated Earn-Out Shares).</w:t>
      </w:r>
    </w:p>
    <w:p>
      <w:pPr>
        <w:spacing w:after="0" w:line="24" w:lineRule="exact"/>
        <w:rPr>
          <w:rFonts w:ascii="Arial" w:cs="Arial" w:eastAsia="Arial" w:hAnsi="Arial"/>
          <w:sz w:val="13"/>
          <w:szCs w:val="13"/>
          <w:color w:val="auto"/>
        </w:rPr>
      </w:pP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5,805 Legacy Sema4 Holder Shares and 638 Earn-out Shares (consisting of 548 Allocated Earn-Out Shares and 90 Reallocated Earn-Out Shares).</w:t>
      </w:r>
    </w:p>
    <w:p>
      <w:pPr>
        <w:spacing w:after="0" w:line="12" w:lineRule="exact"/>
        <w:rPr>
          <w:rFonts w:ascii="Arial" w:cs="Arial" w:eastAsia="Arial" w:hAnsi="Arial"/>
          <w:sz w:val="13"/>
          <w:szCs w:val="13"/>
          <w:color w:val="auto"/>
        </w:rPr>
      </w:pPr>
    </w:p>
    <w:p>
      <w:pPr>
        <w:ind w:left="332" w:right="44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503 Legacy Sema4 Holder Shares and 63 Earn-out Shares Earn-Out Shares (consisting of 54 Allocated Earn-Out Shares and 9 Reallocated Earn-Out Shares).</w:t>
      </w: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6,036 Legacy Sema4 Holder Shares and 665 Earn-out Shares (consisting of 570 Allocated Earn-Out Shares and 95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45,818 Legacy Sema4 Holder Shares and 5,041 Earn-out Shares (consisting of 4,328 Allocated Earn-Out Shares and 713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4,641 Legacy Sema4 Holder Shares and 510 Earn-out Shares (consisting of 438 Allocated Earn-Out Shares and 72 Reallocated Earn-Out Shares).</w:t>
      </w:r>
    </w:p>
    <w:p>
      <w:pPr>
        <w:spacing w:after="0" w:line="12" w:lineRule="exact"/>
        <w:rPr>
          <w:rFonts w:ascii="Arial" w:cs="Arial" w:eastAsia="Arial" w:hAnsi="Arial"/>
          <w:sz w:val="13"/>
          <w:szCs w:val="13"/>
          <w:color w:val="auto"/>
        </w:rPr>
      </w:pPr>
    </w:p>
    <w:p>
      <w:pPr>
        <w:ind w:left="332" w:right="8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10,244 Legacy Sema4 Holder Shares and 1,127 Earn-out Shares Earn-Out Shares (consisting of 968 Allocated Earn-Out Shares and 159 Reallocated Earn-Out Shares).</w:t>
      </w: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2,414 Legacy Sema4 Holder Shares and 266 Earn-out Shares (consisting of 228 Allocated Earn-Out Shares and 38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7,430 Legacy Sema4 Holder Shares and 818 Earn-out Shares (consisting of 701 Allocated Earn-Out Shares and 117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18,575 Legacy Sema4 Holder Shares and 2,044 Earn-out Shares (consisting of 1,754 Allocated Earn-Out Shares and 290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80"/>
        </w:numPr>
        <w:rPr>
          <w:rFonts w:ascii="Arial" w:cs="Arial" w:eastAsia="Arial" w:hAnsi="Arial"/>
          <w:sz w:val="13"/>
          <w:szCs w:val="13"/>
          <w:color w:val="auto"/>
        </w:rPr>
      </w:pPr>
      <w:r>
        <w:rPr>
          <w:rFonts w:ascii="Arial" w:cs="Arial" w:eastAsia="Arial" w:hAnsi="Arial"/>
          <w:sz w:val="13"/>
          <w:szCs w:val="13"/>
          <w:color w:val="auto"/>
        </w:rPr>
        <w:t>Shares hereby offered consist of 4,024 Legacy Sema4 Holder Shares and 443 Earn-out Shares (consisting of 380 Allocated Earn-Out Shares and 63 Reallocated Earn-Out Shares).</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2,178,164 shares underlying options to purchase common stock that are exercisable within one year of the Closing.</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1,400,178 shares underlying options to purchase common stock that are exercisable within one year of the Closing.</w:t>
      </w:r>
    </w:p>
    <w:p>
      <w:pPr>
        <w:spacing w:after="0" w:line="1" w:lineRule="exact"/>
        <w:rPr>
          <w:rFonts w:ascii="Arial" w:cs="Arial" w:eastAsia="Arial" w:hAnsi="Arial"/>
          <w:sz w:val="14"/>
          <w:szCs w:val="14"/>
          <w:color w:val="auto"/>
        </w:rPr>
      </w:pPr>
    </w:p>
    <w:p>
      <w:pPr>
        <w:ind w:left="332" w:right="48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7,440,287 shares underlying options to purchase common stock that are exercisable within one year of the Closing. Mr. Schadt is member of Sema4 Holdings’ board of directors.</w:t>
      </w: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2,726,455 shares underlying options to purchase common stock that are exercisable within one year of the Closing.</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90,173 shares underlying options to purchase common stock that are exercisable within one year of the Closing.</w:t>
      </w:r>
    </w:p>
    <w:p>
      <w:pPr>
        <w:spacing w:after="0" w:line="1" w:lineRule="exact"/>
        <w:rPr>
          <w:rFonts w:ascii="Arial" w:cs="Arial" w:eastAsia="Arial" w:hAnsi="Arial"/>
          <w:sz w:val="14"/>
          <w:szCs w:val="14"/>
          <w:color w:val="auto"/>
        </w:rPr>
      </w:pPr>
    </w:p>
    <w:p>
      <w:pPr>
        <w:ind w:left="332" w:right="46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Shares hereby offered consist of 204,311 shares underlying options to purchase common stock that are exercisable within one year of the Closing. Ms. Sherman is member of Sema4 Holdings’ board of directors.</w:t>
      </w:r>
    </w:p>
    <w:p>
      <w:pPr>
        <w:ind w:left="332"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For the purposes of the first table, shares hereby offered consists of 10,993,750 Founder Shares and 6,736,669 shares of common stock underlying warrants that will become exercisable within 60 days of the Closing held by the Sponsor. For the purposes of the second table, consists of 6,736,669 warrants held by the Sponsor. The first table assumes the exercise in full of the warrants held by the Sponsor, and the second table assumes no exercise of the warrants held by the Sponsor. The Board of Managers of the Sponsor, or CMLS Holdings LLC, is comprised of Mr. Eli Casdin and Mr. Keith Meister who share voting and investment discretion with respect to the common stock held of record by CMLS Holdings LLC. Mr. Casdin is a member of Sema4 Holdings’ board of directors.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of the Sponsor is c/o Corvex Management LP, 667 Madison Avenue, New York, NY 10065. Since January 2022, Keith Meister, Managing Partner and Chief Investment Officer of Corvex Management LP, has served as a director on the Board and as Chairman of the Audit Committee.</w:t>
      </w:r>
    </w:p>
    <w:p>
      <w:pPr>
        <w:jc w:val="both"/>
        <w:ind w:left="332" w:right="20" w:hanging="332"/>
        <w:spacing w:after="0" w:line="241" w:lineRule="auto"/>
        <w:tabs>
          <w:tab w:leader="none" w:pos="329"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For purposes of the first table, shares hereby offered consist of 166,666 shares of common stock underlying warrants that will become exercisable within 60 days of the Closing held by Nat Turner and 25,000 Founder Shares. For the purposes of the second table, consists of 166,666 warrants. The first table assumes the exercise in full of the warrants held by Mr. Turner, and the second table assumes no exercise of the warrants held by Mr. Turner. Mr. Turner is member of Sema4 Holdings’ board of directors.</w:t>
      </w:r>
    </w:p>
    <w:p>
      <w:pPr>
        <w:spacing w:after="0" w:line="1" w:lineRule="exact"/>
        <w:rPr>
          <w:rFonts w:ascii="Arial" w:cs="Arial" w:eastAsia="Arial" w:hAnsi="Arial"/>
          <w:sz w:val="14"/>
          <w:szCs w:val="14"/>
          <w:color w:val="auto"/>
        </w:rPr>
      </w:pPr>
    </w:p>
    <w:p>
      <w:pPr>
        <w:ind w:left="332" w:right="60" w:hanging="332"/>
        <w:spacing w:after="0" w:line="260" w:lineRule="auto"/>
        <w:tabs>
          <w:tab w:leader="none" w:pos="329" w:val="left"/>
        </w:tabs>
        <w:numPr>
          <w:ilvl w:val="0"/>
          <w:numId w:val="80"/>
        </w:numPr>
        <w:rPr>
          <w:rFonts w:ascii="Arial" w:cs="Arial" w:eastAsia="Arial" w:hAnsi="Arial"/>
          <w:sz w:val="13"/>
          <w:szCs w:val="13"/>
          <w:color w:val="auto"/>
        </w:rPr>
      </w:pPr>
      <w:r>
        <w:rPr>
          <w:rFonts w:ascii="Arial" w:cs="Arial" w:eastAsia="Arial" w:hAnsi="Arial"/>
          <w:sz w:val="13"/>
          <w:szCs w:val="13"/>
          <w:color w:val="auto"/>
        </w:rPr>
        <w:t>For purposes of the first table, shares hereby offered consist 166,666 shares of common stock underlying warrants that will become exercisable within 60 days of the Closing held by Emily Leproust and 25,000 Founder Shares. For the purposes of the second table, consists of 166,666 warrants. The first table assumes the exercise in full of the warrants held by Ms. Leproust, and the second table assumes no exercise of the warrants held by Ms. Leproust. Ms. Leproust is member of Sema4 Holdings’ board of directors.</w:t>
      </w:r>
    </w:p>
    <w:p>
      <w:pPr>
        <w:ind w:left="332" w:right="20" w:hanging="332"/>
        <w:spacing w:after="0" w:line="300" w:lineRule="auto"/>
        <w:tabs>
          <w:tab w:leader="none" w:pos="329" w:val="left"/>
        </w:tabs>
        <w:numPr>
          <w:ilvl w:val="0"/>
          <w:numId w:val="80"/>
        </w:numPr>
        <w:rPr>
          <w:rFonts w:ascii="Arial" w:cs="Arial" w:eastAsia="Arial" w:hAnsi="Arial"/>
          <w:sz w:val="12"/>
          <w:szCs w:val="12"/>
          <w:color w:val="auto"/>
        </w:rPr>
      </w:pPr>
      <w:r>
        <w:rPr>
          <w:rFonts w:ascii="Arial" w:cs="Arial" w:eastAsia="Arial" w:hAnsi="Arial"/>
          <w:sz w:val="12"/>
          <w:szCs w:val="12"/>
          <w:color w:val="auto"/>
        </w:rPr>
        <w:t>Shares hereby consists of 5,000,000 Prior PIPE Shares held by Casdin Partners Master Fund L.P.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 Mr. Casdin is member of Sema4 Holdings’ board of directors. The business address of Casdin Partners Master Fund L.P. and Mr. Casdin is c/o Casdin Capital, LLC, 1260 Avenue of the Americas, Suite 2600,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61" w:name="page162"/>
    <w:bookmarkEnd w:id="16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OUR SECURITIES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Rule 144 under the Securities Act (“Rule 144”), a person who has beneficially owned shares of our common stock or warrants that were acquired from us in an unregistered, private sale (“restricted securities”) for at least six months would be entitled to sell their securities provided that (i) 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Persons who have beneficially owned restricted securities for at least six months but who are affiliates of ours at the time of, or at any time during the three months preceding, a sale, or who otherwise beneficially own shares of our common stock or warrants (“control securities”), would be subject to additional restrictions, by which such person would be entitled to sell within any three-month period only a number of securities that does not exceed the greater of:</w:t>
      </w:r>
    </w:p>
    <w:p>
      <w:pPr>
        <w:spacing w:after="0" w:line="9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 of the total number of shares or other units of the class then outstanding;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average weekly reported trading volume of such securities during the four calendar weeks preceding the filing of a notice on Form 144 with respect to the sale.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0"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our affiliates will be able to sell their shares of common stock and warrants, and any shares of common stock received upon exercise of the warrants, as applicable, pursuant to Rule 144 without registration one year after the filing of our “Super” Form 8-K with Form 10 type information, which was filed on July 28, 2021. Absent registration under the Securities Act, our affiliates will not be permitted to sell their control securities under Rule 144 earlier than one year after the filing of the “Super” Form 8-K.</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 longer a shell company, and as a result, once the conditions set forth in the exceptions listed above are satisfied, Rule 144 will become available for the resale of restricted securities and control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Selling Securityholders, which as used herein includes donees, pledgees, transferees, distributees or other successors-in-interest selling shares of our common stock or warrants or interests in our common stock or warrants received after the date of this prospectus from the Selling Securityholders as a gift, pledge, partnership distribution or other transfer, may, from time to time, sell, transfer, distribute or otherwise dispose of certain of their shares of common stock or warrants or interests in our common stock or warrants on any stock exchange, market or trading facility on which shares of our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Securityholders may use any one or more of the following methods when disposing of their shares of common stock or warrants or interests therein:</w:t>
      </w:r>
    </w:p>
    <w:p>
      <w:pPr>
        <w:spacing w:after="0" w:line="116"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block trades (which may involve crosses) in which the broker-dealer will attempt to sell the shares of common stock or warrants as agent, but may position and resell a portion of the block as principal to facilitate the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exchange distribution and/or secondary distribution in accordance with the rules of the applicable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distributions to their employees, partners, members or stockholders;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short sales (including short sales “against the box”) effected after the date of the registration statement of which this prospectus is a part is declared effective by the SEC;</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the writing or settlement of standardized or over-the-counter options or other hedging transactions, whether through an options exchange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market transactions, including transactions on a national securities exchange or quotations service or over-the-counter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pledge to secure debts and other obligation;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directly to purchasers, including our affiliates and stockholders, in a rights offering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of common stock or warrants at a stipulated price per share or warrant;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Selling Securityholders may effect the distribution of our common stock and warrants from time to time in one or more transactions either:</w:t>
      </w:r>
    </w:p>
    <w:p>
      <w:pPr>
        <w:spacing w:after="0" w:line="183"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prices relating to the prevailing market prices;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Selling Securityholders may, from time to time, pledge or grant a security interest in some shares of our common stock or warrants owned by them and, if a Selling Securityholder defaults in the performance of its secured obligations, the pledgees or secured parties may offer and sell such shares of common stock or warrants, as applicable, from time to time, under this prospectus, or under an amendment or supplement to this prospectus under Rule 424(b)(3) or other applicable provision of the Securities Act amending the list of the Selling Securityholders to include the pledgee, transferee or other successors in interest as the Selling Securityholders under this prospectus. The Selling Securityholders also may transfer shares of our common stock or warrants in other circumstances, in which case the transferees, pledgees or other successors in interest will be the selling beneficial owners for purposes of this prospectus.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the Selling Securityholders may agree to indemnify an underwriter, broker-dealer or agent against certain liabilities related to the sale of our common stock and warrants, including liabilities under the Securities Act. The Selling Securityholders have advised us that they have not entered into any agreements, understandings or arrangements with any underwriters or broker-dealers regarding the sale of their common stock and warrants. Upon our notification by a Selling Securityholder that any material arrangement has been entered into with an underwriter or broker-dealer for the sale of common stock and warrants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41"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name of the selling security 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common stock and warrants being offered;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names of the participating underwriters, broker-dealers or agents;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discounts, commissions or other compensation paid to underwriters or broker-dealers and any discounts, commissions or concessions allowed or reallowed or paid by any underwriters to dealers;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common stock and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delayed delivery arrangements;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material terms of the offering.</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upon being notified by a Selling Securityholder that a donee, pledgee, transferee or other successor-in-interest intends to sell common stock and warrants, we will, to the extent required, promptly file a supplement to this prospectus to name specifically such person as a Selling Securityholder.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Agents, broker-dealers and underwriters or their affiliates may engage in transactions with, or perform services for, the Selling Securityholders (or their affiliates) in the ordinary course of business. The Selling Securityholders may also use underwriters or other third parties with whom such selling stockholders have a material relationship. The Selling Securityholders (or their affiliates) will describe the nature of any such relationship in the applicable prospectus supplement.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can be no assurances that the Selling Securityholders will sell, nor are the Selling Securityholders required to sell, any or all of the common stock and warrants offered under this prospectus.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sale of shares of our common stock or warrants or interests therein, the Selling Securityholder may enter into hedging transactions with broker-dealers or other financial institutions, which may in turn engage in short sales of our common stock or warrants in the course of hedging the positions they assume.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Selling Securityholders may also sell shares of our common stock or warrants short and deliver these securities to close out their short positions, or loan or pledge shares of our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common stock or warrants offered by this prospectus, which shares or warrants such broker-dealer or other financial institution may resell pursuant to this prospectus (as supplemented or amended to reflect such transaction).</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proceeds to the Selling Securityholders from the sale of shares of our common stock or warrants offered by them will be the purchase price of such shares of our common stock or warrants less discounts or commissions, if any. The Selling Securityholders reserve the right to accept and, together with their agents from time to time, to reject, in whole or in part, any proposed purchase of share of our common stock or warrants to be made directly or through agents. We will not receive any of the proceeds from any offering by the Selling Securityholders.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Selling Securityholders also may in the future resell a portion of our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Selling Securityholders and any underwriters, broker-dealers or agents that participate in the sale of shares of our common stock or warrants or interests therein may be “underwriters” within the meaning of Section 2(11) of the Securities Act. Any discounts, commissions, concessions or profit they earn on any resale of shares of our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required, our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facilitate the offering of shares of our common stock and warrants offered by the Selling Securityholders, certain persons participating in the offering may engage in transactions that stabilize, maintain or otherwise affect the price of our common stock or warrants. This may include over-allotments or short sales, which involve the sale by persons participating in the offering of more shares of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or warrants by bidding for or purchasing shares of common stock or warrants in the open market or by imposing penalty bids, whereby selling concessions allowed to dealers participating in the offering may be reclaimed if shares of common stock or warrants sold by them are repurchased in connection with stabilization transactions. The effect of these transactions may be to stabilize or maintain the market price of our common stock or warrants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Amended and Restated Registration Rights Agreement and the Prior Subscription Agreements, we have agreed to indemnify the applicable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Amended and Restated Registration Rights Agreement, we have agreed to use our commercially reasonable efforts to cause the registration statement of which this prospectus forms a part to remain effective with respect to any securities registered hereunder pursuant to such agreement until: (i) such securities have been sold, transferred, disposed of or exchanged in accordance with such registration statement; (ii) such securities have ceased to be outstanding; (iii) such securities have been otherwise transferred, new certificates for such securities not bearing a legend restricting further transfer will have been delivered by us and subsequent public distribution of such securities will not require registration under the Securities Act; (iv) with respect to a Selling Securityholder party to such agreement, all such securities held by such Selling Securityholder could be sold pursuant to Rule 144 without restriction on volume or manner of sale in any three-month period and without the requirement for us to be in compliance with the public information required under Rule 144; or (v) such securities have been sold to, or through, a broker, dealer or underwriter in a public distribution or other public securities transaction. Under each Prior Subscription Agreement, we have agreed to our commercially reasonable efforts to maintain the continuous effectiveness of the registration statement of which this prospectus forms a part with respect to any securities registered hereunder pursuant to such agreement until: (A) with respect to a Selling Securityholder party to such agreement, such Selling Securityholder ceases to hold any such securities; (B) the date all such securities held by such Selling Securityholder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 or (C) when such securities shall have ceased to be outstanding or three years from the date of effectiveness of such registration statement; or (B) such shorter period upon which such Selling Securityholder has notified us that such securities have actually been sold. Under the Warrant Agreement, we have agreed to maintain the effectiveness of this registration statement in respect of the shares of common stock issuable upon the exercise of the public warrants and the private placement warrants until the expiration or redemption of such warrants.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Securityholders may use this prospectus in connection with resales of shares of our common stock and warrants. This prospectus and any accompanying prospectus supplement will identify the Selling Securityholders, the terms of our common stock or warrants and any material relationships between us and the Selling Securityholders. Selling Securityholders may be deemed to be underwriters under the Securities Act in connection with shares of our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common stock or warrants.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Selling Securityholder that is an entity may elect to make an in-kind distribution of common stock or warrants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common stock or warrants pursuant to the distribution effected through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securities offered hereby has been passed upon for us by Fenwick &amp; West LLP. Any underwriters or agents will be advised about other issues relating to the offering by counsel to be named in the applicable prospectus supplement.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of Sema4 Holdings Corp. at December 31, 2021 and 2020, and for each of the three years in the period ended December 31,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combined carve-out financial statements of GeneDx, Inc and subsidiary at December 31, 2021 and 2020, and for each of the two years in the period ended December 31, 2021, appearing in this Prospectus and Registration Statement have been audited by Ernst &amp; Young LLP, independent auditors, as set forth in their report thereon appearing elsewhere herein, and are included in reliance upon such report given on the authority of such firm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and warrants offered hereby. This prospectus, which constitutes part of the registration statement, does not contain all of the information set forth in the registration statement and the exhibits and schedules thereto. For further information with respect to our company, our common stock and warrants,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www.sema4.com, at which you may access these materials free of charge as soon as reasonably practicable after they are electronically filed with, or furnished to, the SEC. Information contained on or 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8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8"/>
              </w:rPr>
              <w:t>SEMA4 HOLDINGS CORP.</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2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rPr>
              <w:t>INDEX TO FINANCIAL STATEMENTS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80" w:type="dxa"/>
            <w:vAlign w:val="bottom"/>
            <w:gridSpan w:val="4"/>
            <w:vMerge w:val="restart"/>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Report of Independent Registered Public Accounting Firm</w:t>
              </w:r>
            </w:hyperlink>
          </w:p>
        </w:tc>
        <w:tc>
          <w:tcPr>
            <w:tcW w:w="5820" w:type="dxa"/>
            <w:vAlign w:val="bottom"/>
            <w:gridSpan w:val="2"/>
            <w:vMerge w:val="restart"/>
          </w:tcPr>
          <w:p>
            <w:pPr>
              <w:spacing w:after="0"/>
              <w:rPr>
                <w:sz w:val="24"/>
                <w:szCs w:val="2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4680" w:type="dxa"/>
            <w:vAlign w:val="bottom"/>
            <w:gridSpan w:val="4"/>
            <w:vMerge w:val="continue"/>
          </w:tcPr>
          <w:p>
            <w:pPr>
              <w:spacing w:after="0"/>
              <w:rPr>
                <w:sz w:val="14"/>
                <w:szCs w:val="14"/>
                <w:color w:val="auto"/>
              </w:rPr>
            </w:pPr>
          </w:p>
        </w:tc>
        <w:tc>
          <w:tcPr>
            <w:tcW w:w="5820" w:type="dxa"/>
            <w:vAlign w:val="bottom"/>
            <w:gridSpan w:val="2"/>
            <w:vMerge w:val="continue"/>
          </w:tcPr>
          <w:p>
            <w:pPr>
              <w:spacing w:after="0"/>
              <w:rPr>
                <w:sz w:val="14"/>
                <w:szCs w:val="14"/>
                <w:color w:val="auto"/>
              </w:rPr>
            </w:pPr>
          </w:p>
        </w:tc>
        <w:tc>
          <w:tcPr>
            <w:tcW w:w="720" w:type="dxa"/>
            <w:vAlign w:val="bottom"/>
            <w:gridSpan w:val="3"/>
          </w:tcPr>
          <w:p>
            <w:pPr>
              <w:ind w:left="240"/>
              <w:spacing w:after="0" w:line="156" w:lineRule="exact"/>
              <w:rPr>
                <w:rFonts w:ascii="Arial" w:cs="Arial" w:eastAsia="Arial" w:hAnsi="Arial"/>
                <w:sz w:val="18"/>
                <w:szCs w:val="18"/>
                <w:color w:val="0000FF"/>
              </w:rPr>
            </w:pPr>
            <w:hyperlink w:anchor="page168">
              <w:r>
                <w:rPr>
                  <w:rFonts w:ascii="Arial" w:cs="Arial" w:eastAsia="Arial" w:hAnsi="Arial"/>
                  <w:sz w:val="18"/>
                  <w:szCs w:val="18"/>
                  <w:color w:val="0000FF"/>
                </w:rPr>
                <w:t>F-2</w:t>
              </w:r>
            </w:hyperlink>
          </w:p>
        </w:tc>
        <w:tc>
          <w:tcPr>
            <w:tcW w:w="0" w:type="dxa"/>
            <w:vAlign w:val="bottom"/>
          </w:tcPr>
          <w:p>
            <w:pPr>
              <w:spacing w:after="0"/>
              <w:rPr>
                <w:sz w:val="1"/>
                <w:szCs w:val="1"/>
                <w:color w:val="auto"/>
              </w:rPr>
            </w:pPr>
          </w:p>
        </w:tc>
      </w:tr>
      <w:tr>
        <w:trPr>
          <w:trHeight w:val="27"/>
        </w:trPr>
        <w:tc>
          <w:tcPr>
            <w:tcW w:w="2100" w:type="dxa"/>
            <w:vAlign w:val="bottom"/>
            <w:shd w:val="clear" w:color="auto" w:fill="0000FF"/>
          </w:tcPr>
          <w:p>
            <w:pPr>
              <w:spacing w:after="0"/>
              <w:rPr>
                <w:sz w:val="2"/>
                <w:szCs w:val="2"/>
                <w:color w:val="auto"/>
              </w:rPr>
            </w:pPr>
          </w:p>
        </w:tc>
        <w:tc>
          <w:tcPr>
            <w:tcW w:w="780" w:type="dxa"/>
            <w:vAlign w:val="bottom"/>
            <w:tcBorders>
              <w:left w:val="single" w:sz="8" w:color="0000FF"/>
            </w:tcBorders>
            <w:shd w:val="clear" w:color="auto" w:fill="0000FF"/>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2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tcPr>
          <w:p>
            <w:pPr>
              <w:spacing w:after="0"/>
              <w:rPr>
                <w:rFonts w:ascii="Arial" w:cs="Arial" w:eastAsia="Arial" w:hAnsi="Arial"/>
                <w:sz w:val="18"/>
                <w:szCs w:val="18"/>
                <w:color w:val="0000FF"/>
                <w:w w:val="87"/>
              </w:rPr>
            </w:pPr>
            <w:hyperlink w:anchor="page169">
              <w:r>
                <w:rPr>
                  <w:rFonts w:ascii="Arial" w:cs="Arial" w:eastAsia="Arial" w:hAnsi="Arial"/>
                  <w:sz w:val="18"/>
                  <w:szCs w:val="18"/>
                  <w:color w:val="0000FF"/>
                  <w:w w:val="87"/>
                </w:rPr>
                <w:t>Consolidated Balance Sheets</w:t>
              </w:r>
            </w:hyperlink>
          </w:p>
        </w:tc>
        <w:tc>
          <w:tcPr>
            <w:tcW w:w="2580" w:type="dxa"/>
            <w:vAlign w:val="bottom"/>
            <w:gridSpan w:val="3"/>
          </w:tcPr>
          <w:p>
            <w:pPr>
              <w:spacing w:after="0"/>
              <w:rPr>
                <w:sz w:val="18"/>
                <w:szCs w:val="18"/>
                <w:color w:val="auto"/>
              </w:rPr>
            </w:pPr>
          </w:p>
        </w:tc>
        <w:tc>
          <w:tcPr>
            <w:tcW w:w="5820" w:type="dxa"/>
            <w:vAlign w:val="bottom"/>
            <w:gridSpan w:val="2"/>
          </w:tcPr>
          <w:p>
            <w:pPr>
              <w:spacing w:after="0"/>
              <w:rPr>
                <w:sz w:val="18"/>
                <w:szCs w:val="18"/>
                <w:color w:val="auto"/>
              </w:rPr>
            </w:pPr>
          </w:p>
        </w:tc>
        <w:tc>
          <w:tcPr>
            <w:tcW w:w="720" w:type="dxa"/>
            <w:vAlign w:val="bottom"/>
            <w:gridSpan w:val="3"/>
          </w:tcPr>
          <w:p>
            <w:pPr>
              <w:ind w:left="240"/>
              <w:spacing w:after="0"/>
              <w:rPr>
                <w:rFonts w:ascii="Arial" w:cs="Arial" w:eastAsia="Arial" w:hAnsi="Arial"/>
                <w:sz w:val="18"/>
                <w:szCs w:val="18"/>
                <w:color w:val="0000FF"/>
              </w:rPr>
            </w:pPr>
            <w:hyperlink w:anchor="page169">
              <w:r>
                <w:rPr>
                  <w:rFonts w:ascii="Arial" w:cs="Arial" w:eastAsia="Arial" w:hAnsi="Arial"/>
                  <w:sz w:val="18"/>
                  <w:szCs w:val="18"/>
                  <w:color w:val="0000FF"/>
                </w:rPr>
                <w:t>F-3</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6"/>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Consolidated Statements of Operations and Comprehensive Loss</w:t>
              </w:r>
            </w:hyperlink>
          </w:p>
        </w:tc>
        <w:tc>
          <w:tcPr>
            <w:tcW w:w="720" w:type="dxa"/>
            <w:vAlign w:val="bottom"/>
            <w:gridSpan w:val="3"/>
          </w:tcPr>
          <w:p>
            <w:pPr>
              <w:ind w:left="240"/>
              <w:spacing w:after="0"/>
              <w:rPr>
                <w:rFonts w:ascii="Arial" w:cs="Arial" w:eastAsia="Arial" w:hAnsi="Arial"/>
                <w:sz w:val="18"/>
                <w:szCs w:val="18"/>
                <w:color w:val="0000FF"/>
              </w:rPr>
            </w:pPr>
            <w:hyperlink w:anchor="page171">
              <w:r>
                <w:rPr>
                  <w:rFonts w:ascii="Arial" w:cs="Arial" w:eastAsia="Arial" w:hAnsi="Arial"/>
                  <w:sz w:val="18"/>
                  <w:szCs w:val="18"/>
                  <w:color w:val="0000FF"/>
                </w:rPr>
                <w:t>F-5</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6"/>
          </w:tcPr>
          <w:p>
            <w:pPr>
              <w:spacing w:after="0"/>
              <w:rPr>
                <w:rFonts w:ascii="Arial" w:cs="Arial" w:eastAsia="Arial" w:hAnsi="Arial"/>
                <w:sz w:val="18"/>
                <w:szCs w:val="18"/>
                <w:color w:val="0000FF"/>
              </w:rPr>
            </w:pPr>
            <w:hyperlink w:anchor="page172">
              <w:r>
                <w:rPr>
                  <w:rFonts w:ascii="Arial" w:cs="Arial" w:eastAsia="Arial" w:hAnsi="Arial"/>
                  <w:sz w:val="18"/>
                  <w:szCs w:val="18"/>
                  <w:color w:val="0000FF"/>
                </w:rPr>
                <w:t>Consolidated Statement of Redeemable Convertible Preferred Stock and Stockholders’ Equity</w:t>
              </w:r>
            </w:hyperlink>
          </w:p>
        </w:tc>
        <w:tc>
          <w:tcPr>
            <w:tcW w:w="720" w:type="dxa"/>
            <w:vAlign w:val="bottom"/>
            <w:gridSpan w:val="3"/>
          </w:tcPr>
          <w:p>
            <w:pPr>
              <w:ind w:left="240"/>
              <w:spacing w:after="0"/>
              <w:rPr>
                <w:rFonts w:ascii="Arial" w:cs="Arial" w:eastAsia="Arial" w:hAnsi="Arial"/>
                <w:sz w:val="18"/>
                <w:szCs w:val="18"/>
                <w:color w:val="0000FF"/>
              </w:rPr>
            </w:pPr>
            <w:hyperlink w:anchor="page172">
              <w:r>
                <w:rPr>
                  <w:rFonts w:ascii="Arial" w:cs="Arial" w:eastAsia="Arial" w:hAnsi="Arial"/>
                  <w:sz w:val="18"/>
                  <w:szCs w:val="18"/>
                  <w:color w:val="0000FF"/>
                </w:rPr>
                <w:t>F-6</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2"/>
          </w:tcPr>
          <w:p>
            <w:pPr>
              <w:spacing w:after="0"/>
              <w:rPr>
                <w:rFonts w:ascii="Arial" w:cs="Arial" w:eastAsia="Arial" w:hAnsi="Arial"/>
                <w:sz w:val="18"/>
                <w:szCs w:val="18"/>
                <w:color w:val="0000FF"/>
                <w:w w:val="89"/>
              </w:rPr>
            </w:pPr>
            <w:hyperlink w:anchor="page173">
              <w:r>
                <w:rPr>
                  <w:rFonts w:ascii="Arial" w:cs="Arial" w:eastAsia="Arial" w:hAnsi="Arial"/>
                  <w:sz w:val="18"/>
                  <w:szCs w:val="18"/>
                  <w:color w:val="0000FF"/>
                  <w:w w:val="89"/>
                </w:rPr>
                <w:t>Consolidated Statements of Cash Flows</w:t>
              </w:r>
            </w:hyperlink>
          </w:p>
        </w:tc>
        <w:tc>
          <w:tcPr>
            <w:tcW w:w="3900" w:type="dxa"/>
            <w:vAlign w:val="bottom"/>
            <w:gridSpan w:val="3"/>
          </w:tcPr>
          <w:p>
            <w:pPr>
              <w:spacing w:after="0"/>
              <w:rPr>
                <w:sz w:val="18"/>
                <w:szCs w:val="18"/>
                <w:color w:val="auto"/>
              </w:rPr>
            </w:pPr>
          </w:p>
        </w:tc>
        <w:tc>
          <w:tcPr>
            <w:tcW w:w="3720" w:type="dxa"/>
            <w:vAlign w:val="bottom"/>
          </w:tcPr>
          <w:p>
            <w:pPr>
              <w:spacing w:after="0"/>
              <w:rPr>
                <w:sz w:val="18"/>
                <w:szCs w:val="18"/>
                <w:color w:val="auto"/>
              </w:rPr>
            </w:pPr>
          </w:p>
        </w:tc>
        <w:tc>
          <w:tcPr>
            <w:tcW w:w="720" w:type="dxa"/>
            <w:vAlign w:val="bottom"/>
            <w:gridSpan w:val="3"/>
          </w:tcPr>
          <w:p>
            <w:pPr>
              <w:ind w:left="240"/>
              <w:spacing w:after="0"/>
              <w:rPr>
                <w:rFonts w:ascii="Arial" w:cs="Arial" w:eastAsia="Arial" w:hAnsi="Arial"/>
                <w:sz w:val="18"/>
                <w:szCs w:val="18"/>
                <w:color w:val="0000FF"/>
              </w:rPr>
            </w:pPr>
            <w:hyperlink w:anchor="page173">
              <w:r>
                <w:rPr>
                  <w:rFonts w:ascii="Arial" w:cs="Arial" w:eastAsia="Arial" w:hAnsi="Arial"/>
                  <w:sz w:val="18"/>
                  <w:szCs w:val="18"/>
                  <w:color w:val="0000FF"/>
                </w:rPr>
                <w:t>F-7</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tcPr>
          <w:p>
            <w:pPr>
              <w:spacing w:after="0"/>
              <w:rPr>
                <w:rFonts w:ascii="Arial" w:cs="Arial" w:eastAsia="Arial" w:hAnsi="Arial"/>
                <w:sz w:val="18"/>
                <w:szCs w:val="18"/>
                <w:color w:val="0000FF"/>
                <w:w w:val="85"/>
              </w:rPr>
            </w:pPr>
            <w:hyperlink w:anchor="page175">
              <w:r>
                <w:rPr>
                  <w:rFonts w:ascii="Arial" w:cs="Arial" w:eastAsia="Arial" w:hAnsi="Arial"/>
                  <w:sz w:val="18"/>
                  <w:szCs w:val="18"/>
                  <w:color w:val="0000FF"/>
                  <w:w w:val="85"/>
                </w:rPr>
                <w:t>Notes to Financial Statements</w:t>
              </w:r>
            </w:hyperlink>
          </w:p>
        </w:tc>
        <w:tc>
          <w:tcPr>
            <w:tcW w:w="780" w:type="dxa"/>
            <w:vAlign w:val="bottom"/>
          </w:tcPr>
          <w:p>
            <w:pPr>
              <w:spacing w:after="0"/>
              <w:rPr>
                <w:sz w:val="18"/>
                <w:szCs w:val="18"/>
                <w:color w:val="auto"/>
              </w:rPr>
            </w:pPr>
          </w:p>
        </w:tc>
        <w:tc>
          <w:tcPr>
            <w:tcW w:w="7620" w:type="dxa"/>
            <w:vAlign w:val="bottom"/>
            <w:gridSpan w:val="4"/>
          </w:tcPr>
          <w:p>
            <w:pPr>
              <w:spacing w:after="0"/>
              <w:rPr>
                <w:sz w:val="18"/>
                <w:szCs w:val="18"/>
                <w:color w:val="auto"/>
              </w:rPr>
            </w:pPr>
          </w:p>
        </w:tc>
        <w:tc>
          <w:tcPr>
            <w:tcW w:w="720" w:type="dxa"/>
            <w:vAlign w:val="bottom"/>
            <w:gridSpan w:val="3"/>
          </w:tcPr>
          <w:p>
            <w:pPr>
              <w:ind w:left="240"/>
              <w:spacing w:after="0"/>
              <w:rPr>
                <w:rFonts w:ascii="Arial" w:cs="Arial" w:eastAsia="Arial" w:hAnsi="Arial"/>
                <w:sz w:val="18"/>
                <w:szCs w:val="18"/>
                <w:color w:val="0000FF"/>
              </w:rPr>
            </w:pPr>
            <w:hyperlink w:anchor="page175">
              <w:r>
                <w:rPr>
                  <w:rFonts w:ascii="Arial" w:cs="Arial" w:eastAsia="Arial" w:hAnsi="Arial"/>
                  <w:sz w:val="18"/>
                  <w:szCs w:val="18"/>
                  <w:color w:val="0000FF"/>
                </w:rPr>
                <w:t>F-9</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68" w:name="page169"/>
    <w:bookmarkEnd w:id="168"/>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Sema4 Holdings Corp.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2020 and 2019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2020 and 2019 financial statements have been restated to correct a misstatement.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1680" w:val="left"/>
          <w:tab w:leader="none" w:pos="2340" w:val="left"/>
          <w:tab w:leader="none" w:pos="4020" w:val="left"/>
          <w:tab w:leader="none" w:pos="5720" w:val="left"/>
          <w:tab w:leader="none" w:pos="752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No. 42</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New York, New York,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Inventory,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44,693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26,737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Due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9"/>
              </w:rPr>
              <w:t>Series A-1 redeemable convertible preferred stock, $0.00001 par value: 0 and 55,399,943 shares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8"/>
              </w:rPr>
              <w:t>authorized, issued and outstanding at December 31, 2021 and December 31, 2020, respectively;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5"/>
              </w:rPr>
              <w:t>aggregate liquidation preference of $0 and $55,000 at December 31, 2021 and December 31, 2020,</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30"/>
        </w:trPr>
        <w:tc>
          <w:tcPr>
            <w:tcW w:w="802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Series A-2 redeemable convertible preferred stock, $0.00001 par value: 0 and 64,718,940 shares authorized</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0"/>
              </w:rPr>
              <w:t>at December 31, 2021 and December 31, 2020, respectively; 0 and 49,700,364 shares authorized, issued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6"/>
              </w:rPr>
              <w:t>and 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preference of $0 and $49,342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1"/>
              </w:rPr>
              <w:t>Series B redeemable convertible preferred stock, $0.00001 par value: 0 and 41,937,960 shares authorized,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w w:val="99"/>
              </w:rPr>
              <w:t>issued and outstanding at December 31, 2021 and December 31, 2020, respectively; aggregate</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Arial" w:cs="Arial" w:eastAsia="Arial" w:hAnsi="Arial"/>
                <w:sz w:val="18"/>
                <w:szCs w:val="18"/>
                <w:color w:val="auto"/>
                <w:w w:val="93"/>
              </w:rPr>
              <w:t>liquidation preference of $0 and $204,302 at December 31, 2021and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Series C redeemable convertible preferred stock, $0.00001 par value: 0 and 24,497,317 shares authorized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7"/>
              </w:rPr>
              <w:t>at December 31, 2021 and December 31, 2020, respectively; 0 and 24,496,946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preference of $0 and $121,397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Redeemable convertible preferred stock</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8"/>
              </w:rPr>
              <w:t>Preferred Stock, $0.0001 par value: 1,000,000 and 0 shares authorized at December 31, 2021 and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rPr>
              <w:t>December 31, 2020, respectively; 0 shares issued and outstanding at December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400"/>
              <w:spacing w:after="0"/>
              <w:rPr>
                <w:sz w:val="20"/>
                <w:szCs w:val="20"/>
                <w:color w:val="auto"/>
              </w:rPr>
            </w:pPr>
            <w:r>
              <w:rPr>
                <w:rFonts w:ascii="Arial" w:cs="Arial" w:eastAsia="Arial" w:hAnsi="Arial"/>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0"/>
              </w:rPr>
              <w:t>Class A common stock, $0.0001 par value: 380,000,000 shares authorized, 242,647,604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outstanding at December 31, 2021 and $0.00001 par value: 309,584,750 shares authorized, 124 shares</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outstanding at December 31, 2020</w:t>
            </w: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w w:val="91"/>
              </w:rPr>
              <w:t>Class B convertible common stock, $0.00001 par value: 0 and 18,575,085 shares authorized at December</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00"/>
              <w:spacing w:after="0" w:line="176" w:lineRule="exact"/>
              <w:rPr>
                <w:sz w:val="20"/>
                <w:szCs w:val="20"/>
                <w:color w:val="auto"/>
              </w:rPr>
            </w:pPr>
            <w:r>
              <w:rPr>
                <w:rFonts w:ascii="Arial" w:cs="Arial" w:eastAsia="Arial" w:hAnsi="Arial"/>
                <w:sz w:val="18"/>
                <w:szCs w:val="18"/>
                <w:color w:val="auto"/>
                <w:w w:val="99"/>
              </w:rPr>
              <w:t>31, 2021 and December 31, 2020, respectively; 0 and 130,557 shares issued and outstanding at</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400"/>
              <w:spacing w:after="0"/>
              <w:rPr>
                <w:sz w:val="20"/>
                <w:szCs w:val="20"/>
                <w:color w:val="auto"/>
              </w:rPr>
            </w:pPr>
            <w:r>
              <w:rPr>
                <w:rFonts w:ascii="Arial" w:cs="Arial" w:eastAsia="Arial" w:hAnsi="Arial"/>
                <w:sz w:val="18"/>
                <w:szCs w:val="18"/>
                <w:color w:val="auto"/>
              </w:rPr>
              <w:t>December 31, 2021 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31"/>
              <w:spacing w:after="0" w:line="224" w:lineRule="exact"/>
              <w:rPr>
                <w:sz w:val="20"/>
                <w:szCs w:val="20"/>
                <w:color w:val="auto"/>
              </w:rPr>
            </w:pPr>
            <w:r>
              <w:rPr>
                <w:rFonts w:ascii="Arial" w:cs="Arial" w:eastAsia="Arial" w:hAnsi="Arial"/>
                <w:sz w:val="18"/>
                <w:szCs w:val="18"/>
                <w:color w:val="auto"/>
                <w:w w:val="85"/>
              </w:rPr>
              <w:t>(Restated)</w:t>
            </w:r>
            <w:r>
              <w:rPr>
                <w:rFonts w:ascii="Arial" w:cs="Arial" w:eastAsia="Arial" w:hAnsi="Arial"/>
                <w:sz w:val="23"/>
                <w:szCs w:val="23"/>
                <w:color w:val="auto"/>
                <w:w w:val="85"/>
                <w:vertAlign w:val="superscript"/>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1"/>
              <w:spacing w:after="0" w:line="224" w:lineRule="exact"/>
              <w:rPr>
                <w:sz w:val="20"/>
                <w:szCs w:val="20"/>
                <w:color w:val="auto"/>
              </w:rPr>
            </w:pPr>
            <w:r>
              <w:rPr>
                <w:rFonts w:ascii="Arial" w:cs="Arial" w:eastAsia="Arial" w:hAnsi="Arial"/>
                <w:sz w:val="18"/>
                <w:szCs w:val="18"/>
                <w:color w:val="auto"/>
                <w:w w:val="95"/>
              </w:rPr>
              <w:t>(Restated)</w:t>
            </w:r>
            <w:r>
              <w:rPr>
                <w:rFonts w:ascii="Arial" w:cs="Arial" w:eastAsia="Arial" w:hAnsi="Arial"/>
                <w:sz w:val="23"/>
                <w:szCs w:val="23"/>
                <w:color w:val="auto"/>
                <w:w w:val="95"/>
                <w:vertAlign w:val="superscript"/>
              </w:rPr>
              <w:t>(1)</w:t>
            </w:r>
          </w:p>
        </w:tc>
        <w:tc>
          <w:tcPr>
            <w:tcW w:w="0" w:type="dxa"/>
            <w:vAlign w:val="bottom"/>
          </w:tcPr>
          <w:p>
            <w:pPr>
              <w:spacing w:after="0"/>
              <w:rPr>
                <w:sz w:val="1"/>
                <w:szCs w:val="1"/>
                <w:color w:val="auto"/>
              </w:rPr>
            </w:pPr>
          </w:p>
        </w:tc>
      </w:tr>
      <w:tr>
        <w:trPr>
          <w:trHeight w:val="176"/>
        </w:trPr>
        <w:tc>
          <w:tcPr>
            <w:tcW w:w="6340" w:type="dxa"/>
            <w:vAlign w:val="bottom"/>
          </w:tcPr>
          <w:p>
            <w:pPr>
              <w:ind w:left="240"/>
              <w:spacing w:after="0" w:line="176" w:lineRule="exact"/>
              <w:rPr>
                <w:sz w:val="20"/>
                <w:szCs w:val="20"/>
                <w:color w:val="auto"/>
              </w:rPr>
            </w:pPr>
            <w:r>
              <w:rPr>
                <w:rFonts w:ascii="Arial" w:cs="Arial" w:eastAsia="Arial" w:hAnsi="Arial"/>
                <w:sz w:val="18"/>
                <w:szCs w:val="18"/>
                <w:color w:val="auto"/>
                <w:w w:val="91"/>
              </w:rPr>
              <w:t>Diagnostic test revenue (including related party revenue of $90, $285 and $0 for the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205,100</w:t>
            </w:r>
          </w:p>
        </w:tc>
        <w:tc>
          <w:tcPr>
            <w:tcW w:w="3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9"/>
        </w:trPr>
        <w:tc>
          <w:tcPr>
            <w:tcW w:w="6340" w:type="dxa"/>
            <w:vAlign w:val="bottom"/>
          </w:tcPr>
          <w:p>
            <w:pPr>
              <w:ind w:left="400"/>
              <w:spacing w:after="0"/>
              <w:rPr>
                <w:sz w:val="20"/>
                <w:szCs w:val="20"/>
                <w:color w:val="auto"/>
              </w:rPr>
            </w:pPr>
            <w:r>
              <w:rPr>
                <w:rFonts w:ascii="Arial" w:cs="Arial" w:eastAsia="Arial" w:hAnsi="Arial"/>
                <w:sz w:val="18"/>
                <w:szCs w:val="18"/>
                <w:color w:val="auto"/>
              </w:rPr>
              <w:t>years ended December 31, 2021, 2020, and 2019,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Other revenue (including related party revenue of $232, $3 and $1,180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ended December 31, 2021, 2020, and 2019,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156"/>
        </w:trPr>
        <w:tc>
          <w:tcPr>
            <w:tcW w:w="63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Cost of services (including related party expenses of $3,975, $2,189 and $1,859 for the</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2021, 2020, and 2019,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Class A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ind w:left="340" w:right="260" w:hanging="332"/>
        <w:spacing w:after="0" w:line="248"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2" w:name="page173"/>
    <w:bookmarkEnd w:id="172"/>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4"/>
                <w:szCs w:val="14"/>
                <w:color w:val="auto"/>
              </w:rPr>
            </w:pPr>
          </w:p>
        </w:tc>
        <w:tc>
          <w:tcPr>
            <w:tcW w:w="19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A Common Stock</w:t>
            </w:r>
          </w:p>
        </w:tc>
        <w:tc>
          <w:tcPr>
            <w:tcW w:w="19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21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9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73"/>
              <w:spacing w:after="0" w:line="11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0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0"/>
              </w:rPr>
              <w:t>Per Value</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paid-in</w:t>
            </w:r>
          </w:p>
        </w:tc>
        <w:tc>
          <w:tcPr>
            <w:tcW w:w="10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7"/>
        </w:trPr>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9"/>
              </w:rPr>
              <w:t>Balance at December 31,</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102,039,134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Preferred Series A</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3,061,173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of Preferred</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Series B, net of</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costs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9"/>
              </w:rPr>
              <w:t>Balance at December 31,</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7"/>
              </w:rPr>
              <w:t>147,038,267</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(241,340)</w:t>
            </w:r>
          </w:p>
        </w:tc>
        <w:tc>
          <w:tcPr>
            <w:tcW w:w="0" w:type="dxa"/>
            <w:vAlign w:val="bottom"/>
          </w:tcPr>
          <w:p>
            <w:pPr>
              <w:spacing w:after="0"/>
              <w:rPr>
                <w:sz w:val="1"/>
                <w:szCs w:val="1"/>
                <w:color w:val="auto"/>
              </w:rPr>
            </w:pPr>
          </w:p>
        </w:tc>
      </w:tr>
      <w:tr>
        <w:trPr>
          <w:trHeight w:val="176"/>
        </w:trPr>
        <w:tc>
          <w:tcPr>
            <w:tcW w:w="2160" w:type="dxa"/>
            <w:vAlign w:val="bottom"/>
          </w:tcPr>
          <w:p>
            <w:pPr>
              <w:ind w:left="240"/>
              <w:spacing w:after="0" w:line="176" w:lineRule="exact"/>
              <w:rPr>
                <w:sz w:val="20"/>
                <w:szCs w:val="20"/>
                <w:color w:val="auto"/>
              </w:rPr>
            </w:pPr>
            <w:r>
              <w:rPr>
                <w:rFonts w:ascii="Arial" w:cs="Arial" w:eastAsia="Arial" w:hAnsi="Arial"/>
                <w:sz w:val="18"/>
                <w:szCs w:val="18"/>
                <w:color w:val="auto"/>
              </w:rPr>
              <w:t>Preferred Series A</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Arial" w:cs="Arial" w:eastAsia="Arial" w:hAnsi="Arial"/>
                <w:sz w:val="18"/>
                <w:szCs w:val="18"/>
                <w:color w:val="auto"/>
              </w:rPr>
              <w:t>dividend</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24,496,946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9"/>
              </w:rPr>
              <w:t>Balance at December 31,</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7"/>
              </w:rPr>
              <w:t>171,535,213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3"/>
              </w:rPr>
              <w:t>(330,051)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(245,390)</w:t>
            </w: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rPr>
                <w:sz w:val="20"/>
                <w:szCs w:val="20"/>
                <w:color w:val="auto"/>
              </w:rPr>
            </w:pPr>
            <w:r>
              <w:rPr>
                <w:rFonts w:ascii="Arial" w:cs="Arial" w:eastAsia="Arial" w:hAnsi="Arial"/>
                <w:sz w:val="18"/>
                <w:szCs w:val="18"/>
                <w:color w:val="auto"/>
              </w:rPr>
              <w:t>Stock option exercises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995,526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Conversion of Preferred</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(171,535,213)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(334,439)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148,543,062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104,532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40"/>
              <w:spacing w:after="0" w:line="176" w:lineRule="exact"/>
              <w:rPr>
                <w:sz w:val="20"/>
                <w:szCs w:val="20"/>
                <w:color w:val="auto"/>
              </w:rPr>
            </w:pPr>
            <w:r>
              <w:rPr>
                <w:rFonts w:ascii="Arial" w:cs="Arial" w:eastAsia="Arial" w:hAnsi="Arial"/>
                <w:sz w:val="18"/>
                <w:szCs w:val="18"/>
                <w:color w:val="auto"/>
              </w:rPr>
              <w:t>Conversion of Class B</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1,309,320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(1,383,736)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 equity infusion from</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90,333,562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510,751</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the Business Combination</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40"/>
              <w:spacing w:after="0" w:line="176" w:lineRule="exact"/>
              <w:rPr>
                <w:sz w:val="20"/>
                <w:szCs w:val="20"/>
                <w:color w:val="auto"/>
              </w:rPr>
            </w:pPr>
            <w:r>
              <w:rPr>
                <w:rFonts w:ascii="Arial" w:cs="Arial" w:eastAsia="Arial" w:hAnsi="Arial"/>
                <w:sz w:val="18"/>
                <w:szCs w:val="18"/>
                <w:color w:val="auto"/>
              </w:rPr>
              <w:t>Stock based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40"/>
              <w:spacing w:after="0" w:line="176" w:lineRule="exact"/>
              <w:rPr>
                <w:sz w:val="20"/>
                <w:szCs w:val="20"/>
                <w:color w:val="auto"/>
              </w:rPr>
            </w:pPr>
            <w:r>
              <w:rPr>
                <w:rFonts w:ascii="Arial" w:cs="Arial" w:eastAsia="Arial" w:hAnsi="Arial"/>
                <w:sz w:val="18"/>
                <w:szCs w:val="18"/>
                <w:color w:val="auto"/>
              </w:rPr>
              <w:t>compensation</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40"/>
              <w:spacing w:after="0" w:line="176" w:lineRule="exact"/>
              <w:rPr>
                <w:sz w:val="20"/>
                <w:szCs w:val="20"/>
                <w:color w:val="auto"/>
              </w:rPr>
            </w:pPr>
            <w:r>
              <w:rPr>
                <w:rFonts w:ascii="Arial" w:cs="Arial" w:eastAsia="Arial" w:hAnsi="Arial"/>
                <w:sz w:val="18"/>
                <w:szCs w:val="18"/>
                <w:color w:val="auto"/>
              </w:rPr>
              <w:t>modification</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rPr>
                <w:sz w:val="20"/>
                <w:szCs w:val="20"/>
                <w:color w:val="auto"/>
              </w:rPr>
            </w:pPr>
            <w:r>
              <w:rPr>
                <w:rFonts w:ascii="Arial" w:cs="Arial" w:eastAsia="Arial" w:hAnsi="Arial"/>
                <w:sz w:val="18"/>
                <w:szCs w:val="18"/>
                <w:color w:val="auto"/>
              </w:rPr>
              <w:t>reclassification</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Stock based</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expense</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40"/>
              <w:spacing w:after="0" w:line="176" w:lineRule="exact"/>
              <w:rPr>
                <w:sz w:val="20"/>
                <w:szCs w:val="20"/>
                <w:color w:val="auto"/>
              </w:rPr>
            </w:pPr>
            <w:r>
              <w:rPr>
                <w:rFonts w:ascii="Arial" w:cs="Arial" w:eastAsia="Arial" w:hAnsi="Arial"/>
                <w:sz w:val="18"/>
                <w:szCs w:val="18"/>
                <w:color w:val="auto"/>
              </w:rPr>
              <w:t>Vested restricted stock</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400"/>
              <w:spacing w:after="0" w:line="176" w:lineRule="exact"/>
              <w:rPr>
                <w:sz w:val="20"/>
                <w:szCs w:val="20"/>
                <w:color w:val="auto"/>
              </w:rPr>
            </w:pPr>
            <w:r>
              <w:rPr>
                <w:rFonts w:ascii="Arial" w:cs="Arial" w:eastAsia="Arial" w:hAnsi="Arial"/>
                <w:sz w:val="18"/>
                <w:szCs w:val="18"/>
                <w:color w:val="auto"/>
              </w:rPr>
              <w:t>units converted to</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1,466,010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common stock</w:t>
            </w: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9"/>
              </w:rPr>
              <w:t>Balance at December 31,</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242,647,604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(575,441)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3" w:name="page174"/>
    <w:bookmarkEnd w:id="17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Change in fair value of warrant and contingent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excess and obsolete 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6"/>
              </w:rPr>
              <w:t>Proceeds from issuance of Series B redeemable convertible preferred stock, net of</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Proceeds from issuance of Series C redeemable convertible preferred stock, net of</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Prior PIPE issuance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equity infusion from the merger, net of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Legacy Sema4 Shareholder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Stock Appreciation Rights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5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493,729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148,012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113,828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432"/>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7"/>
              </w:rPr>
              <w:t>Purchases of property and equipment in accounts payable and accrued expenses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30"/>
        </w:trPr>
        <w:tc>
          <w:tcPr>
            <w:tcW w:w="6860" w:type="dxa"/>
            <w:vAlign w:val="bottom"/>
            <w:gridSpan w:val="2"/>
          </w:tcPr>
          <w:p>
            <w:pPr>
              <w:ind w:left="20"/>
              <w:spacing w:after="0"/>
              <w:rPr>
                <w:sz w:val="20"/>
                <w:szCs w:val="20"/>
                <w:color w:val="auto"/>
              </w:rPr>
            </w:pPr>
            <w:r>
              <w:rPr>
                <w:rFonts w:ascii="Arial" w:cs="Arial" w:eastAsia="Arial" w:hAnsi="Arial"/>
                <w:sz w:val="18"/>
                <w:szCs w:val="18"/>
                <w:color w:val="auto"/>
                <w:w w:val="95"/>
              </w:rPr>
              <w:t>Non-cash Series A redeemable convertible preferred stock dividends declared and paid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3,039</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 incurred but unpaid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22, 2021 (the “Closing Date”), CM Life Sciences, Inc. (“CMLS”) completed the acquisition of Legacy Sema4, pursuant to that certain Agreement and Plan of Merger (as amended, the “Prior Merger Agreement”), dated February 9, 2021. On the Closing Date, S-IV Sub, Inc. (“Merger Sub”) merged with and into the Legacy Sema4, with Legacy Sema4 surviving the merger as a wholly-owned subsidiary of CMLS (the “Merger” and, together with the other transactions contemplated by the Prior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and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2020 and 2019 annual statements of operations and comprehensive loss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expenses incurred that directly relate to the delivery of revenue as cost of services in its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1080" w:type="dxa"/>
            <w:vAlign w:val="bottom"/>
            <w:tcBorders>
              <w:bottom w:val="single" w:sz="8" w:color="auto"/>
            </w:tcBorders>
          </w:tcPr>
          <w:p>
            <w:pPr>
              <w:spacing w:after="0"/>
              <w:rPr>
                <w:sz w:val="16"/>
                <w:szCs w:val="16"/>
                <w:color w:val="auto"/>
              </w:rPr>
            </w:pPr>
          </w:p>
        </w:tc>
      </w:tr>
      <w:tr>
        <w:trPr>
          <w:trHeight w:val="187"/>
        </w:trPr>
        <w:tc>
          <w:tcPr>
            <w:tcW w:w="310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reported</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Misclassification</w:t>
            </w: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reported</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Misclassification</w:t>
            </w:r>
          </w:p>
        </w:tc>
        <w:tc>
          <w:tcPr>
            <w:tcW w:w="1080" w:type="dxa"/>
            <w:vAlign w:val="bottom"/>
          </w:tcPr>
          <w:p>
            <w:pPr>
              <w:jc w:val="right"/>
              <w:ind w:right="192"/>
              <w:spacing w:after="0"/>
              <w:rPr>
                <w:sz w:val="20"/>
                <w:szCs w:val="20"/>
                <w:color w:val="auto"/>
              </w:rPr>
            </w:pPr>
            <w:r>
              <w:rPr>
                <w:rFonts w:ascii="Arial" w:cs="Arial" w:eastAsia="Arial" w:hAnsi="Arial"/>
                <w:sz w:val="14"/>
                <w:szCs w:val="14"/>
                <w:b w:val="1"/>
                <w:bCs w:val="1"/>
                <w:color w:val="auto"/>
              </w:rPr>
              <w:t>Restated</w:t>
            </w:r>
          </w:p>
        </w:tc>
      </w:tr>
      <w:tr>
        <w:trPr>
          <w:trHeight w:val="224"/>
        </w:trPr>
        <w:tc>
          <w:tcPr>
            <w:tcW w:w="31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196,174</w:t>
            </w:r>
          </w:p>
        </w:tc>
      </w:tr>
      <w:tr>
        <w:trPr>
          <w:trHeight w:val="229"/>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175,296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113,389</w:t>
            </w:r>
          </w:p>
        </w:tc>
      </w:tr>
      <w:tr>
        <w:trPr>
          <w:trHeight w:val="223"/>
        </w:trPr>
        <w:tc>
          <w:tcPr>
            <w:tcW w:w="3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(loss) profit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82,785</w:t>
            </w: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72,700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34,910</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39,352</w:t>
            </w: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100,742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29,484</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9,452</w:t>
            </w:r>
          </w:p>
        </w:tc>
      </w:tr>
      <w:tr>
        <w:trPr>
          <w:trHeight w:val="223"/>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from operations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(241,994)</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(30,413)</w:t>
            </w: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r>
      <w:tr>
        <w:trPr>
          <w:trHeight w:val="223"/>
        </w:trPr>
        <w:tc>
          <w:tcPr>
            <w:tcW w:w="3100" w:type="dxa"/>
            <w:vAlign w:val="bottom"/>
          </w:tcPr>
          <w:p>
            <w:pPr>
              <w:ind w:left="240"/>
              <w:spacing w:after="0"/>
              <w:rPr>
                <w:sz w:val="20"/>
                <w:szCs w:val="20"/>
                <w:color w:val="auto"/>
              </w:rPr>
            </w:pPr>
            <w:r>
              <w:rPr>
                <w:rFonts w:ascii="Arial" w:cs="Arial" w:eastAsia="Arial" w:hAnsi="Arial"/>
                <w:sz w:val="18"/>
                <w:szCs w:val="18"/>
                <w:color w:val="auto"/>
              </w:rPr>
              <w:t>Net loss and comprehensive loss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(241,340)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(29,704)</w:t>
            </w:r>
          </w:p>
        </w:tc>
      </w:tr>
      <w:tr>
        <w:trPr>
          <w:trHeight w:val="21"/>
        </w:trPr>
        <w:tc>
          <w:tcPr>
            <w:tcW w:w="3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2021 and 2020 interim financial statements (unaudited)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the Company has identified quarterly out of period adjustments generally related to recognition of cost of services in the quarterly periods ended March 31, 2021, June 30, 2021 and September 30, 2021.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the misclassification and quarterly out of period adjustments identified on each of the three months periods in the year ended December 31, 2021 and 2020 are disclosed as follows (in thousands):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2021 interim statements of operations and comprehensive loss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left="810"/>
              <w:spacing w:after="0"/>
              <w:rPr>
                <w:sz w:val="20"/>
                <w:szCs w:val="20"/>
                <w:color w:val="auto"/>
              </w:rPr>
            </w:pPr>
            <w:r>
              <w:rPr>
                <w:rFonts w:ascii="Arial" w:cs="Arial" w:eastAsia="Arial" w:hAnsi="Arial"/>
                <w:sz w:val="13"/>
                <w:szCs w:val="13"/>
                <w:b w:val="1"/>
                <w:bCs w:val="1"/>
                <w:color w:val="auto"/>
                <w:w w:val="92"/>
              </w:rPr>
              <w:t>First</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6"/>
          </w:tcPr>
          <w:p>
            <w:pPr>
              <w:jc w:val="center"/>
              <w:ind w:right="940"/>
              <w:spacing w:after="0"/>
              <w:rPr>
                <w:sz w:val="20"/>
                <w:szCs w:val="20"/>
                <w:color w:val="auto"/>
              </w:rPr>
            </w:pPr>
            <w:r>
              <w:rPr>
                <w:rFonts w:ascii="Arial" w:cs="Arial" w:eastAsia="Arial" w:hAnsi="Arial"/>
                <w:sz w:val="13"/>
                <w:szCs w:val="13"/>
                <w:b w:val="1"/>
                <w:bCs w:val="1"/>
                <w:color w:val="auto"/>
                <w:w w:val="85"/>
              </w:rPr>
              <w:t>Second</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3"/>
                <w:szCs w:val="13"/>
                <w:b w:val="1"/>
                <w:bCs w:val="1"/>
                <w:color w:val="auto"/>
                <w:w w:val="93"/>
              </w:rPr>
              <w:t>Quarter</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center"/>
              <w:ind w:right="940"/>
              <w:spacing w:after="0"/>
              <w:rPr>
                <w:sz w:val="20"/>
                <w:szCs w:val="20"/>
                <w:color w:val="auto"/>
              </w:rPr>
            </w:pPr>
            <w:r>
              <w:rPr>
                <w:rFonts w:ascii="Arial" w:cs="Arial" w:eastAsia="Arial" w:hAnsi="Arial"/>
                <w:sz w:val="13"/>
                <w:szCs w:val="13"/>
                <w:b w:val="1"/>
                <w:bCs w:val="1"/>
                <w:color w:val="auto"/>
                <w:w w:val="93"/>
              </w:rPr>
              <w:t>Quarter</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116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83"/>
              </w:rPr>
              <w:t>As</w:t>
            </w:r>
          </w:p>
        </w:tc>
        <w:tc>
          <w:tcPr>
            <w:tcW w:w="13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Misclass-ification</w:t>
            </w:r>
          </w:p>
        </w:tc>
        <w:tc>
          <w:tcPr>
            <w:tcW w:w="116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Adjustment</w:t>
            </w:r>
          </w:p>
        </w:tc>
        <w:tc>
          <w:tcPr>
            <w:tcW w:w="98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Restated</w:t>
            </w:r>
          </w:p>
        </w:tc>
        <w:tc>
          <w:tcPr>
            <w:tcW w:w="1020" w:type="dxa"/>
            <w:vAlign w:val="bottom"/>
            <w:gridSpan w:val="3"/>
          </w:tcPr>
          <w:p>
            <w:pPr>
              <w:jc w:val="right"/>
              <w:ind w:right="420"/>
              <w:spacing w:after="0" w:line="121" w:lineRule="exact"/>
              <w:rPr>
                <w:sz w:val="20"/>
                <w:szCs w:val="20"/>
                <w:color w:val="auto"/>
              </w:rPr>
            </w:pPr>
            <w:r>
              <w:rPr>
                <w:rFonts w:ascii="Arial" w:cs="Arial" w:eastAsia="Arial" w:hAnsi="Arial"/>
                <w:sz w:val="13"/>
                <w:szCs w:val="13"/>
                <w:b w:val="1"/>
                <w:bCs w:val="1"/>
                <w:color w:val="auto"/>
              </w:rPr>
              <w:t>As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9"/>
              </w:rPr>
              <w:t>Misclass-ification</w:t>
            </w:r>
          </w:p>
        </w:tc>
        <w:tc>
          <w:tcPr>
            <w:tcW w:w="120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Adjustment</w:t>
            </w:r>
          </w:p>
        </w:tc>
        <w:tc>
          <w:tcPr>
            <w:tcW w:w="11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Restated</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reported</w:t>
            </w:r>
          </w:p>
        </w:tc>
        <w:tc>
          <w:tcPr>
            <w:tcW w:w="1380" w:type="dxa"/>
            <w:vAlign w:val="bottom"/>
            <w:gridSpan w:val="3"/>
            <w:vMerge w:val="continue"/>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reported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64,351</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64,201</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46,865</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services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71,812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68,524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49,631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(2,287)</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835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(4,323)</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2,287</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jc w:val="right"/>
              <w:spacing w:after="0"/>
              <w:rPr>
                <w:sz w:val="20"/>
                <w:szCs w:val="20"/>
                <w:color w:val="auto"/>
              </w:rPr>
            </w:pPr>
            <w:r>
              <w:rPr>
                <w:rFonts w:ascii="Arial" w:cs="Arial" w:eastAsia="Arial" w:hAnsi="Arial"/>
                <w:sz w:val="14"/>
                <w:szCs w:val="14"/>
                <w:color w:val="auto"/>
              </w:rPr>
              <w:t>53,131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53,133</w:t>
            </w:r>
          </w:p>
        </w:tc>
        <w:tc>
          <w:tcPr>
            <w:tcW w:w="100" w:type="dxa"/>
            <w:vAlign w:val="bottom"/>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11,954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35,366</w:t>
            </w: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16,247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2,287</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spacing w:after="0"/>
              <w:rPr>
                <w:sz w:val="20"/>
                <w:szCs w:val="20"/>
                <w:color w:val="auto"/>
              </w:rPr>
            </w:pPr>
            <w:r>
              <w:rPr>
                <w:rFonts w:ascii="Arial" w:cs="Arial" w:eastAsia="Arial" w:hAnsi="Arial"/>
                <w:sz w:val="14"/>
                <w:szCs w:val="14"/>
                <w:color w:val="auto"/>
              </w:rPr>
              <w:t>101,917</w:t>
            </w:r>
          </w:p>
        </w:tc>
        <w:tc>
          <w:tcPr>
            <w:tcW w:w="100" w:type="dxa"/>
            <w:vAlign w:val="bottom"/>
          </w:tcPr>
          <w:p>
            <w:pPr>
              <w:spacing w:after="0"/>
              <w:rPr>
                <w:sz w:val="16"/>
                <w:szCs w:val="16"/>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102,038</w:t>
            </w:r>
          </w:p>
        </w:tc>
        <w:tc>
          <w:tcPr>
            <w:tcW w:w="100" w:type="dxa"/>
            <w:vAlign w:val="bottom"/>
          </w:tcPr>
          <w:p>
            <w:pPr>
              <w:spacing w:after="0"/>
              <w:rPr>
                <w:sz w:val="16"/>
                <w:szCs w:val="16"/>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12,794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1,797</w:t>
            </w: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888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(195,875)</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(196,657)</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(44,649)</w:t>
            </w:r>
          </w:p>
        </w:tc>
        <w:tc>
          <w:tcPr>
            <w:tcW w:w="1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(799)</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4,882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940" w:type="dxa"/>
            <w:vAlign w:val="bottom"/>
          </w:tcPr>
          <w:p>
            <w:pPr>
              <w:ind w:left="20"/>
              <w:spacing w:after="0" w:line="115" w:lineRule="exact"/>
              <w:rPr>
                <w:sz w:val="20"/>
                <w:szCs w:val="20"/>
                <w:color w:val="auto"/>
              </w:rPr>
            </w:pPr>
            <w:r>
              <w:rPr>
                <w:rFonts w:ascii="Arial" w:cs="Arial" w:eastAsia="Arial" w:hAnsi="Arial"/>
                <w:sz w:val="13"/>
                <w:szCs w:val="13"/>
                <w:color w:val="auto"/>
              </w:rPr>
              <w:t>Net (loss) income and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(190,993)</w:t>
            </w: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(191,775)</w:t>
            </w:r>
          </w:p>
        </w:tc>
        <w:tc>
          <w:tcPr>
            <w:tcW w:w="100" w:type="dxa"/>
            <w:vAlign w:val="bottom"/>
          </w:tcPr>
          <w:p>
            <w:pPr>
              <w:spacing w:after="0"/>
              <w:rPr>
                <w:sz w:val="10"/>
                <w:szCs w:val="10"/>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4"/>
                <w:szCs w:val="14"/>
                <w:color w:val="auto"/>
              </w:rPr>
              <w:t>(45,362)</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(799)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80"/>
              <w:spacing w:after="0"/>
              <w:rPr>
                <w:sz w:val="20"/>
                <w:szCs w:val="20"/>
                <w:color w:val="auto"/>
              </w:rPr>
            </w:pPr>
            <w:r>
              <w:rPr>
                <w:rFonts w:ascii="Arial" w:cs="Arial" w:eastAsia="Arial" w:hAnsi="Arial"/>
                <w:sz w:val="14"/>
                <w:szCs w:val="14"/>
                <w:color w:val="auto"/>
              </w:rPr>
              <w:t>comprehensive loss</w:t>
            </w: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Third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Fourth</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Quarter</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3"/>
              </w:rPr>
              <w:t>Quarter</w:t>
            </w: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3"/>
          </w:tcPr>
          <w:p>
            <w:pPr>
              <w:jc w:val="center"/>
              <w:ind w:left="250"/>
              <w:spacing w:after="0" w:line="121" w:lineRule="exact"/>
              <w:rPr>
                <w:sz w:val="20"/>
                <w:szCs w:val="20"/>
                <w:color w:val="auto"/>
              </w:rPr>
            </w:pPr>
            <w:r>
              <w:rPr>
                <w:rFonts w:ascii="Arial" w:cs="Arial" w:eastAsia="Arial" w:hAnsi="Arial"/>
                <w:sz w:val="13"/>
                <w:szCs w:val="13"/>
                <w:b w:val="1"/>
                <w:bCs w:val="1"/>
                <w:color w:val="auto"/>
                <w:w w:val="83"/>
              </w:rPr>
              <w:t>As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vMerge w:val="restart"/>
          </w:tcPr>
          <w:p>
            <w:pPr>
              <w:jc w:val="right"/>
              <w:ind w:right="520"/>
              <w:spacing w:after="0"/>
              <w:rPr>
                <w:sz w:val="20"/>
                <w:szCs w:val="20"/>
                <w:color w:val="auto"/>
              </w:rPr>
            </w:pPr>
            <w:r>
              <w:rPr>
                <w:rFonts w:ascii="Arial" w:cs="Arial" w:eastAsia="Arial" w:hAnsi="Arial"/>
                <w:sz w:val="13"/>
                <w:szCs w:val="13"/>
                <w:b w:val="1"/>
                <w:bCs w:val="1"/>
                <w:color w:val="auto"/>
                <w:w w:val="95"/>
              </w:rPr>
              <w:t>Misclass-ification</w:t>
            </w:r>
          </w:p>
        </w:tc>
        <w:tc>
          <w:tcPr>
            <w:tcW w:w="130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Adjustment</w:t>
            </w:r>
          </w:p>
        </w:tc>
        <w:tc>
          <w:tcPr>
            <w:tcW w:w="120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Restated</w:t>
            </w:r>
          </w:p>
        </w:tc>
        <w:tc>
          <w:tcPr>
            <w:tcW w:w="1100" w:type="dxa"/>
            <w:vAlign w:val="bottom"/>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83"/>
              </w:rPr>
              <w:t>As</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center"/>
              <w:ind w:left="250"/>
              <w:spacing w:after="0"/>
              <w:rPr>
                <w:sz w:val="20"/>
                <w:szCs w:val="20"/>
                <w:color w:val="auto"/>
              </w:rPr>
            </w:pPr>
            <w:r>
              <w:rPr>
                <w:rFonts w:ascii="Arial" w:cs="Arial" w:eastAsia="Arial" w:hAnsi="Arial"/>
                <w:sz w:val="13"/>
                <w:szCs w:val="13"/>
                <w:b w:val="1"/>
                <w:bCs w:val="1"/>
                <w:color w:val="auto"/>
                <w:w w:val="87"/>
              </w:rPr>
              <w:t>reported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reported</w:t>
            </w:r>
          </w:p>
        </w:tc>
        <w:tc>
          <w:tcPr>
            <w:tcW w:w="0" w:type="dxa"/>
            <w:vAlign w:val="bottom"/>
          </w:tcPr>
          <w:p>
            <w:pPr>
              <w:spacing w:after="0"/>
              <w:rPr>
                <w:sz w:val="1"/>
                <w:szCs w:val="1"/>
                <w:color w:val="auto"/>
              </w:rPr>
            </w:pPr>
          </w:p>
        </w:tc>
      </w:tr>
      <w:tr>
        <w:trPr>
          <w:trHeight w:val="188"/>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43,178</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43,178</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57,801</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20"/>
              <w:spacing w:after="0"/>
              <w:rPr>
                <w:sz w:val="20"/>
                <w:szCs w:val="20"/>
                <w:color w:val="auto"/>
              </w:rPr>
            </w:pPr>
            <w:r>
              <w:rPr>
                <w:rFonts w:ascii="Arial" w:cs="Arial" w:eastAsia="Arial" w:hAnsi="Arial"/>
                <w:sz w:val="14"/>
                <w:szCs w:val="14"/>
                <w:color w:val="auto"/>
              </w:rPr>
              <w:t>Cost of services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color w:val="auto"/>
              </w:rPr>
              <w:t>58,752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51,487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(15,574)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(8,309)</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(2,806)</w:t>
            </w:r>
          </w:p>
        </w:tc>
        <w:tc>
          <w:tcPr>
            <w:tcW w:w="0" w:type="dxa"/>
            <w:vAlign w:val="bottom"/>
          </w:tcPr>
          <w:p>
            <w:pPr>
              <w:spacing w:after="0"/>
              <w:rPr>
                <w:sz w:val="1"/>
                <w:szCs w:val="1"/>
                <w:color w:val="auto"/>
              </w:rPr>
            </w:pPr>
          </w:p>
        </w:tc>
      </w:tr>
      <w:tr>
        <w:trPr>
          <w:trHeight w:val="181"/>
        </w:trPr>
        <w:tc>
          <w:tcPr>
            <w:tcW w:w="19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color w:val="auto"/>
              </w:rPr>
              <w:t>17,831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17,831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22,121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28,152</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color w:val="auto"/>
              </w:rPr>
              <w:t>33,230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33,125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(89,603)</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1,339</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(88,264)</w:t>
            </w:r>
          </w:p>
        </w:tc>
        <w:tc>
          <w:tcPr>
            <w:tcW w:w="2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(115,780)</w:t>
            </w:r>
          </w:p>
        </w:tc>
        <w:tc>
          <w:tcPr>
            <w:tcW w:w="0" w:type="dxa"/>
            <w:vAlign w:val="bottom"/>
          </w:tcPr>
          <w:p>
            <w:pPr>
              <w:spacing w:after="0"/>
              <w:rPr>
                <w:sz w:val="1"/>
                <w:szCs w:val="1"/>
                <w:color w:val="auto"/>
              </w:rPr>
            </w:pPr>
          </w:p>
        </w:tc>
      </w:tr>
      <w:tr>
        <w:trPr>
          <w:trHeight w:val="184"/>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120,995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120,995</w:t>
            </w:r>
          </w:p>
        </w:tc>
        <w:tc>
          <w:tcPr>
            <w:tcW w:w="2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75,595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00" w:type="dxa"/>
            <w:vAlign w:val="bottom"/>
            <w:gridSpan w:val="3"/>
          </w:tcPr>
          <w:p>
            <w:pPr>
              <w:ind w:left="20"/>
              <w:spacing w:after="0"/>
              <w:rPr>
                <w:sz w:val="20"/>
                <w:szCs w:val="20"/>
                <w:color w:val="auto"/>
              </w:rPr>
            </w:pPr>
            <w:r>
              <w:rPr>
                <w:rFonts w:ascii="Arial" w:cs="Arial" w:eastAsia="Arial" w:hAnsi="Arial"/>
                <w:sz w:val="14"/>
                <w:szCs w:val="14"/>
                <w:color w:val="auto"/>
              </w:rPr>
              <w:t>Net (loss) income and comprehensive loss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31,392</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32,731</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(40,185)</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2020 interim statements of operations and comprehensive loss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First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Second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Third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Fourth</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Quarter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Quarter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400" w:type="dxa"/>
            <w:vAlign w:val="bottom"/>
          </w:tcPr>
          <w:p>
            <w:pPr>
              <w:spacing w:after="0"/>
              <w:rPr>
                <w:sz w:val="8"/>
                <w:szCs w:val="8"/>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8"/>
              </w:rPr>
              <w:t>Misclass-</w:t>
            </w: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6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4"/>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720" w:type="dxa"/>
            <w:vAlign w:val="bottom"/>
            <w:vMerge w:val="restart"/>
          </w:tcPr>
          <w:p>
            <w:pPr>
              <w:jc w:val="right"/>
              <w:ind w:right="102"/>
              <w:spacing w:after="0"/>
              <w:rPr>
                <w:sz w:val="20"/>
                <w:szCs w:val="20"/>
                <w:color w:val="auto"/>
              </w:rPr>
            </w:pPr>
            <w:r>
              <w:rPr>
                <w:rFonts w:ascii="Arial" w:cs="Arial" w:eastAsia="Arial" w:hAnsi="Arial"/>
                <w:sz w:val="11"/>
                <w:szCs w:val="11"/>
                <w:b w:val="1"/>
                <w:bCs w:val="1"/>
                <w:color w:val="auto"/>
              </w:rPr>
              <w:t>Restated</w:t>
            </w: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ification</w:t>
            </w: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ification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0" w:type="dxa"/>
            <w:vAlign w:val="bottom"/>
          </w:tcPr>
          <w:p>
            <w:pPr>
              <w:spacing w:after="0"/>
              <w:rPr>
                <w:sz w:val="1"/>
                <w:szCs w:val="1"/>
                <w:color w:val="auto"/>
              </w:rPr>
            </w:pPr>
          </w:p>
        </w:tc>
      </w:tr>
      <w:tr>
        <w:trPr>
          <w:trHeight w:val="159"/>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services</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39,239</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(2,101)</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37,138</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35,985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34,505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36,530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34,022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72,894</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(3,263)</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69,631</w:t>
            </w: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(loss) profit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7,416</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9,517</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(5,883)</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2,078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4,586</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(8,937)</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(5,674)</w:t>
            </w:r>
          </w:p>
        </w:tc>
        <w:tc>
          <w:tcPr>
            <w:tcW w:w="0" w:type="dxa"/>
            <w:vAlign w:val="bottom"/>
          </w:tcPr>
          <w:p>
            <w:pPr>
              <w:spacing w:after="0"/>
              <w:rPr>
                <w:sz w:val="1"/>
                <w:szCs w:val="1"/>
                <w:color w:val="auto"/>
              </w:rPr>
            </w:pPr>
          </w:p>
        </w:tc>
      </w:tr>
      <w:tr>
        <w:trPr>
          <w:trHeight w:val="156"/>
        </w:trPr>
        <w:tc>
          <w:tcPr>
            <w:tcW w:w="1400" w:type="dxa"/>
            <w:vAlign w:val="bottom"/>
          </w:tcPr>
          <w:p>
            <w:pPr>
              <w:ind w:left="20"/>
              <w:spacing w:after="0"/>
              <w:rPr>
                <w:sz w:val="20"/>
                <w:szCs w:val="20"/>
                <w:color w:val="auto"/>
              </w:rPr>
            </w:pPr>
            <w:r>
              <w:rPr>
                <w:rFonts w:ascii="Arial" w:cs="Arial" w:eastAsia="Arial" w:hAnsi="Arial"/>
                <w:sz w:val="12"/>
                <w:szCs w:val="12"/>
                <w:color w:val="auto"/>
                <w:w w:val="92"/>
              </w:rPr>
              <w:t>Research and development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and marketing</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11,733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13,834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8,686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10,166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12,735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15,243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20,677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23,940</w:t>
            </w:r>
          </w:p>
        </w:tc>
        <w:tc>
          <w:tcPr>
            <w:tcW w:w="0" w:type="dxa"/>
            <w:vAlign w:val="bottom"/>
          </w:tcPr>
          <w:p>
            <w:pPr>
              <w:spacing w:after="0"/>
              <w:rPr>
                <w:sz w:val="1"/>
                <w:szCs w:val="1"/>
                <w:color w:val="auto"/>
              </w:rPr>
            </w:pPr>
          </w:p>
        </w:tc>
      </w:tr>
      <w:tr>
        <w:trPr>
          <w:trHeight w:val="159"/>
        </w:trPr>
        <w:tc>
          <w:tcPr>
            <w:tcW w:w="1400" w:type="dxa"/>
            <w:vAlign w:val="bottom"/>
          </w:tcPr>
          <w:p>
            <w:pPr>
              <w:ind w:left="20"/>
              <w:spacing w:after="0"/>
              <w:rPr>
                <w:sz w:val="20"/>
                <w:szCs w:val="20"/>
                <w:color w:val="auto"/>
              </w:rPr>
            </w:pPr>
            <w:r>
              <w:rPr>
                <w:rFonts w:ascii="Arial" w:cs="Arial" w:eastAsia="Arial" w:hAnsi="Arial"/>
                <w:sz w:val="12"/>
                <w:szCs w:val="12"/>
                <w:color w:val="auto"/>
                <w:w w:val="94"/>
              </w:rPr>
              <w:t>General and administrative</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Related party expenses</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0" w:type="dxa"/>
            <w:vAlign w:val="bottom"/>
          </w:tcPr>
          <w:p>
            <w:pPr>
              <w:spacing w:after="0"/>
              <w:rPr>
                <w:sz w:val="1"/>
                <w:szCs w:val="1"/>
                <w:color w:val="auto"/>
              </w:rPr>
            </w:pPr>
          </w:p>
        </w:tc>
      </w:tr>
      <w:tr>
        <w:trPr>
          <w:trHeight w:val="155"/>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operations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0" w:type="dxa"/>
            <w:vAlign w:val="bottom"/>
          </w:tcPr>
          <w:p>
            <w:pPr>
              <w:spacing w:after="0"/>
              <w:rPr>
                <w:sz w:val="1"/>
                <w:szCs w:val="1"/>
                <w:color w:val="auto"/>
              </w:rPr>
            </w:pPr>
          </w:p>
        </w:tc>
      </w:tr>
      <w:tr>
        <w:trPr>
          <w:trHeight w:val="159"/>
        </w:trPr>
        <w:tc>
          <w:tcPr>
            <w:tcW w:w="1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income,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02"/>
        </w:trPr>
        <w:tc>
          <w:tcPr>
            <w:tcW w:w="1400" w:type="dxa"/>
            <w:vAlign w:val="bottom"/>
          </w:tcPr>
          <w:p>
            <w:pPr>
              <w:ind w:left="20"/>
              <w:spacing w:after="0" w:line="102" w:lineRule="exact"/>
              <w:rPr>
                <w:sz w:val="20"/>
                <w:szCs w:val="20"/>
                <w:color w:val="auto"/>
              </w:rPr>
            </w:pPr>
            <w:r>
              <w:rPr>
                <w:rFonts w:ascii="Arial" w:cs="Arial" w:eastAsia="Arial" w:hAnsi="Arial"/>
                <w:sz w:val="11"/>
                <w:szCs w:val="11"/>
                <w:color w:val="auto"/>
                <w:w w:val="97"/>
              </w:rPr>
              <w:t>Net loss and comprehensive</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100" w:type="dxa"/>
            <w:vAlign w:val="bottom"/>
          </w:tcPr>
          <w:p>
            <w:pPr>
              <w:spacing w:after="0"/>
              <w:rPr>
                <w:sz w:val="8"/>
                <w:szCs w:val="8"/>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8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0" w:type="dxa"/>
            <w:vAlign w:val="bottom"/>
          </w:tcPr>
          <w:p>
            <w:pPr>
              <w:spacing w:after="0"/>
              <w:rPr>
                <w:sz w:val="1"/>
                <w:szCs w:val="1"/>
                <w:color w:val="auto"/>
              </w:rPr>
            </w:pPr>
          </w:p>
        </w:tc>
      </w:tr>
      <w:tr>
        <w:trPr>
          <w:trHeight w:val="122"/>
        </w:trPr>
        <w:tc>
          <w:tcPr>
            <w:tcW w:w="1400" w:type="dxa"/>
            <w:vAlign w:val="bottom"/>
          </w:tcPr>
          <w:p>
            <w:pPr>
              <w:ind w:left="20"/>
              <w:spacing w:after="0" w:line="122" w:lineRule="exact"/>
              <w:rPr>
                <w:sz w:val="20"/>
                <w:szCs w:val="20"/>
                <w:color w:val="auto"/>
              </w:rPr>
            </w:pPr>
            <w:r>
              <w:rPr>
                <w:rFonts w:ascii="Arial" w:cs="Arial" w:eastAsia="Arial" w:hAnsi="Arial"/>
                <w:sz w:val="12"/>
                <w:szCs w:val="12"/>
                <w:color w:val="auto"/>
              </w:rPr>
              <w:t>loss</w:t>
            </w: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adjustments also affected certain current asset and liability accounts previously reported in the condensed balance sheets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condensed consolidated balance sheets as of September 30, 2021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March 31, 2021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5"/>
              </w:rPr>
              <w:t>June 30, 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5"/>
              </w:rPr>
              <w:t>September 30,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 reported</w:t>
            </w:r>
          </w:p>
        </w:tc>
        <w:tc>
          <w:tcPr>
            <w:tcW w:w="9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Adjust-</w:t>
            </w:r>
          </w:p>
        </w:tc>
        <w:tc>
          <w:tcPr>
            <w:tcW w:w="9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Restated</w:t>
            </w: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 reported</w:t>
            </w: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9"/>
              </w:rPr>
              <w:t>Adjust-</w:t>
            </w:r>
          </w:p>
        </w:tc>
        <w:tc>
          <w:tcPr>
            <w:tcW w:w="9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Restated</w:t>
            </w:r>
          </w:p>
        </w:tc>
        <w:tc>
          <w:tcPr>
            <w:tcW w:w="820" w:type="dxa"/>
            <w:vAlign w:val="bottom"/>
            <w:vMerge w:val="restart"/>
          </w:tcPr>
          <w:p>
            <w:pPr>
              <w:jc w:val="right"/>
              <w:ind w:right="8"/>
              <w:spacing w:after="0"/>
              <w:rPr>
                <w:sz w:val="20"/>
                <w:szCs w:val="20"/>
                <w:color w:val="auto"/>
              </w:rPr>
            </w:pPr>
            <w:r>
              <w:rPr>
                <w:rFonts w:ascii="Arial" w:cs="Arial" w:eastAsia="Arial" w:hAnsi="Arial"/>
                <w:sz w:val="13"/>
                <w:szCs w:val="13"/>
                <w:b w:val="1"/>
                <w:bCs w:val="1"/>
                <w:color w:val="auto"/>
                <w:w w:val="98"/>
              </w:rPr>
              <w:t>As reported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9"/>
              </w:rPr>
              <w:t>Adjust-ment</w:t>
            </w:r>
          </w:p>
        </w:tc>
        <w:tc>
          <w:tcPr>
            <w:tcW w:w="740" w:type="dxa"/>
            <w:vAlign w:val="bottom"/>
            <w:vMerge w:val="restart"/>
          </w:tcPr>
          <w:p>
            <w:pPr>
              <w:jc w:val="right"/>
              <w:ind w:right="128"/>
              <w:spacing w:after="0"/>
              <w:rPr>
                <w:sz w:val="20"/>
                <w:szCs w:val="20"/>
                <w:color w:val="auto"/>
              </w:rPr>
            </w:pPr>
            <w:r>
              <w:rPr>
                <w:rFonts w:ascii="Arial" w:cs="Arial" w:eastAsia="Arial" w:hAnsi="Arial"/>
                <w:sz w:val="13"/>
                <w:szCs w:val="13"/>
                <w:b w:val="1"/>
                <w:bCs w:val="1"/>
                <w:color w:val="auto"/>
                <w:w w:val="94"/>
              </w:rPr>
              <w:t>Restated</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ment</w:t>
            </w: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ment</w:t>
            </w: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58,652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461,276</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840" w:type="dxa"/>
            <w:vAlign w:val="bottom"/>
          </w:tcPr>
          <w:p>
            <w:pPr>
              <w:jc w:val="right"/>
              <w:spacing w:after="0"/>
              <w:rPr>
                <w:sz w:val="20"/>
                <w:szCs w:val="20"/>
                <w:color w:val="auto"/>
              </w:rPr>
            </w:pPr>
            <w:r>
              <w:rPr>
                <w:rFonts w:ascii="Arial" w:cs="Arial" w:eastAsia="Arial" w:hAnsi="Arial"/>
                <w:sz w:val="14"/>
                <w:szCs w:val="14"/>
                <w:color w:val="auto"/>
              </w:rPr>
              <w:t>33,490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33,340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24,568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24,568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21,257</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from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840" w:type="dxa"/>
            <w:vAlign w:val="bottom"/>
          </w:tcPr>
          <w:p>
            <w:pPr>
              <w:jc w:val="right"/>
              <w:spacing w:after="0"/>
              <w:rPr>
                <w:sz w:val="20"/>
                <w:szCs w:val="20"/>
                <w:color w:val="auto"/>
              </w:rPr>
            </w:pPr>
            <w:r>
              <w:rPr>
                <w:rFonts w:ascii="Arial" w:cs="Arial" w:eastAsia="Arial" w:hAnsi="Arial"/>
                <w:sz w:val="14"/>
                <w:szCs w:val="14"/>
                <w:color w:val="auto"/>
              </w:rPr>
              <w:t>32,969</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32,969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29,128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31,174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31,174</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14,931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24,391</w:t>
            </w:r>
          </w:p>
        </w:tc>
        <w:tc>
          <w:tcPr>
            <w:tcW w:w="0" w:type="dxa"/>
            <w:vAlign w:val="bottom"/>
          </w:tcPr>
          <w:p>
            <w:pPr>
              <w:spacing w:after="0"/>
              <w:rPr>
                <w:sz w:val="1"/>
                <w:szCs w:val="1"/>
                <w:color w:val="auto"/>
              </w:rPr>
            </w:pPr>
          </w:p>
        </w:tc>
      </w:tr>
      <w:tr>
        <w:trPr>
          <w:trHeight w:val="181"/>
        </w:trPr>
        <w:tc>
          <w:tcPr>
            <w:tcW w:w="286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140,530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140,241</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99,012</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99,012</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538,511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538,511</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64,632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64,632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60,333</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3,613</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Arial" w:cs="Arial" w:eastAsia="Arial" w:hAnsi="Arial"/>
                <w:sz w:val="14"/>
                <w:szCs w:val="14"/>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219,586</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219,297</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700" w:type="dxa"/>
            <w:vAlign w:val="bottom"/>
            <w:tcBorders>
              <w:top w:val="single" w:sz="8" w:color="CCEEFF"/>
            </w:tcBorders>
            <w:gridSpan w:val="7"/>
          </w:tcPr>
          <w:p>
            <w:pPr>
              <w:ind w:left="20"/>
              <w:spacing w:after="0"/>
              <w:rPr>
                <w:sz w:val="20"/>
                <w:szCs w:val="20"/>
                <w:color w:val="auto"/>
              </w:rPr>
            </w:pPr>
            <w:r>
              <w:rPr>
                <w:rFonts w:ascii="Arial" w:cs="Arial" w:eastAsia="Arial" w:hAnsi="Arial"/>
                <w:sz w:val="14"/>
                <w:szCs w:val="14"/>
                <w:b w:val="1"/>
                <w:bCs w:val="1"/>
                <w:color w:val="auto"/>
                <w:w w:val="98"/>
              </w:rPr>
              <w:t>Liabilities, Redeemable Convertible Preferred Stock and Stockholders’ Equity (Deficit)</w:t>
            </w: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Accounts payable and accrued expenses</w:t>
            </w:r>
          </w:p>
        </w:tc>
        <w:tc>
          <w:tcPr>
            <w:tcW w:w="840" w:type="dxa"/>
            <w:vAlign w:val="bottom"/>
          </w:tcPr>
          <w:p>
            <w:pPr>
              <w:jc w:val="right"/>
              <w:spacing w:after="0"/>
              <w:rPr>
                <w:sz w:val="20"/>
                <w:szCs w:val="20"/>
                <w:color w:val="auto"/>
              </w:rPr>
            </w:pPr>
            <w:r>
              <w:rPr>
                <w:rFonts w:ascii="Arial" w:cs="Arial" w:eastAsia="Arial" w:hAnsi="Arial"/>
                <w:sz w:val="14"/>
                <w:szCs w:val="14"/>
                <w:color w:val="auto"/>
              </w:rPr>
              <w:t>41,609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42,102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43,650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45,231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43,079</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43,321</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to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Current contract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2,810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1,341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22,991</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22,991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24,764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26,369</w:t>
            </w:r>
          </w:p>
        </w:tc>
        <w:tc>
          <w:tcPr>
            <w:tcW w:w="0" w:type="dxa"/>
            <w:vAlign w:val="bottom"/>
          </w:tcPr>
          <w:p>
            <w:pPr>
              <w:spacing w:after="0"/>
              <w:rPr>
                <w:sz w:val="1"/>
                <w:szCs w:val="1"/>
                <w:color w:val="auto"/>
              </w:rPr>
            </w:pPr>
          </w:p>
        </w:tc>
      </w:tr>
      <w:tr>
        <w:trPr>
          <w:trHeight w:val="181"/>
        </w:trPr>
        <w:tc>
          <w:tcPr>
            <w:tcW w:w="286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68,207</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68,700</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71,033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72,614</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71,366</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71,608</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18,502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11,000</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296,952</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296,952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295,049</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295,049</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46,629</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Earn-out contingent liability</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61,400</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22,530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21,907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21,699</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Arial" w:cs="Arial" w:eastAsia="Arial" w:hAnsi="Arial"/>
                <w:sz w:val="14"/>
                <w:szCs w:val="14"/>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406,191</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406,684</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406,017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407,598</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212,094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212,336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8"/>
              </w:rPr>
              <w:t>Series A-1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w w:val="98"/>
              </w:rPr>
              <w:t>Series A-2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Series B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rPr>
              <w:t>Series C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30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860" w:type="dxa"/>
            <w:vAlign w:val="bottom"/>
          </w:tcPr>
          <w:p>
            <w:pPr>
              <w:ind w:left="140"/>
              <w:spacing w:after="0"/>
              <w:rPr>
                <w:sz w:val="20"/>
                <w:szCs w:val="20"/>
                <w:color w:val="auto"/>
              </w:rPr>
            </w:pPr>
            <w:r>
              <w:rPr>
                <w:rFonts w:ascii="Arial" w:cs="Arial" w:eastAsia="Arial" w:hAnsi="Arial"/>
                <w:sz w:val="14"/>
                <w:szCs w:val="14"/>
                <w:color w:val="auto"/>
              </w:rPr>
              <w:t>Class A common stock</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B convertible common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1,483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926,253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926,253</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(521,826)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(567,987)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(535,014)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(535,256)</w:t>
            </w:r>
          </w:p>
        </w:tc>
        <w:tc>
          <w:tcPr>
            <w:tcW w:w="0" w:type="dxa"/>
            <w:vAlign w:val="bottom"/>
          </w:tcPr>
          <w:p>
            <w:pPr>
              <w:spacing w:after="0"/>
              <w:rPr>
                <w:sz w:val="1"/>
                <w:szCs w:val="1"/>
                <w:color w:val="auto"/>
              </w:rPr>
            </w:pPr>
          </w:p>
        </w:tc>
      </w:tr>
      <w:tr>
        <w:trPr>
          <w:trHeight w:val="181"/>
        </w:trPr>
        <w:tc>
          <w:tcPr>
            <w:tcW w:w="2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stockholders’ (deficit)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(521,044)</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(521,826)</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(564,923)</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(566,504)</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391,263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391,021</w:t>
            </w:r>
          </w:p>
        </w:tc>
        <w:tc>
          <w:tcPr>
            <w:tcW w:w="0" w:type="dxa"/>
            <w:vAlign w:val="bottom"/>
          </w:tcPr>
          <w:p>
            <w:pPr>
              <w:spacing w:after="0"/>
              <w:rPr>
                <w:sz w:val="1"/>
                <w:szCs w:val="1"/>
                <w:color w:val="auto"/>
              </w:rPr>
            </w:pPr>
          </w:p>
        </w:tc>
      </w:tr>
      <w:tr>
        <w:trPr>
          <w:trHeight w:val="116"/>
        </w:trPr>
        <w:tc>
          <w:tcPr>
            <w:tcW w:w="2860" w:type="dxa"/>
            <w:vAlign w:val="bottom"/>
            <w:shd w:val="clear" w:color="auto" w:fill="CCEEFF"/>
          </w:tcPr>
          <w:p>
            <w:pPr>
              <w:ind w:left="140"/>
              <w:spacing w:after="0" w:line="116" w:lineRule="exact"/>
              <w:rPr>
                <w:sz w:val="20"/>
                <w:szCs w:val="20"/>
                <w:color w:val="auto"/>
              </w:rPr>
            </w:pPr>
            <w:r>
              <w:rPr>
                <w:rFonts w:ascii="Arial" w:cs="Arial" w:eastAsia="Arial" w:hAnsi="Arial"/>
                <w:sz w:val="13"/>
                <w:szCs w:val="13"/>
                <w:color w:val="auto"/>
              </w:rPr>
              <w:t>Total liabilities, redeemable convertible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219,586</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219,297</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preferred stock and stockholders’ equity</w:t>
            </w: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For each significant payor, revenue as a percentage of total revenues and accounts receivable as a percentage of total accounts receivable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Accounts Receivable</w:t>
            </w:r>
          </w:p>
        </w:tc>
      </w:tr>
      <w:tr>
        <w:trPr>
          <w:trHeight w:val="187"/>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4280" w:type="dxa"/>
            <w:vAlign w:val="bottom"/>
          </w:tcPr>
          <w:p>
            <w:pPr>
              <w:spacing w:after="0"/>
              <w:rPr>
                <w:sz w:val="15"/>
                <w:szCs w:val="15"/>
                <w:color w:val="auto"/>
              </w:rPr>
            </w:pPr>
          </w:p>
        </w:tc>
        <w:tc>
          <w:tcPr>
            <w:tcW w:w="1040" w:type="dxa"/>
            <w:vAlign w:val="bottom"/>
          </w:tcPr>
          <w:p>
            <w:pPr>
              <w:jc w:val="center"/>
              <w:ind w:left="174"/>
              <w:spacing w:after="0"/>
              <w:rPr>
                <w:sz w:val="20"/>
                <w:szCs w:val="20"/>
                <w:color w:val="auto"/>
              </w:rPr>
            </w:pPr>
            <w:r>
              <w:rPr>
                <w:rFonts w:ascii="Arial" w:cs="Arial" w:eastAsia="Arial" w:hAnsi="Arial"/>
                <w:sz w:val="14"/>
                <w:szCs w:val="14"/>
                <w:b w:val="1"/>
                <w:bCs w:val="1"/>
                <w:color w:val="auto"/>
                <w:w w:val="96"/>
              </w:rPr>
              <w:t>2021</w:t>
            </w:r>
          </w:p>
        </w:tc>
        <w:tc>
          <w:tcPr>
            <w:tcW w:w="166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4"/>
              </w:rPr>
              <w:t>22%</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8"/>
                <w:szCs w:val="18"/>
                <w:color w:val="auto"/>
                <w:w w:val="88"/>
              </w:rPr>
              <w:t>36%</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w w:val="94"/>
              </w:rPr>
              <w:t>13%</w:t>
            </w:r>
          </w:p>
        </w:tc>
        <w:tc>
          <w:tcPr>
            <w:tcW w:w="1660" w:type="dxa"/>
            <w:vAlign w:val="bottom"/>
            <w:gridSpan w:val="3"/>
          </w:tcPr>
          <w:p>
            <w:pPr>
              <w:jc w:val="center"/>
              <w:ind w:left="277"/>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center"/>
              <w:ind w:left="2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w w:val="88"/>
              </w:rPr>
              <w:t>24%</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2021, the Company received an additional $5.6 million during 2021 under the PRF distribution, which was recognized in other income (expense), net in the consolidated statements of operations and comprehensive loss.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December 15, 2021, it was announced that COVID-19 testing services would be discontinued by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5"/>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10,828</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as of December 31, 2021 consists of money market deposit accounts that secure an irrevocable standby letter of credit that serve as collateral for security deposits for operating leases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hierarchy lists three levels of fair value based on the extent to which inputs used in measuring fair value are observable in the market:</w:t>
      </w:r>
    </w:p>
    <w:p>
      <w:pPr>
        <w:spacing w:after="0" w:line="17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significant to the measurement of fair value but are supported by little to no market data.</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capital leases are classified within level 1 of the fair value hierarchy because such agreements bear interest at rates for instruments with similar characteristics; accordingly, the carrying value of these liabilities approximate their fair values.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116"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redeem the outstanding public warrants if the price per share of the common stock equals or exceeds $10.00 as described below:</w:t>
      </w:r>
    </w:p>
    <w:p>
      <w:pPr>
        <w:spacing w:after="0" w:line="183"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ind w:left="660" w:hanging="328"/>
        <w:spacing w:after="0" w:line="308"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the fair value of the earn-out shares issued to the Legacy Sema4 stockholders as of December 31, 2021 was $10.2 million.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 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earn-out is determined using a Monte Carlo valuation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upon share option exercise and vesting of a restricted share unit. Forfeitures of stock-based compensation are recognized as they occur.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adopted Accounting Standards Codification (“ASC”) Topic 606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 on July 22, 2021, the Company consummated the Business Combination and received net cash proceeds of $510.0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71" w:lineRule="exact"/>
        <w:rPr>
          <w:sz w:val="20"/>
          <w:szCs w:val="20"/>
          <w:color w:val="auto"/>
        </w:rPr>
      </w:pPr>
    </w:p>
    <w:p>
      <w:pPr>
        <w:ind w:left="660" w:hanging="328"/>
        <w:spacing w:after="0" w:line="27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holding the proceeds from CMLS’s initial public offering (the “IPO”), which was approximately $10.00 per share, or $101,880 in aggregate.</w:t>
      </w:r>
    </w:p>
    <w:p>
      <w:pPr>
        <w:spacing w:after="0" w:line="183"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“Prior PIPE Investment”). Concurrently with the closing of the Business Combination, the Company consummated the Prior PIPE Investment.</w:t>
      </w:r>
    </w:p>
    <w:p>
      <w:pPr>
        <w:spacing w:after="0" w:line="111"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After giving effect to the Merger, the redemption of public shares and the conversion of the CMLS Class B common stock as described above, and the consummation of the Prior PIPE Investment, there were 240,190,402 shares of the Company’s common stock issued and outstanding.</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disaggregated revenue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169,576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Our assessment performed at year-end did not result in material adjustments to the Company’s previously reported revenue or accounts receivable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balances of contract assets and contract liabilities is shown in the table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2020, the Company had outstanding deferred costs to fulfill contracts of $1.8 million and $3.0 million, respectively. At each period, all outstanding deferred costs were recorded as other current assets.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deferred costs was $1.4 million, $0.9 million and $0.7 million for the years ended December 31, 2021, 2020 and 2019, respectively. 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6"/>
                <w:szCs w:val="16"/>
                <w:color w:val="auto"/>
              </w:rPr>
            </w:pP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385,370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385,370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10,244</w:t>
            </w:r>
          </w:p>
        </w:tc>
        <w:tc>
          <w:tcPr>
            <w:tcW w:w="20" w:type="dxa"/>
            <w:vAlign w:val="bottom"/>
          </w:tcPr>
          <w:p>
            <w:pPr>
              <w:spacing w:after="0"/>
              <w:rPr>
                <w:sz w:val="19"/>
                <w:szCs w:val="19"/>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20" w:type="dxa"/>
            <w:vAlign w:val="bottom"/>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3"/>
          </w:tcPr>
          <w:p>
            <w:pPr>
              <w:ind w:left="24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6"/>
                <w:szCs w:val="16"/>
                <w:color w:val="auto"/>
              </w:rPr>
            </w:pP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92,940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92,940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$400.6 million cash and cash equivalents presented on the consolidated balance sheets, $385.4 million is in money market funds and is classified within Level 1 of the fair value hierarchy as the fair value is based on quoted prices in active markets.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metrics. The key assumptions utilized in determining the valuation as of December 31, 2021 and Closing Date were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tcPr>
          <w:p>
            <w:pPr>
              <w:ind w:left="380"/>
              <w:spacing w:after="0"/>
              <w:rPr>
                <w:sz w:val="20"/>
                <w:szCs w:val="20"/>
                <w:color w:val="auto"/>
              </w:rPr>
            </w:pPr>
            <w:r>
              <w:rPr>
                <w:rFonts w:ascii="Arial" w:cs="Arial" w:eastAsia="Arial" w:hAnsi="Arial"/>
                <w:sz w:val="14"/>
                <w:szCs w:val="14"/>
                <w:b w:val="1"/>
                <w:bCs w:val="1"/>
                <w:color w:val="auto"/>
              </w:rPr>
              <w:t>Closing Date</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$11.60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70.0%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0.20%</w:t>
            </w: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4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consolidated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under the SVB Agreement are secured by a first priority perfected security interest in substantially all of the Company’s assets except for</w:t>
      </w:r>
    </w:p>
    <w:p>
      <w:pPr>
        <w:spacing w:after="0" w:line="46" w:lineRule="exact"/>
        <w:rPr>
          <w:sz w:val="20"/>
          <w:szCs w:val="20"/>
          <w:color w:val="auto"/>
        </w:rPr>
      </w:pPr>
    </w:p>
    <w:p>
      <w:pPr>
        <w:jc w:val="both"/>
        <w:ind w:firstLine="8"/>
        <w:spacing w:after="0" w:line="255" w:lineRule="auto"/>
        <w:tabs>
          <w:tab w:leader="none" w:pos="227" w:val="left"/>
        </w:tabs>
        <w:numPr>
          <w:ilvl w:val="0"/>
          <w:numId w:val="94"/>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 amounts have been drawn under the SVB Agreement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116" w:lineRule="exact"/>
        <w:rPr>
          <w:sz w:val="20"/>
          <w:szCs w:val="20"/>
          <w:color w:val="auto"/>
        </w:rPr>
      </w:pPr>
    </w:p>
    <w:p>
      <w:pPr>
        <w:ind w:left="660" w:hanging="324"/>
        <w:spacing w:after="0" w:line="308" w:lineRule="auto"/>
        <w:rPr>
          <w:sz w:val="20"/>
          <w:szCs w:val="20"/>
          <w:color w:val="auto"/>
        </w:rPr>
      </w:pPr>
      <w:r>
        <w:rPr>
          <w:rFonts w:ascii="Arial" w:cs="Arial" w:eastAsia="Arial" w:hAnsi="Arial"/>
          <w:sz w:val="17"/>
          <w:szCs w:val="17"/>
          <w:color w:val="auto"/>
        </w:rPr>
        <w:t>– $4.5 million of Phase 1 funding ($5.0 million) was forgiven in September 2018 based on creating and maintaining 35 new full-time positions in Connecticut, with a combined annual average compensation of $70,000 for a period of 24 continuous months by December 31, 2017;</w:t>
      </w:r>
    </w:p>
    <w:p>
      <w:pPr>
        <w:spacing w:after="0" w:line="92"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outstanding loan balance from the DECD was $11.0 million at December 31, 2021 and 2020.</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Arial" w:cs="Arial" w:eastAsia="Arial" w:hAnsi="Arial"/>
                <w:sz w:val="18"/>
                <w:szCs w:val="18"/>
                <w:color w:val="auto"/>
              </w:rPr>
              <w:t>As of December 31, 2021,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the $3.6 million proceeds as restricted cash on the consolidated balance sheets at December 31, 2020. The outstanding loan balance was $3.6 million at December 31, 2020. In July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the Company entered into a lease agreement which expanded our existing laboratory facility in Branford, Connecticut. The lease commenced in February 2020 with a 10 year term. The lease includes escalating rent fees over the lease term.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w w:val="99"/>
              </w:rPr>
              <w:t>Future minimum payments under non-cancelable operating leases as of December 31, 2021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under capital leases was $27.7 million and $27.0 million as of December 31, 2021 and 2020, respectively. Accumulated amortization on capital lease assets was $13.6 million and $9.7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49,883</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(43,728)</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Assets acquired under capital leases was $0.6 million, $7.5 million and $9.8 million for the years ended December 31, 2021, 2020 and 2019, respectively. Interest expense related to capital leases was $2.3 million, $2.2 million and $0.7 million for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purchase obligations as of December 31, 2021 with a remaining term of at least one year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Total Commitments</w:t>
            </w: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Materials, services and reagents provider</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Software provider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7,252</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Equipment provider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enters into contracts with suppliers to purchase materials needed for diagnostic testing. These contracts generally do not require multiple-year purchase commitments.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not a party to any material legal proceedings as of December 31, 2021, nor is it a party to any legal proceedings as of the date of issuance of these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$8 million, $5.5 million and $4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03" w:lineRule="exact"/>
        <w:rPr>
          <w:sz w:val="20"/>
          <w:szCs w:val="20"/>
          <w:color w:val="auto"/>
        </w:rPr>
      </w:pPr>
    </w:p>
    <w:p>
      <w:pPr>
        <w:ind w:right="780"/>
        <w:spacing w:after="0" w:line="438" w:lineRule="auto"/>
        <w:rPr>
          <w:sz w:val="20"/>
          <w:szCs w:val="20"/>
          <w:color w:val="auto"/>
        </w:rPr>
      </w:pPr>
      <w:r>
        <w:rPr>
          <w:rFonts w:ascii="Arial" w:cs="Arial" w:eastAsia="Arial" w:hAnsi="Arial"/>
          <w:sz w:val="18"/>
          <w:szCs w:val="18"/>
          <w:color w:val="auto"/>
        </w:rPr>
        <w:t xml:space="preserve">As of December 31, 2021, there was an aggregate of 15,467,838 shares available for grants of stock options or other awards under the 2021 Plan. </w:t>
      </w:r>
      <w:r>
        <w:rPr>
          <w:rFonts w:ascii="Arial" w:cs="Arial" w:eastAsia="Arial" w:hAnsi="Arial"/>
          <w:sz w:val="18"/>
          <w:szCs w:val="18"/>
          <w:b w:val="1"/>
          <w:bCs w:val="1"/>
          <w:i w:val="1"/>
          <w:iCs w:val="1"/>
          <w:color w:val="auto"/>
        </w:rPr>
        <w:t>Employee Stock Purchase Plan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 An incremental expense of $0.4 million resulting from the modification event was recorded in the year ended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1"/>
                <w:szCs w:val="11"/>
                <w:color w:val="auto"/>
              </w:rPr>
            </w:pPr>
          </w:p>
        </w:tc>
        <w:tc>
          <w:tcPr>
            <w:tcW w:w="13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6"/>
                <w:szCs w:val="16"/>
                <w:color w:val="auto"/>
              </w:rPr>
            </w:pPr>
          </w:p>
        </w:tc>
        <w:tc>
          <w:tcPr>
            <w:tcW w:w="1320" w:type="dxa"/>
            <w:vAlign w:val="bottom"/>
          </w:tcPr>
          <w:p>
            <w:pPr>
              <w:jc w:val="right"/>
              <w:ind w:right="45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32,339,970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159,899</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3,474,905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and 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(2,660,627)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109,887</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Options exercisable at December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22,930,309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92,974</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Nonvested options outstanding at the end of the year was 7,975,234 with weighted average grant-date fair value of $8.38.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stock option awards for the period ended December 31, 2021, and as of December 31, 2020, and 2019 were estimated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49.60%-67.70%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66.15%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60.00%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5.00-6.06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0.50–1.49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3.00–5.00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0.71%-1.26%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1.40%–1.43%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Fair value of Class A common stock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$7.62-$11.60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$5.49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$0.77</w:t>
            </w:r>
          </w:p>
        </w:tc>
      </w:tr>
    </w:tbl>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Restricted Stock Units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14,250,909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Units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Restricted Stock Units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Nonvested RSUs outstanding at the end of the year was 12,589,558 with weighted average grant-date fair value of $7.64. The total fair value of RSUs vested for the year ended December 31, 2021 was $9.9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included within the consolidated statements of operations and comprehensive loss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3"/>
              <w:spacing w:after="0" w:line="224" w:lineRule="exact"/>
              <w:rPr>
                <w:sz w:val="20"/>
                <w:szCs w:val="20"/>
                <w:color w:val="auto"/>
              </w:rPr>
            </w:pPr>
            <w:r>
              <w:rPr>
                <w:rFonts w:ascii="Arial" w:cs="Arial" w:eastAsia="Arial" w:hAnsi="Arial"/>
                <w:sz w:val="18"/>
                <w:szCs w:val="18"/>
                <w:color w:val="auto"/>
                <w:w w:val="85"/>
              </w:rPr>
              <w:t>(Restated)</w:t>
            </w:r>
            <w:r>
              <w:rPr>
                <w:rFonts w:ascii="Arial" w:cs="Arial" w:eastAsia="Arial" w:hAnsi="Arial"/>
                <w:sz w:val="23"/>
                <w:szCs w:val="23"/>
                <w:color w:val="auto"/>
                <w:w w:val="85"/>
                <w:vertAlign w:val="superscript"/>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3"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Refer to Note 2, “Summary of Significant Accounting Policies.” for further details and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of Redeemable Convertible Preferred Stock outstanding as of December 31, 2021. Redeemable Convertible Preferred Stock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consisted of the following (in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40" w:type="dxa"/>
            <w:vAlign w:val="bottom"/>
          </w:tcPr>
          <w:p>
            <w:pPr>
              <w:jc w:val="right"/>
              <w:spacing w:after="0"/>
              <w:rPr>
                <w:sz w:val="20"/>
                <w:szCs w:val="20"/>
                <w:color w:val="auto"/>
              </w:rPr>
            </w:pPr>
            <w:r>
              <w:rPr>
                <w:rFonts w:ascii="Arial" w:cs="Arial" w:eastAsia="Arial" w:hAnsi="Arial"/>
                <w:sz w:val="18"/>
                <w:szCs w:val="18"/>
                <w:color w:val="auto"/>
              </w:rPr>
              <w:t>64,718,940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49,700,364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24,496,946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186,554,160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171,535,213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incomes taxes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w w:val="96"/>
              </w:rPr>
              <w:t>Year Ended December 31,</w:t>
            </w: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3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r>
      <w:tr>
        <w:trPr>
          <w:trHeight w:val="211"/>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12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7"/>
        </w:trPr>
        <w:tc>
          <w:tcPr>
            <w:tcW w:w="6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color w:val="auto"/>
              </w:rPr>
              <w:t>Total Tax Expense</w:t>
            </w:r>
          </w:p>
        </w:tc>
        <w:tc>
          <w:tcPr>
            <w:tcW w:w="112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2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7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700" w:type="dxa"/>
            <w:vAlign w:val="bottom"/>
            <w:gridSpan w:val="2"/>
          </w:tcPr>
          <w:p>
            <w:pPr>
              <w:jc w:val="center"/>
              <w:ind w:left="76"/>
              <w:spacing w:after="0"/>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3.5</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70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87"/>
              </w:rPr>
              <w:t>0.6</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(11.3)</w:t>
            </w:r>
          </w:p>
        </w:tc>
        <w:tc>
          <w:tcPr>
            <w:tcW w:w="1700" w:type="dxa"/>
            <w:vAlign w:val="bottom"/>
            <w:gridSpan w:val="2"/>
          </w:tcPr>
          <w:p>
            <w:pPr>
              <w:jc w:val="center"/>
              <w:ind w:left="76"/>
              <w:spacing w:after="0"/>
              <w:rPr>
                <w:sz w:val="20"/>
                <w:szCs w:val="20"/>
                <w:color w:val="auto"/>
              </w:rPr>
            </w:pPr>
            <w:r>
              <w:rPr>
                <w:rFonts w:ascii="Arial" w:cs="Arial" w:eastAsia="Arial" w:hAnsi="Arial"/>
                <w:sz w:val="18"/>
                <w:szCs w:val="18"/>
                <w:color w:val="auto"/>
                <w:w w:val="91"/>
              </w:rPr>
              <w:t>(7.8)</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162(m) Limitation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4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(0.5)</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17.0</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(32.0)</w:t>
            </w:r>
          </w:p>
        </w:tc>
        <w:tc>
          <w:tcPr>
            <w:tcW w:w="1700" w:type="dxa"/>
            <w:vAlign w:val="bottom"/>
            <w:gridSpan w:val="2"/>
          </w:tcPr>
          <w:p>
            <w:pPr>
              <w:jc w:val="center"/>
              <w:ind w:left="56"/>
              <w:spacing w:after="0"/>
              <w:rPr>
                <w:sz w:val="20"/>
                <w:szCs w:val="20"/>
                <w:color w:val="auto"/>
              </w:rPr>
            </w:pPr>
            <w:r>
              <w:rPr>
                <w:rFonts w:ascii="Arial" w:cs="Arial" w:eastAsia="Arial" w:hAnsi="Arial"/>
                <w:sz w:val="18"/>
                <w:szCs w:val="18"/>
                <w:color w:val="auto"/>
                <w:w w:val="93"/>
              </w:rPr>
              <w:t>(15.9)</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(24.1)</w:t>
            </w:r>
          </w:p>
        </w:tc>
      </w:tr>
      <w:tr>
        <w:trPr>
          <w:trHeight w:val="24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132,075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44,583</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Obsolete inventory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the following tax net operating loss carryforwards available to reduce future federal and state taxable income, and tax credit carryforwards available to offset future federal and Connecticut income taxes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tcPr>
          <w:p>
            <w:pPr>
              <w:jc w:val="right"/>
              <w:spacing w:after="0"/>
              <w:rPr>
                <w:sz w:val="20"/>
                <w:szCs w:val="20"/>
                <w:color w:val="auto"/>
              </w:rPr>
            </w:pPr>
            <w:r>
              <w:rPr>
                <w:rFonts w:ascii="Arial" w:cs="Arial" w:eastAsia="Arial" w:hAnsi="Arial"/>
                <w:sz w:val="18"/>
                <w:szCs w:val="18"/>
                <w:color w:val="auto"/>
              </w:rPr>
              <w:t>589,584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deferred tax valuation allowance balances (in thousands):</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242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Balance at the Beginning of Period</w:t>
            </w:r>
          </w:p>
        </w:tc>
        <w:tc>
          <w:tcPr>
            <w:tcW w:w="2440" w:type="dxa"/>
            <w:vAlign w:val="bottom"/>
            <w:gridSpan w:val="2"/>
          </w:tcPr>
          <w:p>
            <w:pPr>
              <w:ind w:left="860"/>
              <w:spacing w:after="0"/>
              <w:rPr>
                <w:sz w:val="20"/>
                <w:szCs w:val="20"/>
                <w:color w:val="auto"/>
              </w:rPr>
            </w:pPr>
            <w:r>
              <w:rPr>
                <w:rFonts w:ascii="Arial" w:cs="Arial" w:eastAsia="Arial" w:hAnsi="Arial"/>
                <w:sz w:val="14"/>
                <w:szCs w:val="14"/>
                <w:b w:val="1"/>
                <w:bCs w:val="1"/>
                <w:color w:val="auto"/>
              </w:rPr>
              <w:t>Additions</w:t>
            </w:r>
          </w:p>
        </w:tc>
        <w:tc>
          <w:tcPr>
            <w:tcW w:w="2420" w:type="dxa"/>
            <w:vAlign w:val="bottom"/>
            <w:gridSpan w:val="2"/>
          </w:tcPr>
          <w:p>
            <w:pPr>
              <w:ind w:left="600"/>
              <w:spacing w:after="0"/>
              <w:rPr>
                <w:sz w:val="20"/>
                <w:szCs w:val="20"/>
                <w:color w:val="auto"/>
              </w:rPr>
            </w:pPr>
            <w:r>
              <w:rPr>
                <w:rFonts w:ascii="Arial" w:cs="Arial" w:eastAsia="Arial" w:hAnsi="Arial"/>
                <w:sz w:val="14"/>
                <w:szCs w:val="14"/>
                <w:b w:val="1"/>
                <w:bCs w:val="1"/>
                <w:color w:val="auto"/>
              </w:rPr>
              <w:t>Write-Offs/Other</w:t>
            </w:r>
          </w:p>
        </w:tc>
        <w:tc>
          <w:tcPr>
            <w:tcW w:w="200" w:type="dxa"/>
            <w:vAlign w:val="bottom"/>
          </w:tcPr>
          <w:p>
            <w:pPr>
              <w:spacing w:after="0"/>
              <w:rPr>
                <w:sz w:val="16"/>
                <w:szCs w:val="16"/>
                <w:color w:val="auto"/>
              </w:rPr>
            </w:pPr>
          </w:p>
        </w:tc>
        <w:tc>
          <w:tcPr>
            <w:tcW w:w="218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Balance at the End of Period</w:t>
            </w:r>
          </w:p>
        </w:tc>
      </w:tr>
      <w:tr>
        <w:trPr>
          <w:trHeight w:val="229"/>
        </w:trPr>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97,404</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38,182</w:t>
            </w:r>
          </w:p>
        </w:tc>
        <w:tc>
          <w:tcPr>
            <w:tcW w:w="120" w:type="dxa"/>
            <w:vAlign w:val="bottom"/>
          </w:tcPr>
          <w:p>
            <w:pPr>
              <w:spacing w:after="0"/>
              <w:rPr>
                <w:sz w:val="19"/>
                <w:szCs w:val="19"/>
                <w:color w:val="auto"/>
              </w:rPr>
            </w:pPr>
          </w:p>
        </w:tc>
        <w:tc>
          <w:tcPr>
            <w:tcW w:w="242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58,264</w:t>
            </w:r>
          </w:p>
        </w:tc>
      </w:tr>
      <w:tr>
        <w:trPr>
          <w:trHeight w:val="229"/>
        </w:trPr>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2021, 2020 and 2019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6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636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106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6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7"/>
              </w:rPr>
              <w:t>Denominator for basic and diluted earnings per share-weighted-average common</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and RSUs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32,339,971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22,491,757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Outstanding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earn-out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Outstanding earn-out RSUs</w:t>
            </w:r>
          </w:p>
        </w:tc>
        <w:tc>
          <w:tcPr>
            <w:tcW w:w="1560" w:type="dxa"/>
            <w:vAlign w:val="bottom"/>
          </w:tcPr>
          <w:p>
            <w:pPr>
              <w:jc w:val="right"/>
              <w:spacing w:after="0"/>
              <w:rPr>
                <w:sz w:val="20"/>
                <w:szCs w:val="20"/>
                <w:color w:val="auto"/>
              </w:rPr>
            </w:pPr>
            <w:r>
              <w:rPr>
                <w:rFonts w:ascii="Arial" w:cs="Arial" w:eastAsia="Arial" w:hAnsi="Arial"/>
                <w:sz w:val="18"/>
                <w:szCs w:val="18"/>
                <w:color w:val="auto"/>
              </w:rPr>
              <w:t>2,669,679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157,618,388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121,298,525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76,536,415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189,958,359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143,790,282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15. 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bonus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benefits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Accrued commissions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Acquisition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14, 2022, the Company entered into an Agreement and Plan of Merger and Reorganization (the “Acquisition Merger Agreement”) with GeneDx, Inc., a New Jersey corporation (“GeneDx”) and a wholly-owned subsidiary of OPKO Health, inc, and the other parties thereto.</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the terms and conditions of the Acquisition Merger Agreement, the Company agreed to pay to OPKO Health Inc., of (i) $150 million in cash at the closing of the acquisition (the “Closing”), subject to certain adjustments as provided in the Acquisition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Acquisition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Acquisition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Subscription Agreements and Acquisition PIPE Investment (Private Placement)</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January 14, 2022, concurrently with the execution of the Acquisition Merger Agreement, the Company entered into subscription agreements for a private placement financing to issue and sell $200 million in Class A common stock at a price of $4.00 per share to a syndicate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60" w:type="dxa"/>
            <w:vAlign w:val="bottom"/>
          </w:tcPr>
          <w:p>
            <w:pPr>
              <w:jc w:val="center"/>
              <w:ind w:right="3330"/>
              <w:spacing w:after="0"/>
              <w:rPr>
                <w:sz w:val="20"/>
                <w:szCs w:val="20"/>
                <w:color w:val="auto"/>
              </w:rPr>
            </w:pPr>
            <w:r>
              <w:rPr>
                <w:rFonts w:ascii="Arial" w:cs="Arial" w:eastAsia="Arial" w:hAnsi="Arial"/>
                <w:sz w:val="18"/>
                <w:szCs w:val="18"/>
                <w:b w:val="1"/>
                <w:bCs w:val="1"/>
                <w:color w:val="auto"/>
                <w:w w:val="99"/>
              </w:rPr>
              <w:t>GENEDX, INC. AND SUBSIDIARY</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0" w:type="dxa"/>
            <w:vAlign w:val="bottom"/>
            <w:gridSpan w:val="4"/>
          </w:tcPr>
          <w:p>
            <w:pPr>
              <w:jc w:val="center"/>
              <w:ind w:right="2310"/>
              <w:spacing w:after="0"/>
              <w:rPr>
                <w:sz w:val="20"/>
                <w:szCs w:val="20"/>
                <w:color w:val="auto"/>
              </w:rPr>
            </w:pPr>
            <w:r>
              <w:rPr>
                <w:rFonts w:ascii="Arial" w:cs="Arial" w:eastAsia="Arial" w:hAnsi="Arial"/>
                <w:sz w:val="18"/>
                <w:szCs w:val="18"/>
                <w:b w:val="1"/>
                <w:bCs w:val="1"/>
                <w:color w:val="auto"/>
              </w:rPr>
              <w:t>COMBINED CARVE OUT FINANCIAL STATEMENTS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3"/>
          </w:tcPr>
          <w:p>
            <w:pPr>
              <w:jc w:val="center"/>
              <w:ind w:right="2650"/>
              <w:spacing w:after="0"/>
              <w:rPr>
                <w:sz w:val="20"/>
                <w:szCs w:val="20"/>
                <w:color w:val="auto"/>
              </w:rPr>
            </w:pPr>
            <w:r>
              <w:rPr>
                <w:rFonts w:ascii="Arial" w:cs="Arial" w:eastAsia="Arial" w:hAnsi="Arial"/>
                <w:sz w:val="18"/>
                <w:szCs w:val="18"/>
                <w:b w:val="1"/>
                <w:bCs w:val="1"/>
                <w:color w:val="auto"/>
                <w:w w:val="95"/>
              </w:rPr>
              <w:t>YEARS ENDED DECEMBER 31, 2021 and 2020</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80" w:type="dxa"/>
            <w:vAlign w:val="bottom"/>
            <w:gridSpan w:val="2"/>
            <w:vMerge w:val="restart"/>
          </w:tcPr>
          <w:p>
            <w:pPr>
              <w:spacing w:after="0"/>
              <w:rPr>
                <w:sz w:val="20"/>
                <w:szCs w:val="20"/>
                <w:color w:val="auto"/>
              </w:rPr>
            </w:pPr>
            <w:r>
              <w:rPr>
                <w:rFonts w:ascii="Arial" w:cs="Arial" w:eastAsia="Arial" w:hAnsi="Arial"/>
                <w:sz w:val="18"/>
                <w:szCs w:val="18"/>
                <w:color w:val="0000FF"/>
              </w:rPr>
              <w:t>Report of Independent Auditors</w:t>
            </w:r>
          </w:p>
        </w:tc>
        <w:tc>
          <w:tcPr>
            <w:tcW w:w="7820" w:type="dxa"/>
            <w:vAlign w:val="bottom"/>
            <w:gridSpan w:val="5"/>
            <w:vMerge w:val="restart"/>
          </w:tcPr>
          <w:p>
            <w:pPr>
              <w:spacing w:after="0"/>
              <w:rPr>
                <w:sz w:val="24"/>
                <w:szCs w:val="24"/>
                <w:color w:val="auto"/>
              </w:rPr>
            </w:pPr>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680" w:type="dxa"/>
            <w:vAlign w:val="bottom"/>
            <w:gridSpan w:val="2"/>
            <w:vMerge w:val="continue"/>
          </w:tcPr>
          <w:p>
            <w:pPr>
              <w:spacing w:after="0"/>
              <w:rPr>
                <w:sz w:val="14"/>
                <w:szCs w:val="14"/>
                <w:color w:val="auto"/>
              </w:rPr>
            </w:pPr>
          </w:p>
        </w:tc>
        <w:tc>
          <w:tcPr>
            <w:tcW w:w="782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spacing w:after="0" w:line="156" w:lineRule="exact"/>
              <w:rPr>
                <w:rFonts w:ascii="Arial" w:cs="Arial" w:eastAsia="Arial" w:hAnsi="Arial"/>
                <w:sz w:val="18"/>
                <w:szCs w:val="18"/>
                <w:color w:val="0000FF"/>
                <w:w w:val="91"/>
              </w:rPr>
            </w:pPr>
            <w:r>
              <w:rPr>
                <w:rFonts w:ascii="Arial" w:cs="Arial" w:eastAsia="Arial" w:hAnsi="Arial"/>
                <w:sz w:val="18"/>
                <w:szCs w:val="18"/>
                <w:color w:val="0000FF"/>
                <w:w w:val="91"/>
              </w:rPr>
              <w:t>F-</w:t>
            </w:r>
            <w:hyperlink w:anchor="page208">
              <w:r>
                <w:rPr>
                  <w:rFonts w:ascii="Arial" w:cs="Arial" w:eastAsia="Arial" w:hAnsi="Arial"/>
                  <w:sz w:val="18"/>
                  <w:szCs w:val="18"/>
                  <w:color w:val="0000FF"/>
                  <w:w w:val="91"/>
                </w:rPr>
                <w:t>42</w:t>
              </w:r>
            </w:hyperlink>
          </w:p>
        </w:tc>
        <w:tc>
          <w:tcPr>
            <w:tcW w:w="0" w:type="dxa"/>
            <w:vAlign w:val="bottom"/>
          </w:tcPr>
          <w:p>
            <w:pPr>
              <w:spacing w:after="0"/>
              <w:rPr>
                <w:sz w:val="1"/>
                <w:szCs w:val="1"/>
                <w:color w:val="auto"/>
              </w:rPr>
            </w:pPr>
          </w:p>
        </w:tc>
      </w:tr>
      <w:tr>
        <w:trPr>
          <w:trHeight w:val="27"/>
        </w:trPr>
        <w:tc>
          <w:tcPr>
            <w:tcW w:w="268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500" w:type="dxa"/>
            <w:vAlign w:val="bottom"/>
            <w:gridSpan w:val="7"/>
          </w:tcPr>
          <w:p>
            <w:pPr>
              <w:spacing w:after="0"/>
              <w:rPr>
                <w:sz w:val="20"/>
                <w:szCs w:val="20"/>
                <w:color w:val="auto"/>
              </w:rPr>
            </w:pPr>
            <w:r>
              <w:rPr>
                <w:rFonts w:ascii="Arial" w:cs="Arial" w:eastAsia="Arial" w:hAnsi="Arial"/>
                <w:sz w:val="18"/>
                <w:szCs w:val="18"/>
                <w:color w:val="0000FF"/>
              </w:rPr>
              <w:t>Combined Carve Out Balance Sheets</w:t>
            </w:r>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0">
              <w:r>
                <w:rPr>
                  <w:rFonts w:ascii="Arial" w:cs="Arial" w:eastAsia="Arial" w:hAnsi="Arial"/>
                  <w:sz w:val="18"/>
                  <w:szCs w:val="18"/>
                  <w:color w:val="0000FF"/>
                  <w:w w:val="91"/>
                </w:rPr>
                <w:t>44</w:t>
              </w:r>
            </w:hyperlink>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6"/>
          </w:tcPr>
          <w:p>
            <w:pPr>
              <w:spacing w:after="0"/>
              <w:rPr>
                <w:sz w:val="20"/>
                <w:szCs w:val="20"/>
                <w:color w:val="auto"/>
              </w:rPr>
            </w:pPr>
            <w:r>
              <w:rPr>
                <w:rFonts w:ascii="Arial" w:cs="Arial" w:eastAsia="Arial" w:hAnsi="Arial"/>
                <w:sz w:val="18"/>
                <w:szCs w:val="18"/>
                <w:color w:val="0000FF"/>
                <w:w w:val="89"/>
              </w:rPr>
              <w:t>Combined Carve Out Statements of Comprehensive Loss</w:t>
            </w: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1">
              <w:r>
                <w:rPr>
                  <w:rFonts w:ascii="Arial" w:cs="Arial" w:eastAsia="Arial" w:hAnsi="Arial"/>
                  <w:sz w:val="18"/>
                  <w:szCs w:val="18"/>
                  <w:color w:val="0000FF"/>
                  <w:w w:val="91"/>
                </w:rPr>
                <w:t>45</w:t>
              </w:r>
            </w:hyperlink>
          </w:p>
        </w:tc>
        <w:tc>
          <w:tcPr>
            <w:tcW w:w="0" w:type="dxa"/>
            <w:vAlign w:val="bottom"/>
          </w:tcPr>
          <w:p>
            <w:pPr>
              <w:spacing w:after="0"/>
              <w:rPr>
                <w:sz w:val="1"/>
                <w:szCs w:val="1"/>
                <w:color w:val="auto"/>
              </w:rPr>
            </w:pPr>
          </w:p>
        </w:tc>
      </w:tr>
      <w:tr>
        <w:trPr>
          <w:trHeight w:val="20"/>
        </w:trPr>
        <w:tc>
          <w:tcPr>
            <w:tcW w:w="31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3"/>
          </w:tcPr>
          <w:p>
            <w:pPr>
              <w:spacing w:after="0"/>
              <w:rPr>
                <w:sz w:val="20"/>
                <w:szCs w:val="20"/>
                <w:color w:val="auto"/>
              </w:rPr>
            </w:pPr>
            <w:r>
              <w:rPr>
                <w:rFonts w:ascii="Arial" w:cs="Arial" w:eastAsia="Arial" w:hAnsi="Arial"/>
                <w:sz w:val="18"/>
                <w:szCs w:val="18"/>
                <w:color w:val="0000FF"/>
                <w:w w:val="90"/>
              </w:rPr>
              <w:t>Combined Carve Out Statements of Equity</w:t>
            </w:r>
          </w:p>
        </w:tc>
        <w:tc>
          <w:tcPr>
            <w:tcW w:w="1040" w:type="dxa"/>
            <w:vAlign w:val="bottom"/>
            <w:gridSpan w:val="3"/>
          </w:tcPr>
          <w:p>
            <w:pPr>
              <w:spacing w:after="0"/>
              <w:rPr>
                <w:sz w:val="18"/>
                <w:szCs w:val="18"/>
                <w:color w:val="auto"/>
              </w:rPr>
            </w:pP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2">
              <w:r>
                <w:rPr>
                  <w:rFonts w:ascii="Arial" w:cs="Arial" w:eastAsia="Arial" w:hAnsi="Arial"/>
                  <w:sz w:val="18"/>
                  <w:szCs w:val="18"/>
                  <w:color w:val="0000FF"/>
                  <w:w w:val="91"/>
                </w:rPr>
                <w:t>46</w:t>
              </w:r>
            </w:hyperlink>
          </w:p>
        </w:tc>
        <w:tc>
          <w:tcPr>
            <w:tcW w:w="0" w:type="dxa"/>
            <w:vAlign w:val="bottom"/>
          </w:tcPr>
          <w:p>
            <w:pPr>
              <w:spacing w:after="0"/>
              <w:rPr>
                <w:sz w:val="1"/>
                <w:szCs w:val="1"/>
                <w:color w:val="auto"/>
              </w:rPr>
            </w:pPr>
          </w:p>
        </w:tc>
      </w:tr>
      <w:tr>
        <w:trPr>
          <w:trHeight w:val="20"/>
        </w:trPr>
        <w:tc>
          <w:tcPr>
            <w:tcW w:w="31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7"/>
          </w:tcPr>
          <w:p>
            <w:pPr>
              <w:spacing w:after="0"/>
              <w:rPr>
                <w:sz w:val="20"/>
                <w:szCs w:val="20"/>
                <w:color w:val="auto"/>
              </w:rPr>
            </w:pPr>
            <w:r>
              <w:rPr>
                <w:rFonts w:ascii="Arial" w:cs="Arial" w:eastAsia="Arial" w:hAnsi="Arial"/>
                <w:sz w:val="18"/>
                <w:szCs w:val="18"/>
                <w:color w:val="0000FF"/>
              </w:rPr>
              <w:t>Combined Carve Out Statements of Cash Flows</w:t>
            </w:r>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3">
              <w:r>
                <w:rPr>
                  <w:rFonts w:ascii="Arial" w:cs="Arial" w:eastAsia="Arial" w:hAnsi="Arial"/>
                  <w:sz w:val="18"/>
                  <w:szCs w:val="18"/>
                  <w:color w:val="0000FF"/>
                  <w:w w:val="91"/>
                </w:rPr>
                <w:t>47</w:t>
              </w:r>
            </w:hyperlink>
          </w:p>
        </w:tc>
        <w:tc>
          <w:tcPr>
            <w:tcW w:w="0" w:type="dxa"/>
            <w:vAlign w:val="bottom"/>
          </w:tcPr>
          <w:p>
            <w:pPr>
              <w:spacing w:after="0"/>
              <w:rPr>
                <w:sz w:val="1"/>
                <w:szCs w:val="1"/>
                <w:color w:val="auto"/>
              </w:rPr>
            </w:pPr>
          </w:p>
        </w:tc>
      </w:tr>
      <w:tr>
        <w:trPr>
          <w:trHeight w:val="20"/>
        </w:trPr>
        <w:tc>
          <w:tcPr>
            <w:tcW w:w="34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7"/>
          </w:tcPr>
          <w:p>
            <w:pPr>
              <w:spacing w:after="0"/>
              <w:rPr>
                <w:sz w:val="20"/>
                <w:szCs w:val="20"/>
                <w:color w:val="auto"/>
              </w:rPr>
            </w:pPr>
            <w:r>
              <w:rPr>
                <w:rFonts w:ascii="Arial" w:cs="Arial" w:eastAsia="Arial" w:hAnsi="Arial"/>
                <w:sz w:val="18"/>
                <w:szCs w:val="18"/>
                <w:color w:val="0000FF"/>
              </w:rPr>
              <w:t>Notes to Carve Out Combined Financial Statements</w:t>
            </w:r>
          </w:p>
        </w:tc>
        <w:tc>
          <w:tcPr>
            <w:tcW w:w="720" w:type="dxa"/>
            <w:vAlign w:val="bottom"/>
            <w:gridSpan w:val="3"/>
          </w:tcPr>
          <w:p>
            <w:pPr>
              <w:ind w:left="360"/>
              <w:spacing w:after="0"/>
              <w:rPr>
                <w:rFonts w:ascii="Arial" w:cs="Arial" w:eastAsia="Arial" w:hAnsi="Arial"/>
                <w:sz w:val="18"/>
                <w:szCs w:val="18"/>
                <w:color w:val="0000FF"/>
                <w:w w:val="91"/>
              </w:rPr>
            </w:pPr>
            <w:r>
              <w:rPr>
                <w:rFonts w:ascii="Arial" w:cs="Arial" w:eastAsia="Arial" w:hAnsi="Arial"/>
                <w:sz w:val="18"/>
                <w:szCs w:val="18"/>
                <w:color w:val="0000FF"/>
                <w:w w:val="91"/>
              </w:rPr>
              <w:t>F-</w:t>
            </w:r>
            <w:hyperlink w:anchor="page214">
              <w:r>
                <w:rPr>
                  <w:rFonts w:ascii="Arial" w:cs="Arial" w:eastAsia="Arial" w:hAnsi="Arial"/>
                  <w:sz w:val="18"/>
                  <w:szCs w:val="18"/>
                  <w:color w:val="0000FF"/>
                  <w:w w:val="91"/>
                </w:rPr>
                <w:t>48</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08" w:name="page209"/>
    <w:bookmarkEnd w:id="208"/>
    <w:p>
      <w:pPr>
        <w:spacing w:after="0" w:line="14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Report of Independent Auditors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GeneDx, Inc. and Subsidiary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the combined carve-out financial statements of GeneDx, Inc. and subsidiary (the Company), which comprise the combined balance sheets as of December 31, 2021 and 2020, and the related combined statements of comprehensive loss, equity and cash flows for the years then ended, and the related notes (collectively referred to as the “combined financial statements”).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accompanying financial statements present fairly, in all material respects, the financial position of the Company at December 31, 2021 and 2020, and the results of its operations and its cash flows for the years then ended in accordance with accounting principles generally accepted in the United States of America.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Financial Statements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 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Financial Statements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performing an audit in accordance with GAAS, we:</w:t>
      </w:r>
    </w:p>
    <w:p>
      <w:pPr>
        <w:spacing w:after="0" w:line="171"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 w:lineRule="exact"/>
        <w:rPr>
          <w:rFonts w:ascii="Arial" w:cs="Arial" w:eastAsia="Arial" w:hAnsi="Arial"/>
          <w:sz w:val="16"/>
          <w:szCs w:val="16"/>
          <w:color w:val="auto"/>
        </w:rPr>
      </w:pPr>
    </w:p>
    <w:p>
      <w:pPr>
        <w:ind w:left="660" w:right="20" w:hanging="328"/>
        <w:spacing w:after="0" w:line="260"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Investment in related companies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Due from Parent and its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66,541</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Common Stock - $0.01 par value per share, 100 shares authorized; 100 shares issued and outstanding at</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2021 and 2020, respectively</w:t>
            </w: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622,752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460,206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74,367</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41,583</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(46,853)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(34,903)</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gridSpan w:val="6"/>
          </w:tcPr>
          <w:p>
            <w:pPr>
              <w:jc w:val="center"/>
              <w:ind w:left="139"/>
              <w:spacing w:after="0"/>
              <w:rPr>
                <w:sz w:val="20"/>
                <w:szCs w:val="20"/>
                <w:color w:val="auto"/>
              </w:rPr>
            </w:pPr>
            <w:r>
              <w:rPr>
                <w:rFonts w:ascii="Arial" w:cs="Arial" w:eastAsia="Arial" w:hAnsi="Arial"/>
                <w:sz w:val="18"/>
                <w:szCs w:val="18"/>
                <w:b w:val="1"/>
                <w:bCs w:val="1"/>
                <w:color w:val="auto"/>
                <w:w w:val="91"/>
              </w:rPr>
              <w:t>GeneDx, Inc. and Subsidiary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500" w:type="dxa"/>
            <w:vAlign w:val="bottom"/>
            <w:gridSpan w:val="15"/>
          </w:tcPr>
          <w:p>
            <w:pPr>
              <w:jc w:val="center"/>
              <w:ind w:left="2670"/>
              <w:spacing w:after="0"/>
              <w:rPr>
                <w:sz w:val="20"/>
                <w:szCs w:val="20"/>
                <w:color w:val="auto"/>
              </w:rPr>
            </w:pPr>
            <w:r>
              <w:rPr>
                <w:rFonts w:ascii="Arial" w:cs="Arial" w:eastAsia="Arial" w:hAnsi="Arial"/>
                <w:sz w:val="18"/>
                <w:szCs w:val="18"/>
                <w:b w:val="1"/>
                <w:bCs w:val="1"/>
                <w:color w:val="auto"/>
              </w:rPr>
              <w:t>COMBINED CARVE OUT STATEMENTS OF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88"/>
              </w:rPr>
              <w:t>(in thousands, except share data)</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520" w:type="dxa"/>
            <w:vAlign w:val="bottom"/>
            <w:gridSpan w:val="13"/>
          </w:tcPr>
          <w:p>
            <w:pPr>
              <w:jc w:val="center"/>
              <w:ind w:left="3630"/>
              <w:spacing w:after="0"/>
              <w:rPr>
                <w:sz w:val="20"/>
                <w:szCs w:val="20"/>
                <w:color w:val="auto"/>
              </w:rPr>
            </w:pPr>
            <w:r>
              <w:rPr>
                <w:rFonts w:ascii="Arial" w:cs="Arial" w:eastAsia="Arial" w:hAnsi="Arial"/>
                <w:sz w:val="18"/>
                <w:szCs w:val="18"/>
                <w:b w:val="1"/>
                <w:bCs w:val="1"/>
                <w:color w:val="auto"/>
                <w:w w:val="89"/>
              </w:rPr>
              <w:t>For the years ended December 31, 2021 and 2020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2"/>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6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473,557</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21,321</w:t>
            </w: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Genome dissolution entries</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auto"/>
            </w:tcBorders>
            <w:gridSpan w:val="2"/>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r>
      <w:tr>
        <w:trPr>
          <w:trHeight w:val="223"/>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460,206</w:t>
            </w:r>
          </w:p>
        </w:tc>
      </w:tr>
      <w:tr>
        <w:trPr>
          <w:trHeight w:val="21"/>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41"/>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2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2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460,206</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35,932</w:t>
            </w:r>
          </w:p>
        </w:tc>
      </w:tr>
      <w:tr>
        <w:trPr>
          <w:trHeight w:val="229"/>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30"/>
        </w:trPr>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r>
      <w:tr>
        <w:trPr>
          <w:trHeight w:val="243"/>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461,068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Dissolution of Gnome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bad debts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equipment and other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related companies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Proceeds from the sale of property, plant, and equipment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Cash flows from financing activity: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Subsidiary financing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contributions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CARVE OUT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and Organization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GeneDx, Inc., a New Jersey corporation (including its subsidiaries as described below, “GeneDx”, we, our or us),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GeneDx, Inc. is a wholly owned subsidiary of BioReference Laboratories, Inc. (“BioReference”). BioReference and its subsidiaries, including GeneDx, are wholly owned subsidiaries of OPKO Health, Inc. (“OPKO” or “Parent”). MyGeneTeam and MyGeneTeam Canada are wholly owned subsidiaries of OPKO. GeneDx, MyGeneTeam, and MyGeneTeam Canada comprise the Combined Carve Out Financial Statements and are collectively referred to as GeneDx or the “Company”. All assets and liabilities directly attributable to entities outside GeneDx have been excluded. The accompanying Combined Carve Out Financials Statements present the combined financial results of GeneDx as of and for the years ended December 31, 2021 and 2020 and are being prepared in connection with the definitive agreement between Sema4 Holdings Corp (“Sema4”) and OPKO announced in January 2022 pursuant to which Sema4 has agreed to acquire GeneDx. If Sema4 does not acquire GeneDx, OPKO has committed to support the capital requirements of GeneDx necessary to meet our obligations through March 16,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2020, we dissolved the operations of Genome Diagnostics, a wholly owned subsidiary of GeneDx.</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office and laboratory, which is our only physical location, is located at 207 Perry Parkway, Gaithersburg, Maryland 20877, which is a leased 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COVID-19</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disease caused by SARS-CoV-2, a strain of coronavirus, COVID-19 continues to spread and severely impact the economy of the United States, we are committed to being a part of the coordinated public and private sector response to this unprecedented challenge. During the outbreak of the pandemic, the facility space and certain human resources and supplies of GeneDx were deployed to perform COVID-19 RT-PCR testing on behalf of our parent company BioReference. From 2020 through 2021, GeneDx resulted approximately 1.6 million COVID-19 RT-PCR tests. All COVID-19 testing operations of GeneDx ceased in June 2021. None of the revenue or associated costs with the COVID-19 operations run at the GeneDx facility are included in the GeneDx Combined Financial Statements.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in response to the outbreak of the COVID-19 pandemic, the Coronavirus Aid, Relief, and Economic Security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payroll tax credits associated with the retention of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have received a number of benefits under the CARES Act including, but not limited to:</w:t>
      </w:r>
    </w:p>
    <w:p>
      <w:pPr>
        <w:spacing w:after="0" w:line="171" w:lineRule="exact"/>
        <w:rPr>
          <w:sz w:val="20"/>
          <w:szCs w:val="20"/>
          <w:color w:val="auto"/>
        </w:rPr>
      </w:pPr>
    </w:p>
    <w:p>
      <w:pPr>
        <w:ind w:left="66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are eligible to defer depositing the employer’s share of Social Security taxes for payments due from March 27, 2020, through December 31, 2020, interest-free and penalty-free;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received approximately $0.3 million during the year ended December 31, 2020 from the funds that were distributed to healthcare providers for related expenses or lost revenues that are attributable to the COVID-19 pandemic;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jc w:val="both"/>
        <w:ind w:left="660" w:hanging="328"/>
        <w:spacing w:after="0" w:line="263"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Clinical laboratories are provided with a one-year reprieve from the reporting requirements under the Protecting Access to Medicare Act as well as a one-year delay of reimbursement rate reductions for clinical laboratory services provided under Medicare that were scheduled to take place in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Combined Carve Out Financial Statements have been prepared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(US GAAP).</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accompanying Combined Carve Out Financial Statements include the accounts of GeneDx and of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MyGeneTeam and MyGeneTeam Canada and were derived from the Consolidated Financial Statements and accounting records of the Parent as if GeneDx were operated on a standalone basis during the periods presented and were prepared in accordance with US GAAP. All intercompany accounts and transactions were eliminated in consolidation.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Combined Carve Out Statements of Operations of GeneDx reflect general corporate and operating expenses provided by both the Parent and BioReference to GeneDx, including, but not limited to, executive management, finance, legal, information technology, employee benefits administration, treasury, procurement, and other shared services. Actual costs that may have been incurred had GeneDx been a standalone company would have depended on a number of factors, including the chosen organizational structure, outsourced functions versus those performed by employees, and strategic decisions made in areas such as information technology and infrastructure.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Combined Carve Out Balance Sheets (the “Combined Carve Out Balance Sheets”) of GeneDx include Parent and BioReference assets and liabilities that were specifically identifiable or otherwise attributable to GeneDx, including subsidiaries and affiliates in which the Parent has a controlling financial interest or is the primary beneficiary. All cash inflows and outflows obtained and used from operations were swept to BioReference’s centralized account. GeneDx reflects transfers of cash to and from BioReference’s cash management system as a component of Total Shareholder’s Equity in the Combined Carve Out Balance Sheets.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Carve Out Financial Statements include GeneDx’s net assets and statement of comprehensive loss as described above. All intercompany transactions and accounts within the combined businesses of GeneDx have been eliminated.</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GAAP requires management to make estimates and assumptions that affect</w:t>
      </w:r>
      <w:r>
        <w:rPr>
          <w:rFonts w:ascii="Arial" w:cs="Arial" w:eastAsia="Arial" w:hAnsi="Arial"/>
          <w:sz w:val="17"/>
          <w:szCs w:val="17"/>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Actual results could differ significantly from these estimates.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include short-term, interest-bearing instruments with original maturities of 90 days or less at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 We also consider all highly liquid investments with original maturities at the date of purchase of 90 days or less as cash equivalents. These investments include money markets and bank deposits.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valued at the lower of cost and net realizable value. Cost is determined by the first-in, first-out method. We consider such factors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inventory on hand, estimated time required to sell such inventory, remaining shelf-life, quality assessments and current market conditions to determine whether inventory is stated at the lower of cost and net realizable value. Inventory consists primarily of purchased laboratory supplies, which are used in our testing laboratory. GeneDx relies on a limited number of suppliers for certain laboratory reagents, as well as sequencers and other equipment and materials that it uses in its laboratory operations. GeneDx does not have short- or long-term agreements with all of its suppliers, and its suppliers could cease supplying these materials and equipment at any time, or fail to provide it with sufficient quantities of materials or materials that meet its specifications.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represents the difference between the purchase price and the estimated fair value of net assets acquired 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acquisition method of accounting. We recognized goodwill and intangible assets as a result of applying pushdown accounting in connection with OPKO’s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BioReference in 2015. We determined the fair value of our intangible assets using the “income method.”</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Goodwill and indefinite lived intangible assets are tested at least annually as of October 1 for impairment, or when events or changes in circumstances indicate that the carrying amount of such assets may not be recoverable, by assessing qualitative factors, and performing a quantitative analysis if and when required, in determining whether it is more likely than not that its fair value exceeds the carrying value. Intangible assets are tested for impairment whenever events or changes in circumstances indicate that the carrying amount of such assets may not be recoverable.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was $282.0 million as of both December 31, 2021 and 2020. Estimating the fair value of a reporting unit for goodwill impairment is highly sensitive to changes in projections and assumptions and changes in assumptions could potentially lead to impairment. We perform sensitivity analyses around our assumptions in order to assess the reasonableness of the assumptions and the results of our testing. Ultimately, potential changes in these assumptions may impact the estimated fair value of a reporting unit and result in an impairment if the fair value of such reporting unit is less than its carrying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Net intangible assets other than goodwill were $166.9 million and $183.7 million, respectively, as of December 31, 2021 and 2020.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estimates and assumptions are reasonable and otherwise consistent with assumptions that marketplace participants would use in their estimates of fair value. However, if future results are not consistent with our estimates and assumptions, including as a result of the COVID-19 pandemic, then we may be exposed to an impairment charge, which could be material. We have one reporting segment and have reached a cumulative goodwill impairment loss of $170.6 million prior to January 1, 2019. No goodwill or intangible asset impairment was recorded for the years ended December 31, 2021 and 2020 as a result of our testing.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amortize intangible assets with definite lives on a straight-line basis over their estimated useful lives, ranging from 3 to 20 years. We use the straight-line method of amortization as there is no reliably determinable pattern in which the economic benefits of our intangible assets are consumed or otherwise used up. Amortization expense was $16.8 million for each of the years ended December 2021 and 2020. Amortization expense from operations for our intangible assets is expected to be $16.8 million, $15.2 million, $12.3 million, $12.0 million, and $11.5 million for the years ended December 31, 2022, 2023, 2024, 2025 and 2026, respectively.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carrying amounts of our cash and cash equivalents, accounts receivable and accounts payable approximate their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short-term maturities of these instruments and accounts. The fair value of the due to/due from Parent and its subsidiaries is not practical to estimate due to the uncertainty regarding the timing of future payments.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Property, plant and equipment are recorded at cost. Depreciation is provided using the straight-line method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useful lives of the assets and includes amortization expense for assets capitalized under capital leases. The estimated useful lives by asset class are as follows: software - 3 years, computer equipment - 5 years, machinery, medical and other equipment - 8 years, furniture and fixtures - 12 years, leasehold improvements - the lesser of 10 years or the lease term and automobiles - lease term. Expenditures for repairs and maintenance are charged to expense as incurred. Depreciation expense was $5.1 million and $4.1 million for the years ended December 31, 2021 and 2020, respectively.</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Long-lived assets, such as property and equipment, are reviewed for impairment whenever events or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then an impairment charge is recognized for the amount by which the carrying amount of the asset exceeds the fair value of the asset. No impairment charges were recorded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Impairment of Equity Method Investments. </w:t>
      </w:r>
      <w:r>
        <w:rPr>
          <w:rFonts w:ascii="Arial" w:cs="Arial" w:eastAsia="Arial" w:hAnsi="Arial"/>
          <w:sz w:val="18"/>
          <w:szCs w:val="18"/>
          <w:color w:val="auto"/>
        </w:rPr>
        <w:t>Equity method investments are assessed for impairment annually or when events or circumstances suggest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of the investment may be impaired. An impairment charge is recorded in earnings when the decline in value below the carrying amount of its equity method investment is determined to be other-than-temporary.</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OPKO grants stock options to certain employees of GeneDx and the annual contribution of non-cash employee stock compensation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operating expenses in the accompanying Combined Carve Out Statements of Comprehensive Loss with a corresponding contribution to additional paid in capital. Stock compensation for the years ended December 31, 2021 and and December 31, 2020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determined as if we filed tax returns on a standalone basis utilizing the Separate Return Method. We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federal income tax return filed by OPKO.</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We periodically evaluate the realizability of our net deferred tax assets. Our tax accruals are analyzed periodically and adjustments are made as events occur to warrant such adjustment. Valuation allowances on certain U.S. deferred tax assets and non-U.S. deferred tax assets may be established because realization of these tax benefits does not meet the more-likely-than-not threshold.</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revenue when a customer obtains control of promised goods or services in accordance with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amount of revenue that is recorded reflects the consideration that we expect to receive in exchange for those goods or services. We apply the following five-step model in order to determine this amount: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apply the five-step model to contracts when it is probable that we will collect the consideration we are entitled to in exchange for the goods or services we transfer to the customer. At contract inception, once the contract is determined to be within the scope of Topic 606, we review the contract to determine which performance obligations we must deliver and which of these performance obligations are distinct. We recognize as revenue the amount of the transaction price that is allocated to the respective performance obligation when the performance obligation is satisfied or as it is satisfied.</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laboratory services is recognized at the time test results are reported, which approximates when services are provided and the performance obligations are satisfied. Services are provided to patients covered by various third-party payer programs, including various managed care organizations, as well as the Medicare and Medicaid programs. For the years ended December 31, 2021 and 2020, approximately 8.6% and 6.2%, respectively, of our revenues were derived directly from the Medicare and Medicaid programs. Billings for services under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party payer programs are included in revenue net of allowances for contractual discounts, allowances for differences between the amounts billed and estimated program payment amounts and implicit price concessions provided to uninsured patients which are all elements of variable consideration.</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in the recognition of revenue in the period the related services are rendered. Adjustments to the estimated payment amounts are recorded upon settlement as an adjustment to revenue.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Concentration of credit risk and allowance for doubtful accounts</w:t>
      </w:r>
      <w:r>
        <w:rPr>
          <w:rFonts w:ascii="Arial" w:cs="Arial" w:eastAsia="Arial" w:hAnsi="Arial"/>
          <w:sz w:val="17"/>
          <w:szCs w:val="17"/>
          <w:color w:val="auto"/>
        </w:rPr>
        <w:t>. Financial instruments that potentially subject us to concentrations of credit risk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accounts receivable. Substantially all of our accounts receivable are with either companies in the health care industry or patients. However, credit risk is limited due to the number of our clients as well as their distribution across many different geographic regions.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receivables due from federal and state governmental agencies, we do not believe that such receivables represent a credit risk because the related health care programs are funded by federal and state governments, and payment is primarily dependent upon submitting appropriate documentation. As of December 31, 2021 and 2020, receivable balances (net of explicit price concessions) from Medicare and Medicaid were 3.7% and 6.9%, respectively, of our Accounts receivable, net.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portion of our accounts receivable due from individual patients comprises the largest portion of credit risk. As of December 31, 2021 and 2020, receivables due from patients represented approximately 2.0% and 3.0%, respectively, of our Accounts receivable, net.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assess the collectability of accounts receivable balances by considering factors such as historical collection experience, customer credit worthiness, the age of accounts receivable balances, regulatory changes and current economic conditions and trends that may affect a customer’s ability to pay. Actual results could differ from those estimates. Our reported net loss is directly affected by our estimate of the collectability of accounts receivable.</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Due to/from Parent and its subsidiaries. </w:t>
      </w:r>
      <w:r>
        <w:rPr>
          <w:rFonts w:ascii="Arial" w:cs="Arial" w:eastAsia="Arial" w:hAnsi="Arial"/>
          <w:sz w:val="18"/>
          <w:szCs w:val="18"/>
          <w:color w:val="auto"/>
        </w:rPr>
        <w:t>Due to/from Parent and its subsidiaries primarily represents operations between GeneDx and subsidiaries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The Company uses a centralized approach to cash management and financing of its operations. The fair value of the due from/to Parent and its subsidiaries is not practical to estimate due to the uncertainty regarding the timing of future payments.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We do not charge customers for shipping and handling costs. Shipping and handling costs are classified as Cost of revenues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Combined Carve Out Statements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The adoption of ASU 2016-13 on January 1, 2020, did not have a significant impact on our Combined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pronouncements.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2020, the FASB issued ASU No. 2020-06, “Debt – Debt with Conversion and Other Options (Subtopic 470-20) and Derivatives and Hedging – Contracts in Entity’s Own Equity (Subtopic 815-40).” ASU 2020-06 will simplify the accounting for convertible instruments by reducing the number of accounting models for convertible debt instruments and convertible preferred stock. The ASU is effective for public entities for fiscal years beginning after December 15, 2021, with early adoption permitted. We are currently evaluating the impact of this new guidance on our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Cost Allocations from BioReference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historical costs and expenses reflected in our Combined Carve Out Financial Statements include an allocation for certain corporate and shared service functions provided by BioReference, including, but not limited to accounting, legal, human resources, information technology and other shared services. These expenses have been allocated to us on the basis of direct usage when identifiable, with the remainder allocated based on estimates to reasonably reflect the historical utilization of these services.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the assumptions underlying our Combined Carve Out Financial Statements, including the assumptions regarding the allocation of general corporate expenses from BioReference, are reasonable. Nevertheless, our Combined Carve Out Financial Statements may not include all of the actual expenses that would have been incurred had we operated as a standalone company during the periods presented and may not reflect our combined results of operations, financial position and cash flows had we operated as a standalone company during the periods presented. Actual costs that would have been incurred if we had operated as a standalone company would have depended on multiple factors, including organizational structure and strategic decisions made in various areas.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initial capital investment in the Joint Venture was $245,000, for which we received a 49% ownership interest the Joint Venture. Beyong the initial investment, we have not made any other investments in or loans in the Joint Venture through December 31, 2021.</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determine the primary beneficiary of the Joint Venture, we evaluated our investment to identify if we had the power to direct the activities that most significantly impact the economic performance of the Joint Venture. Based on the capital structure, governing documents and overall business operations of the Joint Venture, we determined that, while a variable interest entity (VIE), we do not have the power to direct the activities that most significantly impact the Joint Venture’s economic performance. We determined, however, that we can significantly influence control of the Joint Venture through our board representation and voting power. Therefore, we have the ability to exercise significant influence over the Joint Venture’s operations and account for our investment the Joint Venture under the equity method.</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proportionate share of cash on hand at the Joint Venture was returned to GeneDx in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Composition of Certain Combined </w:t>
      </w:r>
      <w:r>
        <w:rPr>
          <w:rFonts w:ascii="Arial" w:cs="Arial" w:eastAsia="Arial" w:hAnsi="Arial"/>
          <w:sz w:val="18"/>
          <w:szCs w:val="18"/>
          <w:color w:val="auto"/>
        </w:rPr>
        <w:t>Carve Out</w:t>
      </w:r>
      <w:r>
        <w:rPr>
          <w:rFonts w:ascii="Arial" w:cs="Arial" w:eastAsia="Arial" w:hAnsi="Arial"/>
          <w:sz w:val="18"/>
          <w:szCs w:val="18"/>
          <w:b w:val="1"/>
          <w:bCs w:val="1"/>
          <w:color w:val="auto"/>
        </w:rPr>
        <w:t xml:space="preserve"> Financial Statement Captions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Prepaid supplies, insurance and maintenance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recoverable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Machinery, medical and other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237,725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Covenants not to compete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(93,523)</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Social Security employer deferral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authorized capital stock consists of 100 shares of common stock, $0.01 par value per share. As of December 31, 2021 and 2020, all shares of our common stock were issued and outstanding and held by BioReference.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Guarantee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5,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 and its domestic subsidiaries including GeneDx. The A&amp;R Credit Agreement is also secured by substantially all assets of BioReference and its domestic subsidiaries, including GeneDx. Availability under the A&amp;R Credit Agreement is based on a borrowing base composed of BioReference’s eligible accounts receivables, which includes GeneDx, as specified therein. As of December 31, 2021, there was no outstanding balance and as of December 31, 2020, $7.1 million was outstanding under the A&amp;R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BioReference’s option, borrowings under the A&amp;R Credit Agreement (other than swingline loans) will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10" w:lineRule="exact"/>
        <w:rPr>
          <w:sz w:val="20"/>
          <w:szCs w:val="20"/>
          <w:color w:val="auto"/>
        </w:rPr>
      </w:pPr>
    </w:p>
    <w:p>
      <w:pPr>
        <w:ind w:right="2100"/>
        <w:spacing w:after="0" w:line="438" w:lineRule="auto"/>
        <w:rPr>
          <w:sz w:val="20"/>
          <w:szCs w:val="20"/>
          <w:color w:val="auto"/>
        </w:rPr>
      </w:pPr>
      <w:r>
        <w:rPr>
          <w:rFonts w:ascii="Arial" w:cs="Arial" w:eastAsia="Arial" w:hAnsi="Arial"/>
          <w:sz w:val="18"/>
          <w:szCs w:val="18"/>
          <w:color w:val="auto"/>
        </w:rPr>
        <w:t xml:space="preserve">As of December 31, 2021, $64.8 million remained available to BioReference for borrowing under the A&amp;R Credit Agreement. </w:t>
      </w:r>
      <w:r>
        <w:rPr>
          <w:rFonts w:ascii="Arial" w:cs="Arial" w:eastAsia="Arial" w:hAnsi="Arial"/>
          <w:sz w:val="18"/>
          <w:szCs w:val="18"/>
          <w:b w:val="1"/>
          <w:bCs w:val="1"/>
          <w:color w:val="auto"/>
        </w:rPr>
        <w:t>Note 9 Income Taxes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Carve Out Financial Statements and related disclosures apply the Separate Return Method and recognize the current and deferred income tax consequences that result from our activities during the current and preceding periods pursuant to the provisions of Accounting Standards Codification Topic 740, Income Taxes (ASC 740), as if we were a separate taxpayer rather than a member of OPKO’s consolidated income tax return. In 2021 and 2020, the difference between our separate company income tax benefit and cash flows attributable to income taxes have been recognized as capital contributions from BioReference.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are required to file tax returns in the United States and Canada, as well as with various U.S.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benefit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1"/>
              </w:rPr>
              <w:t>For the years ended</w:t>
            </w:r>
          </w:p>
        </w:tc>
        <w:tc>
          <w:tcPr>
            <w:tcW w:w="9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8000" w:type="dxa"/>
            <w:vAlign w:val="bottom"/>
            <w:gridSpan w:val="2"/>
          </w:tcPr>
          <w:p>
            <w:pPr>
              <w:spacing w:after="0" w:line="172" w:lineRule="exact"/>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552"/>
              <w:spacing w:after="0"/>
              <w:rPr>
                <w:sz w:val="20"/>
                <w:szCs w:val="20"/>
                <w:color w:val="auto"/>
              </w:rPr>
            </w:pPr>
            <w:r>
              <w:rPr>
                <w:rFonts w:ascii="Arial" w:cs="Arial" w:eastAsia="Arial" w:hAnsi="Arial"/>
                <w:sz w:val="14"/>
                <w:szCs w:val="14"/>
                <w:b w:val="1"/>
                <w:bCs w:val="1"/>
                <w:color w:val="auto"/>
                <w:w w:val="96"/>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Arial" w:cs="Arial" w:eastAsia="Arial" w:hAnsi="Arial"/>
                <w:sz w:val="18"/>
                <w:szCs w:val="18"/>
                <w:color w:val="auto"/>
              </w:rPr>
              <w:t>Total income tax benefit,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12,037</w:t>
            </w: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as of December 31, 2021 and 2020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For the year ended December 31,</w:t>
            </w:r>
          </w:p>
        </w:tc>
      </w:tr>
      <w:tr>
        <w:trPr>
          <w:trHeight w:val="148"/>
        </w:trPr>
        <w:tc>
          <w:tcPr>
            <w:tcW w:w="20" w:type="dxa"/>
            <w:vAlign w:val="bottom"/>
          </w:tcPr>
          <w:p>
            <w:pPr>
              <w:spacing w:after="0"/>
              <w:rPr>
                <w:sz w:val="12"/>
                <w:szCs w:val="12"/>
                <w:color w:val="auto"/>
              </w:rPr>
            </w:pPr>
          </w:p>
        </w:tc>
        <w:tc>
          <w:tcPr>
            <w:tcW w:w="8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2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1"/>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Accruals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net operating losses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State net operating losses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11,721</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(45,319)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we had tax-effected federal and state net operating loss carryforwards of approximately $14.2 million and $3.4 million respectively, which expire in varying amounts and various dates through 2041 unless indefinite in nature. While the Company on a separate return method has net operating losses, these net operating losses have been absorbed by OPKO. As of each reporting date, we evaluated the realization of our U.S. and Canadian deferred tax assets and have determined that all deferred tax assets will more likely than not be realized and no valuation allowance is required. We file federal income tax returns in the U.S. and Canada, as well as with various U.S. states. We are subject to routine tax audits in all jurisdictions for which we file tax returns. Tax audits by their very nature are often complex and can require several years to complete.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Federal: Under the tax statute of limitations applicable to the Internal Revenue Code, we are no longer subject to U.S. federal income tax examinations by the Internal Revenue Service for tax years before 2018.</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 Under the statutes of limitation applicable to most state income tax laws, we are no longer subject to state income tax examinations by tax authorities for years before 2017 in states in which we have filed income tax returns. Certain states may take the position that we are subject to income tax in such states even though we have not filed income tax returns in such states and, depending on the varying state income tax statutes and administrative practices, the statutes of limitations in such states may extend to years before 2017.</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Under the statutes of limitations applicable to our operations in Canada, we are generally no longer subject to tax examination for years before 2018 in jurisdictions where we have filed income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Tax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elements contributing to the difference between the federal statutory tax rate and the effective tax rate are as follows:</w:t>
      </w:r>
    </w:p>
    <w:p>
      <w:pPr>
        <w:spacing w:after="0" w:line="19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For the years ended</w:t>
      </w:r>
    </w:p>
    <w:p>
      <w:pPr>
        <w:jc w:val="center"/>
        <w:ind w:left="7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Permanent differences</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refunds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2017 Tax Cuts and Jobs Act (the “Tax Act”) was enacted into law and the new legislation contained several key tax provisions, including a reduction of the corporate income tax rate from 35% to 21% effective January 1, 2018. We were required to recognize the effect of the tax law changes in the period of enactment, such as remeasuring our U.S. deferred tax assets and liabilities, as well as reassessing the net realizability of our deferred tax assets and liabilities.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enactment of the Tax Act, we regularly determined the undistributed earnings in Canada to be indefinitely reinvested outside the United States. Our intent is to permanently reinvest these funds outside the U.S. and our current plans do not demonstrate a need to repatriate the cash to fund U.S. operations. However, if these funds were repatriated, we would be required to accrue and pay applicable U.S. taxes (if any) and withholding taxes payable to foreign tax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Roger Medel, a director of OPKO as of December 18, 2020, is the former Chief Executive Officer of Pediatrix. Dr. Medel continues to serve on the board of Pediatrix.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January 1, 2017, employees of GeneDx were eligible for participation in the OPKO Health Savings and Retirement Plan (the “Plan”). The Plan permits employees to contribute up to 100% of qualified pre-tax annual compensation up to annual statutory limitations. The discretionary company match for employee contributions to the Plan is 100% up to the first 4% of the participant’s earnings contributed to the Plan. Our matching contributions to our plans, including our predecessor plans, was $1.9 million for the year ended December 31, 2021 and $1.7 million for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11, 2019, GeneDx received a letter from the Centers for Medicare and Medicaid Services (“CMS”), notifying GeneDx of CMS’s determination to suspend Medicare payments to GeneDx, which suspension became effective on September 27, 2019. CMS advised that it suspended payments due to possible overpayments to GeneDx in connection with reimbursement claims for genetic testing services based on a diagnosis of family history of cancer, which testing CMS has alleged is not covered by Medicare under the applicable provisions of the Social Security Act on the basis that such testing is not reasonable and necessary for the diagnosis or treatment of illness or injury. CMS lifted the suspension on February 3, 2020 and issued an extrapolated overpayment finding of approximately $576,332, which GeneDx paid.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2018, GeneDx received two document request letters from Cigna’s Special Investigations Unit in connection with claims submitted for laboratory services performed on Cigna members by GeneDx. Cigna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records and other documentation for 100 individual members for which GeneDx had submitted claims. The parties negotiated a final settlement agreement in January 2021 that included a $500,000 payment from GeneDx to Cigna without any admission of error or liability and a mutual release of any and all claims prior to the execution of the settlement agreement.</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accrue a liability for legal contingencies when we believe that it is both probable that a liability has been incurred and that we can reasonably estimate the amount of the loss.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in the paragraph below, the amount of liability is not probable, or the amount cannot be reasonably estimated; and, therefore, accruals have not been made. In addition, in accordance with the relevant authoritative guidance, for matters which the likelihood of material loss is at least reasonably possible, we provide disclosure of the possible loss or range of loss; however, if a reasonable estimate cannot be made, we will provide disclosure to that effect.</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we may receive inquiries, document requests, Civil Investigative Demands (“CIDs”) or subpoenas from the Department of Justice, the Office of Inspector General and Office for Civil Rights (“OCR”) of the Department of Health and Human Services, the Centers for Medicare and Medicaid Services, various payors and fiscal intermediaries, and other state and federal regulators regarding investigations, audits and reviews. In addition to the matters discussed in this note, we are currently responding to CIDs, subpoenas or document requests for various matters relating to our laboratory operations. Some pending or threatened proceedings against us may involve potentially substantial amounts as well as the possibility of civil, criminal, or administrative fines, penalties, or other sanctions, which could be material. Settlements of suits involving the types of issues that we routinely confront may require monetary payments as well as corporate integrity agreements. Additionally, qui tam or “whistleblower” actions initiated under the civil False Claims Act may be pending but placed under seal by the court to comply with the False Claims Act’s requirements for filing such suits. Also, from time to time, we may detect issues of non-compliance with federal healthcare laws pertaining to claims submission and reimbursement practices and/or financial relationships with physicians, among other things. We may avail ourselves of various mechanisms to address these issues, including participation in voluntary disclosure protocols. Participating in voluntary disclosure protocols can have the potential for significant settlement obligations or even enforcement action. The Company generally has cooperated, and intends to continue to cooperate, with appropriate regulatory authorities as and when investigations, audits and inquiries arise.</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party to other litigation in the ordinary course of business. While we cannot predict the ultimate outcome of legal matters, we accrue a liability for legal contingencies when we believe that it is both probable that a liability has been incurred and that we can reasonably estimate the amount of the loss. It is reasonably possible the ultimate liability could exceed amounts currently estimated and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Because of the high degree of judgment involved in establishing loss estimates, the ultimate outcome of such matters could be material to our business, financial condition, results of operations, and cash flows.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employment agreements with certain executives that provide for compensation and certain other benefits and for severance payments under certain circumstances. During the years ended December 31, 2021 and 2020, we recognized $0.3 million and $0.2 million, respectively, of severance costs pursuant to employment agreements with former executives as a component of selling, general and administrative expense.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2021, we were committed to make future purchases for inventory and other items in 2022 that occur in the ordinary course of business under various purchase arrangements with fixed purchase provisions aggregating $14.5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maintain medical malpractice insurance coverage at a level in excess of historical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Recognition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payor programs including various managed care organizations, as well as Medicare and Medicaid programs. Billings for services are included in revenue net of allowances for explicit price concessions, and implicit price concessions provided to uninsured patients which are all elements of variable consideration.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descriptions of our payors for laboratory services: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Healthcare Insurers. </w:t>
      </w:r>
      <w:r>
        <w:rPr>
          <w:rFonts w:ascii="Arial" w:cs="Arial" w:eastAsia="Arial" w:hAnsi="Arial"/>
          <w:sz w:val="17"/>
          <w:szCs w:val="17"/>
          <w:color w:val="auto"/>
        </w:rPr>
        <w:t>Reimbursements from healthcare insurers are based on negotiated fee-for-service schedules. Revenues consist of amounts billed, net</w:t>
      </w:r>
      <w:r>
        <w:rPr>
          <w:rFonts w:ascii="Arial" w:cs="Arial" w:eastAsia="Arial" w:hAnsi="Arial"/>
          <w:sz w:val="17"/>
          <w:szCs w:val="17"/>
          <w:i w:val="1"/>
          <w:iCs w:val="1"/>
          <w:color w:val="auto"/>
        </w:rPr>
        <w:t xml:space="preserve"> </w:t>
      </w:r>
      <w:r>
        <w:rPr>
          <w:rFonts w:ascii="Arial" w:cs="Arial" w:eastAsia="Arial" w:hAnsi="Arial"/>
          <w:sz w:val="17"/>
          <w:szCs w:val="17"/>
          <w:color w:val="auto"/>
        </w:rPr>
        <w:t>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third-party payors, are recorded upon settlement.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Government Payors. </w:t>
      </w:r>
      <w:r>
        <w:rPr>
          <w:rFonts w:ascii="Arial" w:cs="Arial" w:eastAsia="Arial" w:hAnsi="Arial"/>
          <w:sz w:val="16"/>
          <w:szCs w:val="16"/>
          <w:color w:val="auto"/>
        </w:rPr>
        <w:t>Reimbursements from government payors are based on fee-for-service schedules set by governmental authorities, including traditional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Medicare and Medicaid.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government payors, are recorded upon settlement.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Client Payors. </w:t>
      </w:r>
      <w:r>
        <w:rPr>
          <w:rFonts w:ascii="Arial" w:cs="Arial" w:eastAsia="Arial" w:hAnsi="Arial"/>
          <w:sz w:val="18"/>
          <w:szCs w:val="18"/>
          <w:color w:val="auto"/>
        </w:rPr>
        <w:t>Client payors include physicians, hospitals, employers, and other institutions for which services are performed on a wholesale basis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billed and recognized as revenue based on negotiated fee schedules.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Patients. </w:t>
      </w:r>
      <w:r>
        <w:rPr>
          <w:rFonts w:ascii="Arial" w:cs="Arial" w:eastAsia="Arial" w:hAnsi="Arial"/>
          <w:sz w:val="16"/>
          <w:szCs w:val="16"/>
          <w:color w:val="auto"/>
        </w:rPr>
        <w:t>Uninsured patients are billed based on established patient fee schedules or fees negotiated with physicians on behalf of their patients. Insured</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(including amounts for coinsurance and deductible responsibilities) are billed based on fees negotiated with healthcare insurers. Collection of billings from patients is subject to credit risk and ability of the patients to pay. Revenues consist of amounts billed net of discounts provided to uninsured patients in accordance with our policies and implicit price concessions. Implicit price concessions represent differences between amounts billed and the estimated consideration that we expect to receive from patients, which considers historical collection experience and other factors including current market conditions. Adjustments to the estimated allowances, based on actual receipts from the patients, are recorded upon settlement.</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as an element of variable consideration in the recognition of revenue in the period the related services are rendered. Actual amounts are adjusted for the period in which those adjustments become known. For the years ended December 31, 2021 and 2020, revenue reductions due to changes in estimates of implicit price concessions for performance obligations satisfied in prior periods of $4.2 million and $5.0 million, respectively, were recognized.</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Third-party payors, including government programs, may decide to deny payment or recoup payments for testing they contend were improperly billed or not medically necessary, against their coverage determinations, or for which they believe they have otherwise overpaid (including as a result of their own error), and we may be required to refund payments already received. Our revenues may be subject to retroactive adjustment as a result of these factors among others, including without limitation, differing interpretations of billing and coding guidance and changes by government agencies and payors in interpretations, requirements, and “conditions of participation” in various programs. We have processed requests for recoupment from third-party payors in the ordinary course of our business, and it is likely that we will continue to do so in the future. If a third-party payer denies payment for testing or recoups money from us in a later period, reimbursement revenue for our testing could decline.</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an integral part of our billing compliance program, we periodically assess our billing and coding practices, respond to payor audits on a routine basis, and investigate reported failures or suspected failures to comply with federal and state healthcare reimbursement requirements, as well as overpayment claims which may arise from time to time without fault on the part of the Company. We may have an obligation to reimburse Medicare, Medicaid,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third-party payors for overpayments regardless of fault. We have periodically identified and reported overpayments, reimbursed payors for overpayments and taken appropriate corrective action.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Settlements with third-party payors for retroactive adjustments due to audits, reviews or investigations are also considered variable consideration and are included in the determination of the estimated transaction price for providing services. These settlements are estimated based on the terms of the payment agreement with the payor, correspondence from the payor and our historical settlement activity, including an assessment of the probability a significant reversal of cumulative revenue recognized will occur when the uncertainty is subsequently resolved. Estimated settlements are adjusted in future periods as adjustments become known (that is, new information becomes available), or as years are settled or are no longer subject to such audits, reviews, and investigations. As of December 31, 2021 and 2020, we had liabilities of $0.0 million and $1.5 million, respectively, within Accrued expenses related to reimbursements for payor overpayments.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Revenue by payor for the years ended December 31, 2021 and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insurers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Government payors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Client payors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 operating lease for office space and laboratory operations. We determine if a contract contains a lease at inception or modification of a contract. Our lease does not provide an implicit interest rate, and we therefore use our incremental borrowing rate as the discount rate when measuring operating lease liability. The incremental borrowing rate represents an estimate of the interest rate we would incur, calculated at the Parent level, at lease commencement to borrow an amount equal to the lease payments on a collateralized basis over the term of the lease within a particular currency environment. We used the incremental borrowing rate as of January 1, 2019 for this operating lease. We factored into our determination of the lease payments any rental escalation, renewal options, and/or termination options as appropriate. Variable lease payment amounts that cannot be determined at the commencement of the lease are not included in the right-to-use assets or liabilities.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elected the use of permitted practical expedients of not recording leases on our Combined Balance Sheet when the leases have terms of 12 months or less, and we elected not to separate nonlease components from lease components and instead account for each separate lease component and the nonlease components associated with that lease component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 balances within the Combined Balance Sheet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Classification on the Balance Sheet</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6,858</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Current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Current maturities of operating leases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Long-term</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Operating lease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7,340</w:t>
            </w:r>
          </w:p>
        </w:tc>
      </w:tr>
      <w:tr>
        <w:trPr>
          <w:trHeight w:val="257"/>
        </w:trPr>
        <w:tc>
          <w:tcPr>
            <w:tcW w:w="42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10 years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 years</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r>
    </w:tbl>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reconciles the undiscounted future minimum lease payments (displayed by year and in the aggregate) under noncancelable operating leases with terms of more than one year to the total operating lease liabilities recognized on our Combined Balance Sheet as of December 31,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9,116</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future minimum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Difference between lease payments and discounted lease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minimum lease payments above include tenant improvement payments of $2.0 million and $0.6 million for the years ended 2022 and 2023, respectively. We conduct certain of our operations under operating lease agreements. Rent expense under operating leases was approximately $1.3 million for the year ended December 31, 2021 and $0.9 million for the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 flows from operating leases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Financial Data (Unaudited)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For the 2021 Quarters Ended</w:t>
            </w:r>
          </w:p>
        </w:tc>
        <w:tc>
          <w:tcPr>
            <w:tcW w:w="1480" w:type="dxa"/>
            <w:vAlign w:val="bottom"/>
            <w:tcBorders>
              <w:bottom w:val="single" w:sz="8" w:color="auto"/>
            </w:tcBorders>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ind w:left="420"/>
              <w:spacing w:after="0"/>
              <w:rPr>
                <w:sz w:val="20"/>
                <w:szCs w:val="20"/>
                <w:color w:val="auto"/>
              </w:rPr>
            </w:pPr>
            <w:r>
              <w:rPr>
                <w:rFonts w:ascii="Arial" w:cs="Arial" w:eastAsia="Arial" w:hAnsi="Arial"/>
                <w:sz w:val="14"/>
                <w:szCs w:val="14"/>
                <w:b w:val="1"/>
                <w:bCs w:val="1"/>
                <w:color w:val="auto"/>
              </w:rPr>
              <w:t>March 31</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ind w:left="360"/>
              <w:spacing w:after="0"/>
              <w:rPr>
                <w:sz w:val="20"/>
                <w:szCs w:val="20"/>
                <w:color w:val="auto"/>
              </w:rPr>
            </w:pPr>
            <w:r>
              <w:rPr>
                <w:rFonts w:ascii="Arial" w:cs="Arial" w:eastAsia="Arial" w:hAnsi="Arial"/>
                <w:sz w:val="14"/>
                <w:szCs w:val="14"/>
                <w:b w:val="1"/>
                <w:bCs w:val="1"/>
                <w:color w:val="auto"/>
              </w:rPr>
              <w:t>December 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46,582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r>
      <w:tr>
        <w:trPr>
          <w:trHeight w:val="453"/>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For the 2020 Quarters Ended</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29,080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reviewed all subsequent events and transactions that occurred after the date of our December 31, 2021 Combined Carve Out Balance Sheet date up through March 15, 2022, which is the date that the Combined Financial Statements were available to be issued, noting no items that required adjustment or disclosures in the Combined Carve Out Financial Statements, except for, the January 2022 announcement by Sema4 Holdings Corp. (“Sema4”) and OPKO that they had signed a definitive agreement pursuant to which Sema4 has agreed to acquire GeneDx, subject to the satisfaction of customary closing conditions (the “GeneDx Transaction”). The GeneDx Transaction is expected to close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an estimate of the expenses that Sema4 Holdings Corp. (the “Registrant”) may incur in connection with the securities being registered hereby (all of which are to be paid by the Registrant).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3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3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Financial printing and miscellaneous expenses</w:t>
            </w:r>
          </w:p>
        </w:tc>
        <w:tc>
          <w:tcPr>
            <w:tcW w:w="3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3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00" w:type="dxa"/>
            <w:vAlign w:val="bottom"/>
            <w:vMerge w:val="continue"/>
          </w:tcPr>
          <w:p>
            <w:pPr>
              <w:spacing w:after="0"/>
              <w:rPr>
                <w:sz w:val="17"/>
                <w:szCs w:val="17"/>
                <w:color w:val="auto"/>
              </w:rPr>
            </w:pPr>
          </w:p>
        </w:tc>
        <w:tc>
          <w:tcPr>
            <w:tcW w:w="3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Previously paid.</w:t>
            </w:r>
          </w:p>
        </w:tc>
        <w:tc>
          <w:tcPr>
            <w:tcW w:w="3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0" w:hanging="332"/>
        <w:spacing w:after="0" w:line="270" w:lineRule="auto"/>
        <w:tabs>
          <w:tab w:leader="none" w:pos="331"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Except for the Securities and Exchange Commission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on Form S-1. To the extent required, any applicable prospectus supplement will set forth the estimated aggregate amount of expenses payable in respect of any offering of securities under the registration statement.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permitted by the Delaware General Corporation Law, the Registrant’s certificate of incorporation, as amended (the “Certificate of Incorporation”) contains provisions that eliminate the personal liability of its directors for monetary damages for any breach of fiduciary duties as a director, except liability for the following:</w:t>
      </w:r>
    </w:p>
    <w:p>
      <w:pPr>
        <w:spacing w:after="0" w:line="130"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the Delaware General Corporation Law, the Registrant’s restated bylaws (the “Bylaws”) provide that:</w:t>
      </w:r>
    </w:p>
    <w:p>
      <w:pPr>
        <w:spacing w:after="0" w:line="171" w:lineRule="exact"/>
        <w:rPr>
          <w:sz w:val="20"/>
          <w:szCs w:val="20"/>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officers to the fullest extent permitted by the Delaware General Corporation Law, subject to very limited exceptions;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has entered into indemnification agreements with its directors and executive officers, which provide for indemnification and advancements by the Registrant of certain expenses and costs under certain circumstances. At present, there is no pending litigation or proceeding involving a director or executive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for which indemnification is sought. The indemnification provisions in the Registrant’s Certificate of Incorporation,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has directors’ and officers’ liability insurance for securities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2020, the Registrant has issued and sold the following unregistered securities:</w:t>
      </w:r>
    </w:p>
    <w:p>
      <w:pPr>
        <w:spacing w:after="0" w:line="171" w:lineRule="exact"/>
        <w:rPr>
          <w:sz w:val="20"/>
          <w:szCs w:val="20"/>
          <w:color w:val="auto"/>
        </w:rPr>
      </w:pPr>
    </w:p>
    <w:p>
      <w:pPr>
        <w:jc w:val="both"/>
        <w:ind w:firstLine="8"/>
        <w:spacing w:after="0" w:line="311" w:lineRule="auto"/>
        <w:tabs>
          <w:tab w:leader="none" w:pos="31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On July 16, 2020, CMLS Holdings LLC, the Registrant’s sponsor (the “Sponsor”), purchased an aggregate of 10,062,500 shares of Class B common stock of the Registrant (the “Founder Shares”) for a total purchase price of $25,000, or approximately $0.002 per share. Such securities were issued in connection with the Registrant’s organization pursuant to the exemption from registration contained in Section 4(a)(2) of the Securities Act.</w:t>
      </w:r>
    </w:p>
    <w:p>
      <w:pPr>
        <w:spacing w:after="0" w:line="94" w:lineRule="exact"/>
        <w:rPr>
          <w:rFonts w:ascii="Arial" w:cs="Arial" w:eastAsia="Arial" w:hAnsi="Arial"/>
          <w:sz w:val="16"/>
          <w:szCs w:val="16"/>
          <w:color w:val="auto"/>
        </w:rPr>
      </w:pPr>
    </w:p>
    <w:p>
      <w:pPr>
        <w:ind w:firstLine="8"/>
        <w:spacing w:after="0" w:line="277" w:lineRule="auto"/>
        <w:tabs>
          <w:tab w:leader="none" w:pos="3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C-LSH LLC (an entity affiliated with Eli Casdin) and M-LSH LLC (an entity affiliated with Keith Meister) are the managing members of the Sponsor. The Sponsor is an accredited investor for purposes of Rule 501 of Regulation D.</w:t>
      </w:r>
    </w:p>
    <w:p>
      <w:pPr>
        <w:spacing w:after="0" w:line="116" w:lineRule="exact"/>
        <w:rPr>
          <w:rFonts w:ascii="Arial" w:cs="Arial" w:eastAsia="Arial" w:hAnsi="Arial"/>
          <w:sz w:val="18"/>
          <w:szCs w:val="18"/>
          <w:color w:val="auto"/>
        </w:rPr>
      </w:pPr>
    </w:p>
    <w:p>
      <w:pPr>
        <w:jc w:val="both"/>
        <w:ind w:firstLine="8"/>
        <w:spacing w:after="0" w:line="259" w:lineRule="auto"/>
        <w:tabs>
          <w:tab w:leader="none" w:pos="31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the equity holders in the Sponsor is an accredited investor under Rule 501 of Regulation D. The sole business of the Sponsor was to act as the Registrant’s sponsor in connection with the Registrant’s initial public offering (the “IPO”). The limited liability company agreement of the Sponsor provides that its membership interests may only be transferred to the Registrant’s officers or directors or other persons affiliated with the Sponsor, or in connection with estate planning transfers.</w:t>
      </w:r>
    </w:p>
    <w:p>
      <w:pPr>
        <w:spacing w:after="0" w:line="132" w:lineRule="exact"/>
        <w:rPr>
          <w:rFonts w:ascii="Arial" w:cs="Arial" w:eastAsia="Arial" w:hAnsi="Arial"/>
          <w:sz w:val="18"/>
          <w:szCs w:val="18"/>
          <w:color w:val="auto"/>
        </w:rPr>
      </w:pPr>
    </w:p>
    <w:p>
      <w:pPr>
        <w:ind w:right="20" w:firstLine="8"/>
        <w:spacing w:after="0" w:line="277" w:lineRule="auto"/>
        <w:tabs>
          <w:tab w:leader="none" w:pos="3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September 1, 2020, the Registrant effected a 1:1.1 stock split of its Class B common stock, resulting there being an aggregate of 11,068,750 Founder Shares outstanding.</w:t>
      </w:r>
    </w:p>
    <w:p>
      <w:pPr>
        <w:spacing w:after="0" w:line="116" w:lineRule="exact"/>
        <w:rPr>
          <w:rFonts w:ascii="Arial" w:cs="Arial" w:eastAsia="Arial" w:hAnsi="Arial"/>
          <w:sz w:val="18"/>
          <w:szCs w:val="18"/>
          <w:color w:val="auto"/>
        </w:rPr>
      </w:pPr>
    </w:p>
    <w:p>
      <w:pPr>
        <w:jc w:val="both"/>
        <w:ind w:firstLine="8"/>
        <w:spacing w:after="0" w:line="259" w:lineRule="auto"/>
        <w:tabs>
          <w:tab w:leader="none" w:pos="31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September 4, 2020, pursuant to a written agreement, the Sponsor and Munib Islam and Emily Leproust purchased from the Registrant in a private sale an aggregate of 7,236,667 warrants (the “Private Placement Warrants”) at a purchase price of $1.50 per Private Placement Warrant generating gross proceeds to the Registrant of $10,855,000. This issuance was made pursuant to the exemption from registration contained in Section 4(a)(2) of the Securities Act.</w:t>
      </w:r>
    </w:p>
    <w:p>
      <w:pPr>
        <w:spacing w:after="0" w:line="132" w:lineRule="exact"/>
        <w:rPr>
          <w:rFonts w:ascii="Arial" w:cs="Arial" w:eastAsia="Arial" w:hAnsi="Arial"/>
          <w:sz w:val="18"/>
          <w:szCs w:val="18"/>
          <w:color w:val="auto"/>
        </w:rPr>
      </w:pPr>
    </w:p>
    <w:p>
      <w:pPr>
        <w:jc w:val="both"/>
        <w:ind w:firstLine="8"/>
        <w:spacing w:after="0" w:line="272" w:lineRule="auto"/>
        <w:tabs>
          <w:tab w:leader="none" w:pos="32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On July 22, 2021 (the “Closing Date”), the Registrant consummated its initial business combination (the “Business Combination”) with Mount Sinai Genomics, Inc. d/b/a Sema4 (“Sema4”) pursuant to an Agreement and Plan of Merger, dated February 9, 2021, among the Registrant, S-IV Sub, Inc., a wholly-owned subsidiary of the Registrant (“Merger Sub”), and Sema4 (as amended, the “Prior Merger Agreement”). In addition, on the Closing Date, pursuant to subscription agreements entered into on February 9, 2021 (collectively, the “Merger Subscription Agreements”), certain investors agreed to subscribe for an aggregate of 35,000,000 newly-issued shares of Class A common stock at a purchase price of $10.00 per share for an aggregate purchase price of $350,000,000 (the “Prior PIPE Investment”). Additionally, 11,068,750 Founder Shares automatically converted to shares of Class A common stock as of the closing of the Business Combination.</w:t>
      </w:r>
    </w:p>
    <w:p>
      <w:pPr>
        <w:spacing w:after="0" w:line="123" w:lineRule="exact"/>
        <w:rPr>
          <w:rFonts w:ascii="Arial" w:cs="Arial" w:eastAsia="Arial" w:hAnsi="Arial"/>
          <w:sz w:val="17"/>
          <w:szCs w:val="17"/>
          <w:color w:val="auto"/>
        </w:rPr>
      </w:pPr>
    </w:p>
    <w:p>
      <w:pPr>
        <w:jc w:val="both"/>
        <w:ind w:firstLine="8"/>
        <w:spacing w:after="0" w:line="253" w:lineRule="auto"/>
        <w:tabs>
          <w:tab w:leader="none" w:pos="3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 issued the shares of Class A common stock pursuant to the Business Combination and the Prior PIPE Investment under Section 4(a)(2) of the Securities Act and/or Rule 506 of Regulation D promulgated under the Securities Act, as a transaction by an issuer not involving a public offering. The Registrant issued the shares of Class A common stock in connection with the conversion of the Founder Shares under Section 3(a)(9) of the Securities Act, as an exchange with its existing security holders exclusively where no commission or other remuneration was paid or given directly or indirectly for soliciting such exchange. The investors in the Prior PIPE Investment represented their intentions to acquire the shares for investment only and not with a view to or for sale in connection with any distribution, and appropriate restrictive legends were affixed to the certificates representing all of the shares issued in the Business Combination and the Prior PIPE Investment and in connection with the conversion of the Founder Shares (or reflected in restricted book entry with the Registrant’s transfer agent). The parties also had adequate access, through business or other relationships, to information about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ind w:firstLine="8"/>
        <w:spacing w:after="0" w:line="268" w:lineRule="auto"/>
        <w:tabs>
          <w:tab w:leader="none" w:pos="32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On January 14, 2022, the Registrant entered into an Agreement and Plan of Merger and Reorganization (the “Acquisition Merger Agreement”), with GeneDx, Inc., a New Jersey corporation, or GeneDx, and a wholly-owned subsidiary of OPKO Health, Inc. (“OPKO”), GeneDx Holding 2, Inc., OPKO and other parties thereto, to acquire 100% of GeneDx from OPKO (the “Acquisition”). Subject to the terms and conditions of the Acquisition Merger Agreement, the Registrant will pay consideration to OPKO for the Acquisition of GeneDx of 80 million shares of the Registrant’s Class A common stock, among other consideration, upon the closing of the Acquisition. In addition, On January 14, 2022, certain investors agreed to subscribe (the “Acquisition Subscription Agreements”) for an aggregate of 50,000,000 newly-issued shares of Class A common stock at a purchase price of $4.04 per share for an aggregate purchase price of $4.00 per share for an aggregate gross purchase price of $200 million (the “Acquisition PIPE Investment”). The Acquisition PIPE Investment is expected to close substantially concurrently with the closing of the Acquisition. The shares of Registrant’s Class A common stock to be issued pursuant to the Acquisition Merger Agreement and the Acquisition Subscription Agreements and the transactions contemplated thereby will be issued in reliance on the exemption from registration requirements thereof provided by Section 4(a)(2) of the Securities Act and/or Regulation D promulgated thereunder as a transaction by an issuer not involving a public offering. OPKO and the investors in the Acquisition PIPE Investment have represented their respective intentions to acquire the shares for investment only and not with a view to or for sale in connection with any distribution, and appropriate restrictive legends will be affixed to the certificates representing all of the shares issued in the Acquisition and the Acquisition PIPE Investment (or reflected in restricted book entry with the Registrant’s transfer agent). The parties also had adequate access, through business or other relationships, to information about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0" w:type="dxa"/>
            <w:vAlign w:val="bottom"/>
            <w:gridSpan w:val="18"/>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80" w:type="dxa"/>
            <w:vAlign w:val="bottom"/>
            <w:vMerge w:val="restart"/>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0" w:type="dxa"/>
            <w:vAlign w:val="bottom"/>
            <w:vMerge w:val="restart"/>
          </w:tcPr>
          <w:p>
            <w:pPr>
              <w:spacing w:after="0"/>
              <w:rPr>
                <w:sz w:val="10"/>
                <w:szCs w:val="10"/>
                <w:color w:val="auto"/>
              </w:rPr>
            </w:pPr>
          </w:p>
        </w:tc>
        <w:tc>
          <w:tcPr>
            <w:tcW w:w="13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8"/>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18"/>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940" w:type="dxa"/>
            <w:vAlign w:val="bottom"/>
          </w:tcPr>
          <w:p>
            <w:pPr>
              <w:jc w:val="center"/>
              <w:spacing w:after="0" w:line="171" w:lineRule="exact"/>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gridSpan w:val="23"/>
          </w:tcPr>
          <w:p>
            <w:pPr>
              <w:spacing w:after="0" w:line="171" w:lineRule="exact"/>
              <w:rPr>
                <w:rFonts w:ascii="Arial" w:cs="Arial" w:eastAsia="Arial" w:hAnsi="Arial"/>
                <w:sz w:val="16"/>
                <w:szCs w:val="16"/>
                <w:color w:val="0000FF"/>
              </w:rPr>
            </w:pPr>
            <w:hyperlink r:id="rId267">
              <w:r>
                <w:rPr>
                  <w:rFonts w:ascii="Arial" w:cs="Arial" w:eastAsia="Arial" w:hAnsi="Arial"/>
                  <w:sz w:val="16"/>
                  <w:szCs w:val="16"/>
                  <w:color w:val="0000FF"/>
                </w:rPr>
                <w:t>Agreement and Plan of Merger, dated February 9, 2021, by and</w:t>
              </w:r>
            </w:hyperlink>
          </w:p>
        </w:tc>
        <w:tc>
          <w:tcPr>
            <w:tcW w:w="1400" w:type="dxa"/>
            <w:vAlign w:val="bottom"/>
            <w:gridSpan w:val="2"/>
          </w:tcPr>
          <w:p>
            <w:pPr>
              <w:jc w:val="center"/>
              <w:ind w:right="80"/>
              <w:spacing w:after="0" w:line="171" w:lineRule="exact"/>
              <w:rPr>
                <w:sz w:val="20"/>
                <w:szCs w:val="20"/>
                <w:color w:val="auto"/>
              </w:rPr>
            </w:pPr>
            <w:r>
              <w:rPr>
                <w:rFonts w:ascii="Arial" w:cs="Arial" w:eastAsia="Arial" w:hAnsi="Arial"/>
                <w:sz w:val="16"/>
                <w:szCs w:val="16"/>
                <w:color w:val="auto"/>
                <w:w w:val="97"/>
              </w:rPr>
              <w:t>DEFM14A</w:t>
            </w:r>
          </w:p>
        </w:tc>
        <w:tc>
          <w:tcPr>
            <w:tcW w:w="1420" w:type="dxa"/>
            <w:vAlign w:val="bottom"/>
            <w:gridSpan w:val="2"/>
          </w:tcPr>
          <w:p>
            <w:pPr>
              <w:jc w:val="center"/>
              <w:ind w:right="100"/>
              <w:spacing w:after="0" w:line="171" w:lineRule="exact"/>
              <w:rPr>
                <w:sz w:val="20"/>
                <w:szCs w:val="20"/>
                <w:color w:val="auto"/>
              </w:rPr>
            </w:pPr>
            <w:r>
              <w:rPr>
                <w:rFonts w:ascii="Arial" w:cs="Arial" w:eastAsia="Arial" w:hAnsi="Arial"/>
                <w:sz w:val="16"/>
                <w:szCs w:val="16"/>
                <w:color w:val="auto"/>
                <w:w w:val="99"/>
              </w:rPr>
              <w:t>Annex A</w:t>
            </w:r>
          </w:p>
        </w:tc>
        <w:tc>
          <w:tcPr>
            <w:tcW w:w="1320" w:type="dxa"/>
            <w:vAlign w:val="bottom"/>
          </w:tcPr>
          <w:p>
            <w:pPr>
              <w:jc w:val="center"/>
              <w:spacing w:after="0" w:line="171" w:lineRule="exact"/>
              <w:rPr>
                <w:sz w:val="20"/>
                <w:szCs w:val="20"/>
                <w:color w:val="auto"/>
              </w:rPr>
            </w:pPr>
            <w:r>
              <w:rPr>
                <w:rFonts w:ascii="Arial" w:cs="Arial" w:eastAsia="Arial" w:hAnsi="Arial"/>
                <w:sz w:val="16"/>
                <w:szCs w:val="16"/>
                <w:color w:val="auto"/>
                <w:w w:val="92"/>
              </w:rPr>
              <w:t>07/02/2021</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0"/>
              </w:rPr>
            </w:pPr>
            <w:hyperlink r:id="rId267">
              <w:r>
                <w:rPr>
                  <w:rFonts w:ascii="Arial" w:cs="Arial" w:eastAsia="Arial" w:hAnsi="Arial"/>
                  <w:sz w:val="16"/>
                  <w:szCs w:val="16"/>
                  <w:color w:val="0000FF"/>
                  <w:w w:val="90"/>
                </w:rPr>
                <w:t>among CMLS, Merger Sub and Legacy Sema4, as amended by</w:t>
              </w:r>
            </w:hyperlink>
          </w:p>
        </w:tc>
        <w:tc>
          <w:tcPr>
            <w:tcW w:w="4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gridSpan w:val="23"/>
          </w:tcPr>
          <w:p>
            <w:pPr>
              <w:spacing w:after="0" w:line="142" w:lineRule="exact"/>
              <w:rPr>
                <w:rFonts w:ascii="Arial" w:cs="Arial" w:eastAsia="Arial" w:hAnsi="Arial"/>
                <w:sz w:val="16"/>
                <w:szCs w:val="16"/>
                <w:color w:val="0000FF"/>
                <w:w w:val="99"/>
              </w:rPr>
            </w:pPr>
            <w:hyperlink r:id="rId267">
              <w:r>
                <w:rPr>
                  <w:rFonts w:ascii="Arial" w:cs="Arial" w:eastAsia="Arial" w:hAnsi="Arial"/>
                  <w:sz w:val="16"/>
                  <w:szCs w:val="16"/>
                  <w:color w:val="0000FF"/>
                  <w:w w:val="99"/>
                </w:rPr>
                <w:t>Amendment to Agreement and Plan of Merger dated May 3, 2021</w:t>
              </w:r>
            </w:hyperlink>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top w:val="single" w:sz="8" w:color="0000FF"/>
            </w:tcBorders>
            <w:gridSpan w:val="16"/>
          </w:tcPr>
          <w:p>
            <w:pPr>
              <w:spacing w:after="0"/>
              <w:rPr>
                <w:rFonts w:ascii="Arial" w:cs="Arial" w:eastAsia="Arial" w:hAnsi="Arial"/>
                <w:sz w:val="16"/>
                <w:szCs w:val="16"/>
                <w:color w:val="0000FF"/>
                <w:w w:val="94"/>
              </w:rPr>
            </w:pPr>
            <w:hyperlink r:id="rId268">
              <w:r>
                <w:rPr>
                  <w:rFonts w:ascii="Arial" w:cs="Arial" w:eastAsia="Arial" w:hAnsi="Arial"/>
                  <w:sz w:val="16"/>
                  <w:szCs w:val="16"/>
                  <w:color w:val="0000FF"/>
                  <w:w w:val="94"/>
                </w:rPr>
                <w:t>Agreement and Plan of Merger and Reorganization, dated as of</w:t>
              </w:r>
            </w:hyperlink>
          </w:p>
        </w:tc>
        <w:tc>
          <w:tcPr>
            <w:tcW w:w="380" w:type="dxa"/>
            <w:vAlign w:val="bottom"/>
            <w:gridSpan w:val="7"/>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01/18/2022</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gridSpan w:val="23"/>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January 14, 2022, by and among, Orion Merger Sub I, Inc., Orion</w:t>
              </w:r>
            </w:hyperlink>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0000FF"/>
            </w:tcBorders>
            <w:gridSpan w:val="15"/>
          </w:tcPr>
          <w:p>
            <w:pPr>
              <w:spacing w:after="0" w:line="142" w:lineRule="exact"/>
              <w:rPr>
                <w:rFonts w:ascii="Arial" w:cs="Arial" w:eastAsia="Arial" w:hAnsi="Arial"/>
                <w:sz w:val="16"/>
                <w:szCs w:val="16"/>
                <w:color w:val="0000FF"/>
                <w:w w:val="95"/>
              </w:rPr>
            </w:pPr>
            <w:hyperlink r:id="rId268">
              <w:r>
                <w:rPr>
                  <w:rFonts w:ascii="Arial" w:cs="Arial" w:eastAsia="Arial" w:hAnsi="Arial"/>
                  <w:sz w:val="16"/>
                  <w:szCs w:val="16"/>
                  <w:color w:val="0000FF"/>
                  <w:w w:val="95"/>
                </w:rPr>
                <w:t>Merger Sub II, LLC, GeneDx, Inc., GeneDx Holding 2, Inc. and</w:t>
              </w:r>
            </w:hyperlink>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2"/>
              </w:rPr>
            </w:pPr>
            <w:hyperlink r:id="rId268">
              <w:r>
                <w:rPr>
                  <w:rFonts w:ascii="Arial" w:cs="Arial" w:eastAsia="Arial" w:hAnsi="Arial"/>
                  <w:sz w:val="16"/>
                  <w:szCs w:val="16"/>
                  <w:color w:val="0000FF"/>
                  <w:w w:val="92"/>
                </w:rPr>
                <w:t>OPKO Health, Inc.</w:t>
              </w:r>
            </w:hyperlink>
          </w:p>
        </w:tc>
        <w:tc>
          <w:tcPr>
            <w:tcW w:w="2920" w:type="dxa"/>
            <w:vAlign w:val="bottom"/>
            <w:tcBorders>
              <w:top w:val="single" w:sz="8" w:color="0000FF"/>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FF"/>
                <w:w w:val="97"/>
              </w:rPr>
            </w:pPr>
            <w:hyperlink r:id="rId269">
              <w:r>
                <w:rPr>
                  <w:rFonts w:ascii="Arial" w:cs="Arial" w:eastAsia="Arial" w:hAnsi="Arial"/>
                  <w:sz w:val="16"/>
                  <w:szCs w:val="16"/>
                  <w:color w:val="0000FF"/>
                  <w:w w:val="97"/>
                </w:rPr>
                <w:t>Third Amended and Restated Certificate of Incorporation of Sema4</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2"/>
              </w:rPr>
            </w:pPr>
            <w:hyperlink r:id="rId269">
              <w:r>
                <w:rPr>
                  <w:rFonts w:ascii="Arial" w:cs="Arial" w:eastAsia="Arial" w:hAnsi="Arial"/>
                  <w:sz w:val="16"/>
                  <w:szCs w:val="16"/>
                  <w:color w:val="0000FF"/>
                  <w:w w:val="92"/>
                </w:rPr>
                <w:t>Holdings Corp.</w:t>
              </w:r>
            </w:hyperlink>
          </w:p>
        </w:tc>
        <w:tc>
          <w:tcPr>
            <w:tcW w:w="33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0000FF"/>
            </w:tcBorders>
            <w:gridSpan w:val="7"/>
          </w:tcPr>
          <w:p>
            <w:pPr>
              <w:spacing w:after="0"/>
              <w:rPr>
                <w:rFonts w:ascii="Arial" w:cs="Arial" w:eastAsia="Arial" w:hAnsi="Arial"/>
                <w:sz w:val="16"/>
                <w:szCs w:val="16"/>
                <w:color w:val="0000FF"/>
                <w:w w:val="91"/>
              </w:rPr>
            </w:pPr>
            <w:hyperlink r:id="rId270">
              <w:r>
                <w:rPr>
                  <w:rFonts w:ascii="Arial" w:cs="Arial" w:eastAsia="Arial" w:hAnsi="Arial"/>
                  <w:sz w:val="16"/>
                  <w:szCs w:val="16"/>
                  <w:color w:val="0000FF"/>
                  <w:w w:val="91"/>
                </w:rPr>
                <w:t>Restated Bylaws of Sema4 Holdings Corp.</w:t>
              </w:r>
            </w:hyperlink>
          </w:p>
        </w:tc>
        <w:tc>
          <w:tcPr>
            <w:tcW w:w="1860" w:type="dxa"/>
            <w:vAlign w:val="bottom"/>
            <w:gridSpan w:val="16"/>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5"/>
          </w:tcPr>
          <w:p>
            <w:pPr>
              <w:spacing w:after="0"/>
              <w:rPr>
                <w:rFonts w:ascii="Arial" w:cs="Arial" w:eastAsia="Arial" w:hAnsi="Arial"/>
                <w:sz w:val="16"/>
                <w:szCs w:val="16"/>
                <w:color w:val="0000FF"/>
                <w:w w:val="90"/>
              </w:rPr>
            </w:pPr>
            <w:hyperlink r:id="rId271">
              <w:r>
                <w:rPr>
                  <w:rFonts w:ascii="Arial" w:cs="Arial" w:eastAsia="Arial" w:hAnsi="Arial"/>
                  <w:sz w:val="16"/>
                  <w:szCs w:val="16"/>
                  <w:color w:val="0000FF"/>
                  <w:w w:val="90"/>
                </w:rPr>
                <w:t>Specimen Warrant Certificate</w:t>
              </w:r>
            </w:hyperlink>
          </w:p>
        </w:tc>
        <w:tc>
          <w:tcPr>
            <w:tcW w:w="2720" w:type="dxa"/>
            <w:vAlign w:val="bottom"/>
            <w:gridSpan w:val="18"/>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08/24/2020</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FF"/>
                <w:w w:val="94"/>
              </w:rPr>
            </w:pPr>
            <w:hyperlink r:id="rId272">
              <w:r>
                <w:rPr>
                  <w:rFonts w:ascii="Arial" w:cs="Arial" w:eastAsia="Arial" w:hAnsi="Arial"/>
                  <w:sz w:val="16"/>
                  <w:szCs w:val="16"/>
                  <w:color w:val="0000FF"/>
                  <w:w w:val="94"/>
                </w:rPr>
                <w:t>Warrant Agreement, dated as of September 1, 2020, by and between</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09/04/2020</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tcBorders>
            <w:gridSpan w:val="19"/>
          </w:tcPr>
          <w:p>
            <w:pPr>
              <w:spacing w:after="0" w:line="142" w:lineRule="exact"/>
              <w:rPr>
                <w:rFonts w:ascii="Arial" w:cs="Arial" w:eastAsia="Arial" w:hAnsi="Arial"/>
                <w:sz w:val="16"/>
                <w:szCs w:val="16"/>
                <w:color w:val="0000FF"/>
                <w:w w:val="99"/>
              </w:rPr>
            </w:pPr>
            <w:hyperlink r:id="rId272">
              <w:r>
                <w:rPr>
                  <w:rFonts w:ascii="Arial" w:cs="Arial" w:eastAsia="Arial" w:hAnsi="Arial"/>
                  <w:sz w:val="16"/>
                  <w:szCs w:val="16"/>
                  <w:color w:val="0000FF"/>
                  <w:w w:val="99"/>
                </w:rPr>
                <w:t>CM Life Sciences, Inc. and Continental Stock Transfer &amp; Trust</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88"/>
              </w:rPr>
            </w:pPr>
            <w:hyperlink r:id="rId272">
              <w:r>
                <w:rPr>
                  <w:rFonts w:ascii="Arial" w:cs="Arial" w:eastAsia="Arial" w:hAnsi="Arial"/>
                  <w:sz w:val="16"/>
                  <w:szCs w:val="16"/>
                  <w:color w:val="0000FF"/>
                  <w:w w:val="88"/>
                </w:rPr>
                <w:t>Company, as warrant agent</w:t>
              </w:r>
            </w:hyperlink>
          </w:p>
        </w:tc>
        <w:tc>
          <w:tcPr>
            <w:tcW w:w="2340" w:type="dxa"/>
            <w:vAlign w:val="bottom"/>
            <w:tcBorders>
              <w:top w:val="single" w:sz="8" w:color="0000FF"/>
            </w:tcBorders>
            <w:gridSpan w:val="7"/>
          </w:tcPr>
          <w:p>
            <w:pPr>
              <w:spacing w:after="0"/>
              <w:rPr>
                <w:sz w:val="12"/>
                <w:szCs w:val="12"/>
                <w:color w:val="auto"/>
              </w:rPr>
            </w:pPr>
          </w:p>
        </w:tc>
        <w:tc>
          <w:tcPr>
            <w:tcW w:w="10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FF"/>
              </w:rPr>
            </w:pPr>
            <w:hyperlink r:id="rId273">
              <w:r>
                <w:rPr>
                  <w:rFonts w:ascii="Arial" w:cs="Arial" w:eastAsia="Arial" w:hAnsi="Arial"/>
                  <w:sz w:val="16"/>
                  <w:szCs w:val="16"/>
                  <w:color w:val="0000FF"/>
                </w:rPr>
                <w:t>Legal Opinion of Fenwick &amp; West LLP</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08/04/2021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9"/>
          </w:tcPr>
          <w:p>
            <w:pPr>
              <w:spacing w:after="0"/>
              <w:rPr>
                <w:rFonts w:ascii="Arial" w:cs="Arial" w:eastAsia="Arial" w:hAnsi="Arial"/>
                <w:sz w:val="16"/>
                <w:szCs w:val="16"/>
                <w:color w:val="0000FF"/>
                <w:w w:val="94"/>
              </w:rPr>
            </w:pPr>
            <w:hyperlink r:id="rId274">
              <w:r>
                <w:rPr>
                  <w:rFonts w:ascii="Arial" w:cs="Arial" w:eastAsia="Arial" w:hAnsi="Arial"/>
                  <w:sz w:val="16"/>
                  <w:szCs w:val="16"/>
                  <w:color w:val="0000FF"/>
                  <w:w w:val="94"/>
                </w:rPr>
                <w:t>Form of Director and Officer Indemnification Agreement.</w:t>
              </w:r>
            </w:hyperlink>
          </w:p>
        </w:tc>
        <w:tc>
          <w:tcPr>
            <w:tcW w:w="880" w:type="dxa"/>
            <w:vAlign w:val="bottom"/>
            <w:gridSpan w:val="14"/>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23"/>
          </w:tcPr>
          <w:p>
            <w:pPr>
              <w:spacing w:after="0"/>
              <w:rPr>
                <w:rFonts w:ascii="Arial" w:cs="Arial" w:eastAsia="Arial" w:hAnsi="Arial"/>
                <w:sz w:val="16"/>
                <w:szCs w:val="16"/>
                <w:color w:val="0000FF"/>
                <w:w w:val="93"/>
              </w:rPr>
            </w:pPr>
            <w:hyperlink r:id="rId275">
              <w:r>
                <w:rPr>
                  <w:rFonts w:ascii="Arial" w:cs="Arial" w:eastAsia="Arial" w:hAnsi="Arial"/>
                  <w:sz w:val="16"/>
                  <w:szCs w:val="16"/>
                  <w:color w:val="0000FF"/>
                  <w:w w:val="93"/>
                </w:rPr>
                <w:t>Subscription Agreement, dated as of February 9, 2021, by and among</w:t>
              </w:r>
            </w:hyperlink>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02/11/2021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the Company and the subscriber parties thereto</w:t>
              </w:r>
            </w:hyperlink>
          </w:p>
        </w:tc>
        <w:tc>
          <w:tcPr>
            <w:tcW w:w="1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17"/>
          </w:tcPr>
          <w:p>
            <w:pPr>
              <w:spacing w:after="0"/>
              <w:rPr>
                <w:rFonts w:ascii="Arial" w:cs="Arial" w:eastAsia="Arial" w:hAnsi="Arial"/>
                <w:sz w:val="16"/>
                <w:szCs w:val="16"/>
                <w:color w:val="0000FF"/>
                <w:w w:val="90"/>
              </w:rPr>
            </w:pPr>
            <w:hyperlink r:id="rId276">
              <w:r>
                <w:rPr>
                  <w:rFonts w:ascii="Arial" w:cs="Arial" w:eastAsia="Arial" w:hAnsi="Arial"/>
                  <w:sz w:val="16"/>
                  <w:szCs w:val="16"/>
                  <w:color w:val="0000FF"/>
                  <w:w w:val="90"/>
                </w:rPr>
                <w:t>Amended and Restated Registration Rights Agreement, dated as of</w:t>
              </w:r>
            </w:hyperlink>
          </w:p>
        </w:tc>
        <w:tc>
          <w:tcPr>
            <w:tcW w:w="300" w:type="dxa"/>
            <w:vAlign w:val="bottom"/>
            <w:gridSpan w:val="6"/>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07/28/2021</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gridSpan w:val="23"/>
          </w:tcPr>
          <w:p>
            <w:pPr>
              <w:spacing w:after="0" w:line="142" w:lineRule="exact"/>
              <w:rPr>
                <w:rFonts w:ascii="Arial" w:cs="Arial" w:eastAsia="Arial" w:hAnsi="Arial"/>
                <w:sz w:val="16"/>
                <w:szCs w:val="16"/>
                <w:color w:val="0000FF"/>
                <w:w w:val="95"/>
              </w:rPr>
            </w:pPr>
            <w:hyperlink r:id="rId276">
              <w:r>
                <w:rPr>
                  <w:rFonts w:ascii="Arial" w:cs="Arial" w:eastAsia="Arial" w:hAnsi="Arial"/>
                  <w:sz w:val="16"/>
                  <w:szCs w:val="16"/>
                  <w:color w:val="0000FF"/>
                  <w:w w:val="95"/>
                </w:rPr>
                <w:t>July 22, 2021, by and among the Company, certain equity holders of</w:t>
              </w:r>
            </w:hyperlink>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tcBorders>
              <w:top w:val="single" w:sz="8" w:color="0000FF"/>
            </w:tcBorders>
            <w:gridSpan w:val="20"/>
          </w:tcPr>
          <w:p>
            <w:pPr>
              <w:spacing w:after="0" w:line="142" w:lineRule="exact"/>
              <w:rPr>
                <w:rFonts w:ascii="Arial" w:cs="Arial" w:eastAsia="Arial" w:hAnsi="Arial"/>
                <w:sz w:val="16"/>
                <w:szCs w:val="16"/>
                <w:color w:val="0000FF"/>
                <w:w w:val="95"/>
              </w:rPr>
            </w:pPr>
            <w:hyperlink r:id="rId276">
              <w:r>
                <w:rPr>
                  <w:rFonts w:ascii="Arial" w:cs="Arial" w:eastAsia="Arial" w:hAnsi="Arial"/>
                  <w:sz w:val="16"/>
                  <w:szCs w:val="16"/>
                  <w:color w:val="0000FF"/>
                  <w:w w:val="95"/>
                </w:rPr>
                <w:t>the Company named therein and certain equity holders of Sema4</w:t>
              </w:r>
            </w:hyperlink>
          </w:p>
        </w:tc>
        <w:tc>
          <w:tcPr>
            <w:tcW w:w="220" w:type="dxa"/>
            <w:vAlign w:val="bottom"/>
            <w:gridSpan w:val="3"/>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named therein</w:t>
              </w:r>
            </w:hyperlink>
          </w:p>
        </w:tc>
        <w:tc>
          <w:tcPr>
            <w:tcW w:w="440" w:type="dxa"/>
            <w:vAlign w:val="bottom"/>
            <w:gridSpan w:val="9"/>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8"/>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89" w:lineRule="exact"/>
        <w:rPr>
          <w:sz w:val="20"/>
          <w:szCs w:val="20"/>
          <w:color w:val="auto"/>
        </w:rPr>
      </w:pPr>
    </w:p>
    <w:p>
      <w:pPr>
        <w:ind w:left="800" w:right="80" w:hanging="760"/>
        <w:spacing w:after="0" w:line="262" w:lineRule="auto"/>
        <w:tabs>
          <w:tab w:leader="none" w:pos="780" w:val="left"/>
        </w:tabs>
        <w:rPr>
          <w:rFonts w:ascii="Arial" w:cs="Arial" w:eastAsia="Arial" w:hAnsi="Arial"/>
          <w:sz w:val="15"/>
          <w:szCs w:val="15"/>
          <w:u w:val="single" w:color="auto"/>
          <w:color w:val="0000FF"/>
        </w:rPr>
      </w:pPr>
      <w:r>
        <w:rPr>
          <w:rFonts w:ascii="Arial" w:cs="Arial" w:eastAsia="Arial" w:hAnsi="Arial"/>
          <w:sz w:val="16"/>
          <w:szCs w:val="16"/>
          <w:color w:val="auto"/>
        </w:rPr>
        <w:t>10.4*</w:t>
      </w:r>
      <w:r>
        <w:rPr>
          <w:sz w:val="20"/>
          <w:szCs w:val="20"/>
          <w:color w:val="auto"/>
        </w:rPr>
        <w:tab/>
      </w:r>
      <w:hyperlink r:id="rId279">
        <w:r>
          <w:rPr>
            <w:rFonts w:ascii="Arial" w:cs="Arial" w:eastAsia="Arial" w:hAnsi="Arial"/>
            <w:sz w:val="15"/>
            <w:szCs w:val="15"/>
            <w:u w:val="single" w:color="auto"/>
            <w:color w:val="0000FF"/>
          </w:rPr>
          <w:t>Lockup Agreement, dated as of February 9, 2021, by and among the</w:t>
        </w:r>
      </w:hyperlink>
      <w:r>
        <w:rPr>
          <w:rFonts w:ascii="Arial" w:cs="Arial" w:eastAsia="Arial" w:hAnsi="Arial"/>
          <w:sz w:val="15"/>
          <w:szCs w:val="15"/>
          <w:u w:val="single" w:color="auto"/>
          <w:color w:val="0000FF"/>
        </w:rPr>
        <w:t xml:space="preserve"> </w:t>
      </w:r>
      <w:hyperlink r:id="rId279">
        <w:r>
          <w:rPr>
            <w:rFonts w:ascii="Arial" w:cs="Arial" w:eastAsia="Arial" w:hAnsi="Arial"/>
            <w:sz w:val="15"/>
            <w:szCs w:val="15"/>
            <w:u w:val="single" w:color="auto"/>
            <w:color w:val="0000FF"/>
          </w:rPr>
          <w:t>Company and the stockholder parties identified therein</w:t>
        </w:r>
      </w:hyperlink>
    </w:p>
    <w:p>
      <w:pPr>
        <w:spacing w:after="0" w:line="1" w:lineRule="exact"/>
        <w:rPr>
          <w:sz w:val="20"/>
          <w:szCs w:val="20"/>
          <w:color w:val="auto"/>
        </w:rPr>
      </w:pPr>
    </w:p>
    <w:p>
      <w:pPr>
        <w:ind w:left="800" w:right="200" w:hanging="76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10.5*</w:t>
      </w:r>
      <w:r>
        <w:rPr>
          <w:sz w:val="20"/>
          <w:szCs w:val="20"/>
          <w:color w:val="auto"/>
        </w:rPr>
        <w:tab/>
      </w:r>
      <w:hyperlink r:id="rId280">
        <w:r>
          <w:rPr>
            <w:rFonts w:ascii="Arial" w:cs="Arial" w:eastAsia="Arial" w:hAnsi="Arial"/>
            <w:sz w:val="16"/>
            <w:szCs w:val="16"/>
            <w:u w:val="single" w:color="auto"/>
            <w:color w:val="0000FF"/>
          </w:rPr>
          <w:t>Form of Stock Option Agreement under the 2021 Equity Incentive</w:t>
        </w:r>
      </w:hyperlink>
      <w:r>
        <w:rPr>
          <w:rFonts w:ascii="Arial" w:cs="Arial" w:eastAsia="Arial" w:hAnsi="Arial"/>
          <w:sz w:val="16"/>
          <w:szCs w:val="16"/>
          <w:u w:val="single" w:color="auto"/>
          <w:color w:val="0000FF"/>
        </w:rPr>
        <w:t xml:space="preserve"> </w:t>
      </w:r>
      <w:hyperlink r:id="rId280">
        <w:r>
          <w:rPr>
            <w:rFonts w:ascii="Arial" w:cs="Arial" w:eastAsia="Arial" w:hAnsi="Arial"/>
            <w:sz w:val="16"/>
            <w:szCs w:val="16"/>
            <w:u w:val="single" w:color="auto"/>
            <w:color w:val="0000FF"/>
          </w:rPr>
          <w:t>Plan</w:t>
        </w:r>
      </w:hyperlink>
    </w:p>
    <w:p>
      <w:pPr>
        <w:spacing w:after="0" w:line="10" w:lineRule="exact"/>
        <w:rPr>
          <w:sz w:val="20"/>
          <w:szCs w:val="20"/>
          <w:color w:val="auto"/>
        </w:rPr>
      </w:pPr>
    </w:p>
    <w:p>
      <w:pPr>
        <w:ind w:left="4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10.6*</w:t>
      </w:r>
      <w:r>
        <w:rPr>
          <w:sz w:val="20"/>
          <w:szCs w:val="20"/>
          <w:color w:val="auto"/>
        </w:rPr>
        <w:tab/>
      </w:r>
      <w:hyperlink r:id="rId281">
        <w:r>
          <w:rPr>
            <w:rFonts w:ascii="Arial" w:cs="Arial" w:eastAsia="Arial" w:hAnsi="Arial"/>
            <w:sz w:val="14"/>
            <w:szCs w:val="14"/>
            <w:u w:val="single" w:color="auto"/>
            <w:color w:val="0000FF"/>
          </w:rPr>
          <w:t>Form of RSU Agreement under the 2021 Equity Incentive Plan</w:t>
        </w:r>
      </w:hyperlink>
    </w:p>
    <w:p>
      <w:pPr>
        <w:spacing w:after="0" w:line="32" w:lineRule="exact"/>
        <w:rPr>
          <w:sz w:val="20"/>
          <w:szCs w:val="20"/>
          <w:color w:val="auto"/>
        </w:rPr>
      </w:pPr>
    </w:p>
    <w:p>
      <w:pPr>
        <w:ind w:left="4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10.7*</w:t>
      </w:r>
      <w:r>
        <w:rPr>
          <w:sz w:val="20"/>
          <w:szCs w:val="20"/>
          <w:color w:val="auto"/>
        </w:rPr>
        <w:tab/>
      </w:r>
      <w:hyperlink r:id="rId282">
        <w:r>
          <w:rPr>
            <w:rFonts w:ascii="Arial" w:cs="Arial" w:eastAsia="Arial" w:hAnsi="Arial"/>
            <w:sz w:val="14"/>
            <w:szCs w:val="14"/>
            <w:u w:val="single" w:color="auto"/>
            <w:color w:val="0000FF"/>
          </w:rPr>
          <w:t>Form of Earn-Out RSU Agreement</w:t>
        </w:r>
      </w:hyperlink>
    </w:p>
    <w:p>
      <w:pPr>
        <w:spacing w:after="0" w:line="32" w:lineRule="exact"/>
        <w:rPr>
          <w:sz w:val="20"/>
          <w:szCs w:val="20"/>
          <w:color w:val="auto"/>
        </w:rPr>
      </w:pPr>
    </w:p>
    <w:p>
      <w:pPr>
        <w:ind w:left="4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10.8*</w:t>
      </w:r>
      <w:r>
        <w:rPr>
          <w:sz w:val="20"/>
          <w:szCs w:val="20"/>
          <w:color w:val="auto"/>
        </w:rPr>
        <w:tab/>
      </w:r>
      <w:hyperlink r:id="rId283">
        <w:r>
          <w:rPr>
            <w:rFonts w:ascii="Arial" w:cs="Arial" w:eastAsia="Arial" w:hAnsi="Arial"/>
            <w:sz w:val="14"/>
            <w:szCs w:val="14"/>
            <w:u w:val="single" w:color="auto"/>
            <w:color w:val="0000FF"/>
          </w:rPr>
          <w:t>2021 Equity Incentive Plan</w:t>
        </w:r>
      </w:hyperlink>
    </w:p>
    <w:p>
      <w:pPr>
        <w:spacing w:after="0" w:line="32" w:lineRule="exact"/>
        <w:rPr>
          <w:sz w:val="20"/>
          <w:szCs w:val="20"/>
          <w:color w:val="auto"/>
        </w:rPr>
      </w:pPr>
    </w:p>
    <w:p>
      <w:pPr>
        <w:ind w:left="40"/>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10.9*</w:t>
      </w:r>
      <w:r>
        <w:rPr>
          <w:sz w:val="20"/>
          <w:szCs w:val="20"/>
          <w:color w:val="auto"/>
        </w:rPr>
        <w:tab/>
      </w:r>
      <w:hyperlink r:id="rId284">
        <w:r>
          <w:rPr>
            <w:rFonts w:ascii="Arial" w:cs="Arial" w:eastAsia="Arial" w:hAnsi="Arial"/>
            <w:sz w:val="14"/>
            <w:szCs w:val="14"/>
            <w:u w:val="single" w:color="auto"/>
            <w:color w:val="0000FF"/>
          </w:rPr>
          <w:t>2021 Employee Stock Purchase Plan</w:t>
        </w:r>
      </w:hyperlink>
    </w:p>
    <w:p>
      <w:pPr>
        <w:spacing w:after="0" w:line="32" w:lineRule="exact"/>
        <w:rPr>
          <w:sz w:val="20"/>
          <w:szCs w:val="20"/>
          <w:color w:val="auto"/>
        </w:rPr>
      </w:pPr>
    </w:p>
    <w:p>
      <w:pPr>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10.10*</w:t>
      </w:r>
      <w:r>
        <w:rPr>
          <w:sz w:val="20"/>
          <w:szCs w:val="20"/>
          <w:color w:val="auto"/>
        </w:rPr>
        <w:tab/>
      </w:r>
      <w:hyperlink r:id="rId285">
        <w:r>
          <w:rPr>
            <w:rFonts w:ascii="Arial" w:cs="Arial" w:eastAsia="Arial" w:hAnsi="Arial"/>
            <w:sz w:val="14"/>
            <w:szCs w:val="14"/>
            <w:u w:val="single" w:color="auto"/>
            <w:color w:val="0000FF"/>
          </w:rPr>
          <w:t>Amended and Restated Employment Agreement of Eric Schadt.</w:t>
        </w:r>
      </w:hyperlink>
    </w:p>
    <w:p>
      <w:pPr>
        <w:spacing w:after="0" w:line="32" w:lineRule="exact"/>
        <w:rPr>
          <w:sz w:val="20"/>
          <w:szCs w:val="20"/>
          <w:color w:val="auto"/>
        </w:rPr>
      </w:pPr>
    </w:p>
    <w:p>
      <w:pPr>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10.11*</w:t>
      </w:r>
      <w:r>
        <w:rPr>
          <w:sz w:val="20"/>
          <w:szCs w:val="20"/>
          <w:color w:val="auto"/>
        </w:rPr>
        <w:tab/>
      </w:r>
      <w:hyperlink r:id="rId286">
        <w:r>
          <w:rPr>
            <w:rFonts w:ascii="Arial" w:cs="Arial" w:eastAsia="Arial" w:hAnsi="Arial"/>
            <w:sz w:val="14"/>
            <w:szCs w:val="14"/>
            <w:u w:val="single" w:color="auto"/>
            <w:color w:val="0000FF"/>
          </w:rPr>
          <w:t>Employment Agreement of Isaac Ro.</w:t>
        </w:r>
      </w:hyperlink>
    </w:p>
    <w:p>
      <w:pPr>
        <w:spacing w:after="0" w:line="32" w:lineRule="exact"/>
        <w:rPr>
          <w:sz w:val="20"/>
          <w:szCs w:val="20"/>
          <w:color w:val="auto"/>
        </w:rPr>
      </w:pPr>
    </w:p>
    <w:p>
      <w:pPr>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10.12*</w:t>
      </w:r>
      <w:r>
        <w:rPr>
          <w:sz w:val="20"/>
          <w:szCs w:val="20"/>
          <w:color w:val="auto"/>
        </w:rPr>
        <w:tab/>
      </w:r>
      <w:hyperlink r:id="rId287">
        <w:r>
          <w:rPr>
            <w:rFonts w:ascii="Arial" w:cs="Arial" w:eastAsia="Arial" w:hAnsi="Arial"/>
            <w:sz w:val="14"/>
            <w:szCs w:val="14"/>
            <w:u w:val="single" w:color="auto"/>
            <w:color w:val="0000FF"/>
          </w:rPr>
          <w:t>Employment Agreement of Dan Clark.</w:t>
        </w:r>
      </w:hyperlink>
    </w:p>
    <w:p>
      <w:pPr>
        <w:spacing w:after="0" w:line="32" w:lineRule="exact"/>
        <w:rPr>
          <w:sz w:val="20"/>
          <w:szCs w:val="20"/>
          <w:color w:val="auto"/>
        </w:rPr>
      </w:pPr>
    </w:p>
    <w:p>
      <w:pPr>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10.13*</w:t>
      </w:r>
      <w:r>
        <w:rPr>
          <w:sz w:val="20"/>
          <w:szCs w:val="20"/>
          <w:color w:val="auto"/>
        </w:rPr>
        <w:tab/>
      </w:r>
      <w:hyperlink r:id="rId288">
        <w:r>
          <w:rPr>
            <w:rFonts w:ascii="Arial" w:cs="Arial" w:eastAsia="Arial" w:hAnsi="Arial"/>
            <w:sz w:val="14"/>
            <w:szCs w:val="14"/>
            <w:u w:val="single" w:color="auto"/>
            <w:color w:val="0000FF"/>
          </w:rPr>
          <w:t>Employment Agreement of James Coffin.</w:t>
        </w:r>
      </w:hyperlink>
    </w:p>
    <w:p>
      <w:pPr>
        <w:spacing w:after="0" w:line="32" w:lineRule="exact"/>
        <w:rPr>
          <w:sz w:val="20"/>
          <w:szCs w:val="20"/>
          <w:color w:val="auto"/>
        </w:rPr>
      </w:pPr>
    </w:p>
    <w:p>
      <w:pPr>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10.14*</w:t>
      </w:r>
      <w:r>
        <w:rPr>
          <w:sz w:val="20"/>
          <w:szCs w:val="20"/>
          <w:color w:val="auto"/>
        </w:rPr>
        <w:tab/>
      </w:r>
      <w:hyperlink r:id="rId289">
        <w:r>
          <w:rPr>
            <w:rFonts w:ascii="Arial" w:cs="Arial" w:eastAsia="Arial" w:hAnsi="Arial"/>
            <w:sz w:val="14"/>
            <w:szCs w:val="14"/>
            <w:u w:val="single" w:color="auto"/>
            <w:color w:val="0000FF"/>
          </w:rPr>
          <w:t>Employment Agreement of Anthony Prentice.</w:t>
        </w:r>
      </w:hyperlink>
    </w:p>
    <w:p>
      <w:pPr>
        <w:spacing w:after="0" w:line="32" w:lineRule="exact"/>
        <w:rPr>
          <w:sz w:val="20"/>
          <w:szCs w:val="20"/>
          <w:color w:val="auto"/>
        </w:rPr>
      </w:pPr>
    </w:p>
    <w:p>
      <w:pPr>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10.15*</w:t>
      </w:r>
      <w:r>
        <w:rPr>
          <w:sz w:val="20"/>
          <w:szCs w:val="20"/>
          <w:color w:val="auto"/>
        </w:rPr>
        <w:tab/>
      </w:r>
      <w:hyperlink r:id="rId290">
        <w:r>
          <w:rPr>
            <w:rFonts w:ascii="Arial" w:cs="Arial" w:eastAsia="Arial" w:hAnsi="Arial"/>
            <w:sz w:val="14"/>
            <w:szCs w:val="14"/>
            <w:u w:val="single" w:color="auto"/>
            <w:color w:val="0000FF"/>
          </w:rPr>
          <w:t>Employment Agreement of Kareem Saad.</w:t>
        </w:r>
      </w:hyperlink>
    </w:p>
    <w:p>
      <w:pPr>
        <w:spacing w:after="0" w:line="32" w:lineRule="exact"/>
        <w:rPr>
          <w:sz w:val="20"/>
          <w:szCs w:val="20"/>
          <w:color w:val="auto"/>
        </w:rPr>
      </w:pPr>
    </w:p>
    <w:p>
      <w:pPr>
        <w:spacing w:after="0"/>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10.16*</w:t>
      </w:r>
      <w:r>
        <w:rPr>
          <w:sz w:val="20"/>
          <w:szCs w:val="20"/>
          <w:color w:val="auto"/>
        </w:rPr>
        <w:tab/>
      </w:r>
      <w:hyperlink r:id="rId291">
        <w:r>
          <w:rPr>
            <w:rFonts w:ascii="Arial" w:cs="Arial" w:eastAsia="Arial" w:hAnsi="Arial"/>
            <w:sz w:val="14"/>
            <w:szCs w:val="14"/>
            <w:u w:val="single" w:color="auto"/>
            <w:color w:val="0000FF"/>
          </w:rPr>
          <w:t>Employment Agreement of Karen White.</w:t>
        </w:r>
      </w:hyperlink>
    </w:p>
    <w:p>
      <w:pPr>
        <w:spacing w:after="0" w:line="32" w:lineRule="exact"/>
        <w:rPr>
          <w:sz w:val="20"/>
          <w:szCs w:val="20"/>
          <w:color w:val="auto"/>
        </w:rPr>
      </w:pPr>
    </w:p>
    <w:p>
      <w:pPr>
        <w:ind w:left="80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292">
        <w:r>
          <w:rPr>
            <w:rFonts w:ascii="Arial" w:cs="Arial" w:eastAsia="Arial" w:hAnsi="Arial"/>
            <w:sz w:val="16"/>
            <w:szCs w:val="16"/>
            <w:u w:val="single" w:color="auto"/>
            <w:color w:val="0000FF"/>
          </w:rPr>
          <w:t>Sub-Sublease, dated as of June 6, 2017, by and between Icahn School</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of Medicine at Mount Sinai and the Company, as amended July 31,</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2019.</w:t>
        </w:r>
      </w:hyperlink>
    </w:p>
    <w:p>
      <w:pPr>
        <w:spacing w:after="0" w:line="11" w:lineRule="exact"/>
        <w:rPr>
          <w:rFonts w:ascii="Arial" w:cs="Arial" w:eastAsia="Arial" w:hAnsi="Arial"/>
          <w:sz w:val="16"/>
          <w:szCs w:val="16"/>
          <w:u w:val="single" w:color="auto"/>
          <w:color w:val="0000FF"/>
        </w:rPr>
      </w:pPr>
    </w:p>
    <w:p>
      <w:pPr>
        <w:ind w:left="800" w:right="40" w:hanging="8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293">
        <w:r>
          <w:rPr>
            <w:rFonts w:ascii="Arial" w:cs="Arial" w:eastAsia="Arial" w:hAnsi="Arial"/>
            <w:sz w:val="16"/>
            <w:szCs w:val="16"/>
            <w:u w:val="single" w:color="auto"/>
            <w:color w:val="0000FF"/>
          </w:rPr>
          <w:t>Sublease Agreement, dated as of November 8, 2019, by and between</w:t>
        </w:r>
      </w:hyperlink>
      <w:r>
        <w:rPr>
          <w:rFonts w:ascii="Arial" w:cs="Arial" w:eastAsia="Arial" w:hAnsi="Arial"/>
          <w:sz w:val="16"/>
          <w:szCs w:val="16"/>
          <w:u w:val="single" w:color="auto"/>
          <w:color w:val="0000FF"/>
        </w:rPr>
        <w:t xml:space="preserve"> </w:t>
      </w:r>
      <w:hyperlink r:id="rId293">
        <w:r>
          <w:rPr>
            <w:rFonts w:ascii="Arial" w:cs="Arial" w:eastAsia="Arial" w:hAnsi="Arial"/>
            <w:sz w:val="16"/>
            <w:szCs w:val="16"/>
            <w:u w:val="single" w:color="auto"/>
            <w:color w:val="0000FF"/>
          </w:rPr>
          <w:t>Marriott International, Inc. and the Company.</w:t>
        </w:r>
      </w:hyperlink>
    </w:p>
    <w:p>
      <w:pPr>
        <w:spacing w:after="0" w:line="10" w:lineRule="exact"/>
        <w:rPr>
          <w:sz w:val="20"/>
          <w:szCs w:val="20"/>
          <w:color w:val="auto"/>
        </w:rPr>
      </w:pPr>
    </w:p>
    <w:p>
      <w:pPr>
        <w:jc w:val="both"/>
        <w:ind w:left="800" w:right="12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294">
        <w:r>
          <w:rPr>
            <w:rFonts w:ascii="Arial" w:cs="Arial" w:eastAsia="Arial" w:hAnsi="Arial"/>
            <w:sz w:val="16"/>
            <w:szCs w:val="16"/>
            <w:u w:val="single" w:color="auto"/>
            <w:color w:val="0000FF"/>
          </w:rPr>
          <w:t>Sublease, dated as of June 1, 2017, by and between Icahn School of</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Medicine at Mount Sinai and the Company, as amended December</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22, 2017.</w:t>
        </w:r>
      </w:hyperlink>
    </w:p>
    <w:p>
      <w:pPr>
        <w:spacing w:after="0" w:line="11" w:lineRule="exact"/>
        <w:rPr>
          <w:rFonts w:ascii="Arial" w:cs="Arial" w:eastAsia="Arial" w:hAnsi="Arial"/>
          <w:sz w:val="16"/>
          <w:szCs w:val="16"/>
          <w:u w:val="single" w:color="auto"/>
          <w:color w:val="0000FF"/>
        </w:rPr>
      </w:pPr>
    </w:p>
    <w:p>
      <w:pPr>
        <w:ind w:left="800" w:hanging="8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295">
        <w:r>
          <w:rPr>
            <w:rFonts w:ascii="Arial" w:cs="Arial" w:eastAsia="Arial" w:hAnsi="Arial"/>
            <w:sz w:val="16"/>
            <w:szCs w:val="16"/>
            <w:u w:val="single" w:color="auto"/>
            <w:color w:val="0000FF"/>
          </w:rPr>
          <w:t>Sublease, dated as of April 23, 2019, by and between Icahn School of</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Medicine at Mount Sinai and the Company.</w:t>
        </w:r>
      </w:hyperlink>
    </w:p>
    <w:p>
      <w:pPr>
        <w:spacing w:after="0" w:line="10" w:lineRule="exact"/>
        <w:rPr>
          <w:sz w:val="20"/>
          <w:szCs w:val="20"/>
          <w:color w:val="auto"/>
        </w:rPr>
      </w:pPr>
    </w:p>
    <w:p>
      <w:pPr>
        <w:jc w:val="center"/>
        <w:ind w:right="220"/>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10.21*    </w:t>
      </w:r>
      <w:hyperlink r:id="rId296">
        <w:r>
          <w:rPr>
            <w:rFonts w:ascii="Arial" w:cs="Arial" w:eastAsia="Arial" w:hAnsi="Arial"/>
            <w:sz w:val="16"/>
            <w:szCs w:val="16"/>
            <w:u w:val="single" w:color="auto"/>
            <w:color w:val="0000FF"/>
          </w:rPr>
          <w:t>Lease Agreement, dated as of January 31, 2020, by and between 1</w:t>
        </w:r>
      </w:hyperlink>
      <w:r>
        <w:rPr>
          <w:rFonts w:ascii="Arial" w:cs="Arial" w:eastAsia="Arial" w:hAnsi="Arial"/>
          <w:sz w:val="16"/>
          <w:szCs w:val="16"/>
          <w:color w:val="auto"/>
        </w:rPr>
        <w:t xml:space="preserve"> </w:t>
      </w:r>
      <w:hyperlink r:id="rId296">
        <w:r>
          <w:rPr>
            <w:rFonts w:ascii="Arial" w:cs="Arial" w:eastAsia="Arial" w:hAnsi="Arial"/>
            <w:sz w:val="16"/>
            <w:szCs w:val="16"/>
            <w:u w:val="single" w:color="auto"/>
            <w:color w:val="0000FF"/>
          </w:rPr>
          <w:t>Commercial Street Associates, LLC and the Company.</w:t>
        </w:r>
      </w:hyperlink>
    </w:p>
    <w:p>
      <w:pPr>
        <w:spacing w:after="0" w:line="10" w:lineRule="exact"/>
        <w:rPr>
          <w:sz w:val="20"/>
          <w:szCs w:val="20"/>
          <w:color w:val="auto"/>
        </w:rPr>
      </w:pPr>
    </w:p>
    <w:p>
      <w:pPr>
        <w:jc w:val="both"/>
        <w:ind w:left="800" w:right="20" w:hanging="800"/>
        <w:spacing w:after="0" w:line="268" w:lineRule="auto"/>
        <w:tabs>
          <w:tab w:leader="none" w:pos="780" w:val="left"/>
        </w:tabs>
        <w:rPr>
          <w:rFonts w:ascii="Arial" w:cs="Arial" w:eastAsia="Arial" w:hAnsi="Arial"/>
          <w:sz w:val="14"/>
          <w:szCs w:val="14"/>
          <w:color w:val="0000FF"/>
        </w:rPr>
      </w:pPr>
      <w:r>
        <w:rPr>
          <w:rFonts w:ascii="Arial" w:cs="Arial" w:eastAsia="Arial" w:hAnsi="Arial"/>
          <w:sz w:val="16"/>
          <w:szCs w:val="16"/>
          <w:color w:val="auto"/>
        </w:rPr>
        <w:t>10.22*</w:t>
      </w:r>
      <w:r>
        <w:rPr>
          <w:sz w:val="20"/>
          <w:szCs w:val="20"/>
          <w:color w:val="auto"/>
        </w:rPr>
        <w:tab/>
      </w:r>
      <w:hyperlink r:id="rId297">
        <w:r>
          <w:rPr>
            <w:rFonts w:ascii="Arial" w:cs="Arial" w:eastAsia="Arial" w:hAnsi="Arial"/>
            <w:sz w:val="14"/>
            <w:szCs w:val="14"/>
            <w:u w:val="single" w:color="auto"/>
            <w:color w:val="0000FF"/>
          </w:rPr>
          <w:t>Master Services Agreement, dated as of April 2, 2018, by and among</w:t>
        </w:r>
      </w:hyperlink>
      <w:r>
        <w:rPr>
          <w:rFonts w:ascii="Arial" w:cs="Arial" w:eastAsia="Arial" w:hAnsi="Arial"/>
          <w:sz w:val="14"/>
          <w:szCs w:val="14"/>
          <w:u w:val="single" w:color="auto"/>
          <w:color w:val="0000FF"/>
        </w:rPr>
        <w:t xml:space="preserve"> </w:t>
      </w:r>
      <w:hyperlink r:id="rId297">
        <w:r>
          <w:rPr>
            <w:rFonts w:ascii="Arial" w:cs="Arial" w:eastAsia="Arial" w:hAnsi="Arial"/>
            <w:sz w:val="14"/>
            <w:szCs w:val="14"/>
            <w:u w:val="single" w:color="auto"/>
            <w:color w:val="0000FF"/>
          </w:rPr>
          <w:t>the Company, Icahn School of Medicine at Mount Sinai, The Mount</w:t>
        </w:r>
      </w:hyperlink>
      <w:r>
        <w:rPr>
          <w:rFonts w:ascii="Arial" w:cs="Arial" w:eastAsia="Arial" w:hAnsi="Arial"/>
          <w:sz w:val="14"/>
          <w:szCs w:val="14"/>
          <w:u w:val="single" w:color="auto"/>
          <w:color w:val="0000FF"/>
        </w:rPr>
        <w:t xml:space="preserve"> </w:t>
      </w:r>
      <w:hyperlink r:id="rId297">
        <w:r>
          <w:rPr>
            <w:rFonts w:ascii="Arial" w:cs="Arial" w:eastAsia="Arial" w:hAnsi="Arial"/>
            <w:sz w:val="14"/>
            <w:szCs w:val="14"/>
            <w:u w:val="single" w:color="auto"/>
            <w:color w:val="0000FF"/>
          </w:rPr>
          <w:t>Sinai Hospital, and the parties thereto, as amended July 31, 2019</w:t>
        </w:r>
        <w:r>
          <w:rPr>
            <w:rFonts w:ascii="Arial" w:cs="Arial" w:eastAsia="Arial" w:hAnsi="Arial"/>
            <w:sz w:val="14"/>
            <w:szCs w:val="14"/>
            <w:color w:val="000000"/>
          </w:rPr>
          <w:t>.</w:t>
        </w:r>
      </w:hyperlink>
    </w:p>
    <w:p>
      <w:pPr>
        <w:spacing w:after="0" w:line="1" w:lineRule="exact"/>
        <w:rPr>
          <w:rFonts w:ascii="Arial" w:cs="Arial" w:eastAsia="Arial" w:hAnsi="Arial"/>
          <w:sz w:val="14"/>
          <w:szCs w:val="14"/>
          <w:u w:val="single" w:color="auto"/>
          <w:color w:val="0000FF"/>
        </w:rPr>
      </w:pPr>
    </w:p>
    <w:p>
      <w:pPr>
        <w:ind w:left="800" w:right="2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298">
        <w:r>
          <w:rPr>
            <w:rFonts w:ascii="Arial" w:cs="Arial" w:eastAsia="Arial" w:hAnsi="Arial"/>
            <w:sz w:val="16"/>
            <w:szCs w:val="16"/>
            <w:u w:val="single" w:color="auto"/>
            <w:color w:val="0000FF"/>
          </w:rPr>
          <w:t>Master Services Agreement, dated as of May 10, 2018, by and</w:t>
        </w:r>
      </w:hyperlink>
      <w:r>
        <w:rPr>
          <w:rFonts w:ascii="Arial" w:cs="Arial" w:eastAsia="Arial" w:hAnsi="Arial"/>
          <w:sz w:val="16"/>
          <w:szCs w:val="16"/>
          <w:u w:val="single" w:color="auto"/>
          <w:color w:val="0000FF"/>
        </w:rPr>
        <w:t xml:space="preserve"> </w:t>
      </w:r>
      <w:hyperlink r:id="rId298">
        <w:r>
          <w:rPr>
            <w:rFonts w:ascii="Arial" w:cs="Arial" w:eastAsia="Arial" w:hAnsi="Arial"/>
            <w:sz w:val="16"/>
            <w:szCs w:val="16"/>
            <w:u w:val="single" w:color="auto"/>
            <w:color w:val="0000FF"/>
          </w:rPr>
          <w:t>between the Company and Icahn School of Medicine at Mount Sinai,</w:t>
        </w:r>
      </w:hyperlink>
      <w:r>
        <w:rPr>
          <w:rFonts w:ascii="Arial" w:cs="Arial" w:eastAsia="Arial" w:hAnsi="Arial"/>
          <w:sz w:val="16"/>
          <w:szCs w:val="16"/>
          <w:u w:val="single" w:color="auto"/>
          <w:color w:val="0000FF"/>
        </w:rPr>
        <w:t xml:space="preserve"> </w:t>
      </w:r>
      <w:hyperlink r:id="rId298">
        <w:r>
          <w:rPr>
            <w:rFonts w:ascii="Arial" w:cs="Arial" w:eastAsia="Arial" w:hAnsi="Arial"/>
            <w:sz w:val="16"/>
            <w:szCs w:val="16"/>
            <w:u w:val="single" w:color="auto"/>
            <w:color w:val="0000FF"/>
          </w:rPr>
          <w:t>as amended July 31, 2019.</w:t>
        </w:r>
      </w:hyperlink>
    </w:p>
    <w:p>
      <w:pPr>
        <w:spacing w:after="0" w:line="11" w:lineRule="exact"/>
        <w:rPr>
          <w:rFonts w:ascii="Arial" w:cs="Arial" w:eastAsia="Arial" w:hAnsi="Arial"/>
          <w:sz w:val="16"/>
          <w:szCs w:val="16"/>
          <w:u w:val="single" w:color="auto"/>
          <w:color w:val="0000FF"/>
        </w:rPr>
      </w:pPr>
    </w:p>
    <w:p>
      <w:pPr>
        <w:ind w:left="800" w:right="8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10.24*</w:t>
      </w:r>
      <w:r>
        <w:rPr>
          <w:sz w:val="20"/>
          <w:szCs w:val="20"/>
          <w:color w:val="auto"/>
        </w:rPr>
        <w:tab/>
      </w:r>
      <w:hyperlink r:id="rId299">
        <w:r>
          <w:rPr>
            <w:rFonts w:ascii="Arial" w:cs="Arial" w:eastAsia="Arial" w:hAnsi="Arial"/>
            <w:sz w:val="16"/>
            <w:szCs w:val="16"/>
            <w:u w:val="single" w:color="auto"/>
            <w:color w:val="0000FF"/>
          </w:rPr>
          <w:t>Data Structuring and Curation Agreement, dated as of August 1,</w:t>
        </w:r>
      </w:hyperlink>
      <w:r>
        <w:rPr>
          <w:rFonts w:ascii="Arial" w:cs="Arial" w:eastAsia="Arial" w:hAnsi="Arial"/>
          <w:sz w:val="16"/>
          <w:szCs w:val="16"/>
          <w:u w:val="single" w:color="auto"/>
          <w:color w:val="0000FF"/>
        </w:rPr>
        <w:t xml:space="preserve"> </w:t>
      </w:r>
      <w:hyperlink r:id="rId299">
        <w:r>
          <w:rPr>
            <w:rFonts w:ascii="Arial" w:cs="Arial" w:eastAsia="Arial" w:hAnsi="Arial"/>
            <w:sz w:val="16"/>
            <w:szCs w:val="16"/>
            <w:u w:val="single" w:color="auto"/>
            <w:color w:val="0000FF"/>
          </w:rPr>
          <w:t>2019, by and between Icahn School of Medicine at Mount Sinai and</w:t>
        </w:r>
      </w:hyperlink>
      <w:r>
        <w:rPr>
          <w:rFonts w:ascii="Arial" w:cs="Arial" w:eastAsia="Arial" w:hAnsi="Arial"/>
          <w:sz w:val="16"/>
          <w:szCs w:val="16"/>
          <w:u w:val="single" w:color="auto"/>
          <w:color w:val="0000FF"/>
        </w:rPr>
        <w:t xml:space="preserve"> </w:t>
      </w:r>
      <w:hyperlink r:id="rId299">
        <w:r>
          <w:rPr>
            <w:rFonts w:ascii="Arial" w:cs="Arial" w:eastAsia="Arial" w:hAnsi="Arial"/>
            <w:sz w:val="16"/>
            <w:szCs w:val="16"/>
            <w:u w:val="single" w:color="auto"/>
            <w:color w:val="0000FF"/>
          </w:rPr>
          <w:t>the Company.</w:t>
        </w:r>
      </w:hyperlink>
    </w:p>
    <w:p>
      <w:pPr>
        <w:spacing w:after="0" w:line="11" w:lineRule="exact"/>
        <w:rPr>
          <w:rFonts w:ascii="Arial" w:cs="Arial" w:eastAsia="Arial" w:hAnsi="Arial"/>
          <w:sz w:val="16"/>
          <w:szCs w:val="16"/>
          <w:u w:val="single" w:color="auto"/>
          <w:color w:val="0000FF"/>
        </w:rPr>
      </w:pPr>
    </w:p>
    <w:p>
      <w:pPr>
        <w:jc w:val="both"/>
        <w:ind w:left="800" w:right="12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300">
        <w:r>
          <w:rPr>
            <w:rFonts w:ascii="Arial" w:cs="Arial" w:eastAsia="Arial" w:hAnsi="Arial"/>
            <w:sz w:val="16"/>
            <w:szCs w:val="16"/>
            <w:u w:val="single" w:color="auto"/>
            <w:color w:val="0000FF"/>
          </w:rPr>
          <w:t>BioMe Biospecimen and Data Access Agreement, dated as of July</w:t>
        </w:r>
      </w:hyperlink>
      <w:r>
        <w:rPr>
          <w:rFonts w:ascii="Arial" w:cs="Arial" w:eastAsia="Arial" w:hAnsi="Arial"/>
          <w:sz w:val="16"/>
          <w:szCs w:val="16"/>
          <w:u w:val="single" w:color="auto"/>
          <w:color w:val="0000FF"/>
        </w:rPr>
        <w:t xml:space="preserve"> </w:t>
      </w:r>
      <w:hyperlink r:id="rId300">
        <w:r>
          <w:rPr>
            <w:rFonts w:ascii="Arial" w:cs="Arial" w:eastAsia="Arial" w:hAnsi="Arial"/>
            <w:sz w:val="16"/>
            <w:szCs w:val="16"/>
            <w:u w:val="single" w:color="auto"/>
            <w:color w:val="0000FF"/>
          </w:rPr>
          <w:t>19, 2019, by and between Icahn School of Medicine at Mount Sinai</w:t>
        </w:r>
      </w:hyperlink>
      <w:r>
        <w:rPr>
          <w:rFonts w:ascii="Arial" w:cs="Arial" w:eastAsia="Arial" w:hAnsi="Arial"/>
          <w:sz w:val="16"/>
          <w:szCs w:val="16"/>
          <w:u w:val="single" w:color="auto"/>
          <w:color w:val="0000FF"/>
        </w:rPr>
        <w:t xml:space="preserve"> </w:t>
      </w:r>
      <w:hyperlink r:id="rId300">
        <w:r>
          <w:rPr>
            <w:rFonts w:ascii="Arial" w:cs="Arial" w:eastAsia="Arial" w:hAnsi="Arial"/>
            <w:sz w:val="16"/>
            <w:szCs w:val="16"/>
            <w:u w:val="single" w:color="auto"/>
            <w:color w:val="0000FF"/>
          </w:rPr>
          <w:t>and the Company.</w:t>
        </w:r>
      </w:hyperlink>
    </w:p>
    <w:p>
      <w:pPr>
        <w:spacing w:after="0" w:line="11" w:lineRule="exact"/>
        <w:rPr>
          <w:rFonts w:ascii="Arial" w:cs="Arial" w:eastAsia="Arial" w:hAnsi="Arial"/>
          <w:sz w:val="16"/>
          <w:szCs w:val="16"/>
          <w:u w:val="single" w:color="auto"/>
          <w:color w:val="0000FF"/>
        </w:rPr>
      </w:pPr>
    </w:p>
    <w:p>
      <w:pPr>
        <w:ind w:left="800" w:right="100" w:hanging="800"/>
        <w:spacing w:after="0" w:line="230"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301">
        <w:r>
          <w:rPr>
            <w:rFonts w:ascii="Arial" w:cs="Arial" w:eastAsia="Arial" w:hAnsi="Arial"/>
            <w:sz w:val="16"/>
            <w:szCs w:val="16"/>
            <w:u w:val="single" w:color="auto"/>
            <w:color w:val="0000FF"/>
          </w:rPr>
          <w:t>Non-Exclusive Patent License Agreement, dated as of June 1, 2017,</w:t>
        </w:r>
      </w:hyperlink>
      <w:r>
        <w:rPr>
          <w:rFonts w:ascii="Arial" w:cs="Arial" w:eastAsia="Arial" w:hAnsi="Arial"/>
          <w:sz w:val="16"/>
          <w:szCs w:val="16"/>
          <w:u w:val="single" w:color="auto"/>
          <w:color w:val="0000FF"/>
        </w:rPr>
        <w:t xml:space="preserve"> </w:t>
      </w:r>
      <w:hyperlink r:id="rId301">
        <w:r>
          <w:rPr>
            <w:rFonts w:ascii="Arial" w:cs="Arial" w:eastAsia="Arial" w:hAnsi="Arial"/>
            <w:sz w:val="16"/>
            <w:szCs w:val="16"/>
            <w:u w:val="single" w:color="auto"/>
            <w:color w:val="0000FF"/>
          </w:rPr>
          <w:t>by and between the Company and Icahn School of Medicine at</w:t>
        </w:r>
      </w:hyperlink>
      <w:r>
        <w:rPr>
          <w:rFonts w:ascii="Arial" w:cs="Arial" w:eastAsia="Arial" w:hAnsi="Arial"/>
          <w:sz w:val="16"/>
          <w:szCs w:val="16"/>
          <w:u w:val="single" w:color="auto"/>
          <w:color w:val="0000FF"/>
        </w:rPr>
        <w:t xml:space="preserve"> </w:t>
      </w:r>
      <w:hyperlink r:id="rId301">
        <w:r>
          <w:rPr>
            <w:rFonts w:ascii="Arial" w:cs="Arial" w:eastAsia="Arial" w:hAnsi="Arial"/>
            <w:sz w:val="16"/>
            <w:szCs w:val="16"/>
            <w:u w:val="single" w:color="auto"/>
            <w:color w:val="0000FF"/>
          </w:rPr>
          <w:t>Mount Sinai.</w:t>
        </w:r>
      </w:hyperlink>
    </w:p>
    <w:p>
      <w:pPr>
        <w:spacing w:after="0" w:line="11" w:lineRule="exact"/>
        <w:rPr>
          <w:rFonts w:ascii="Arial" w:cs="Arial" w:eastAsia="Arial" w:hAnsi="Arial"/>
          <w:sz w:val="16"/>
          <w:szCs w:val="16"/>
          <w:u w:val="single" w:color="auto"/>
          <w:color w:val="0000FF"/>
        </w:rPr>
      </w:pPr>
    </w:p>
    <w:p>
      <w:pPr>
        <w:jc w:val="center"/>
        <w:ind w:right="220"/>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10.27*    </w:t>
      </w:r>
      <w:hyperlink r:id="rId302">
        <w:r>
          <w:rPr>
            <w:rFonts w:ascii="Arial" w:cs="Arial" w:eastAsia="Arial" w:hAnsi="Arial"/>
            <w:sz w:val="16"/>
            <w:szCs w:val="16"/>
            <w:u w:val="single" w:color="auto"/>
            <w:color w:val="0000FF"/>
          </w:rPr>
          <w:t>Supply Agreement, dated as of June 20, 2014, by and between the</w:t>
        </w:r>
      </w:hyperlink>
      <w:r>
        <w:rPr>
          <w:rFonts w:ascii="Arial" w:cs="Arial" w:eastAsia="Arial" w:hAnsi="Arial"/>
          <w:sz w:val="16"/>
          <w:szCs w:val="16"/>
          <w:color w:val="auto"/>
        </w:rPr>
        <w:t xml:space="preserve"> </w:t>
      </w:r>
      <w:hyperlink r:id="rId302">
        <w:r>
          <w:rPr>
            <w:rFonts w:ascii="Arial" w:cs="Arial" w:eastAsia="Arial" w:hAnsi="Arial"/>
            <w:sz w:val="16"/>
            <w:szCs w:val="16"/>
            <w:u w:val="single" w:color="auto"/>
            <w:color w:val="0000FF"/>
          </w:rPr>
          <w:t>Company and Illumina, Inc., and amendments thereto.</w:t>
        </w:r>
      </w:hyperlink>
    </w:p>
    <w:p>
      <w:pPr>
        <w:spacing w:after="0" w:line="10" w:lineRule="exact"/>
        <w:rPr>
          <w:sz w:val="20"/>
          <w:szCs w:val="20"/>
          <w:color w:val="auto"/>
        </w:rPr>
      </w:pPr>
    </w:p>
    <w:p>
      <w:pPr>
        <w:ind w:left="800" w:right="40" w:hanging="8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10.28*</w:t>
      </w:r>
      <w:r>
        <w:rPr>
          <w:sz w:val="20"/>
          <w:szCs w:val="20"/>
          <w:color w:val="auto"/>
        </w:rPr>
        <w:tab/>
      </w:r>
      <w:hyperlink r:id="rId303">
        <w:r>
          <w:rPr>
            <w:rFonts w:ascii="Arial" w:cs="Arial" w:eastAsia="Arial" w:hAnsi="Arial"/>
            <w:sz w:val="16"/>
            <w:szCs w:val="16"/>
            <w:u w:val="single" w:color="auto"/>
            <w:color w:val="0000FF"/>
          </w:rPr>
          <w:t>Mount Sinai Genomics, Inc. 2017 Stock Incentive Plan, as amended,</w:t>
        </w:r>
      </w:hyperlink>
      <w:r>
        <w:rPr>
          <w:rFonts w:ascii="Arial" w:cs="Arial" w:eastAsia="Arial" w:hAnsi="Arial"/>
          <w:sz w:val="16"/>
          <w:szCs w:val="16"/>
          <w:u w:val="single" w:color="auto"/>
          <w:color w:val="0000FF"/>
        </w:rPr>
        <w:t xml:space="preserve"> </w:t>
      </w:r>
      <w:hyperlink r:id="rId303">
        <w:r>
          <w:rPr>
            <w:rFonts w:ascii="Arial" w:cs="Arial" w:eastAsia="Arial" w:hAnsi="Arial"/>
            <w:sz w:val="16"/>
            <w:szCs w:val="16"/>
            <w:u w:val="single" w:color="auto"/>
            <w:color w:val="0000FF"/>
          </w:rPr>
          <w:t>and forms of equity agreements thereunder.</w:t>
        </w:r>
      </w:hyperlink>
    </w:p>
    <w:p>
      <w:pPr>
        <w:spacing w:after="0" w:line="10" w:lineRule="exact"/>
        <w:rPr>
          <w:sz w:val="20"/>
          <w:szCs w:val="20"/>
          <w:color w:val="auto"/>
        </w:rPr>
      </w:pPr>
    </w:p>
    <w:p>
      <w:pPr>
        <w:ind w:left="800" w:right="180" w:hanging="800"/>
        <w:spacing w:after="0" w:line="309" w:lineRule="auto"/>
        <w:tabs>
          <w:tab w:leader="none" w:pos="780" w:val="left"/>
        </w:tabs>
        <w:rPr>
          <w:rFonts w:ascii="Arial" w:cs="Arial" w:eastAsia="Arial" w:hAnsi="Arial"/>
          <w:sz w:val="14"/>
          <w:szCs w:val="14"/>
          <w:u w:val="single" w:color="auto"/>
          <w:color w:val="0000FF"/>
        </w:rPr>
      </w:pPr>
      <w:r>
        <w:rPr>
          <w:rFonts w:ascii="Arial" w:cs="Arial" w:eastAsia="Arial" w:hAnsi="Arial"/>
          <w:sz w:val="16"/>
          <w:szCs w:val="16"/>
          <w:color w:val="auto"/>
        </w:rPr>
        <w:t>10.29*</w:t>
      </w:r>
      <w:r>
        <w:rPr>
          <w:sz w:val="20"/>
          <w:szCs w:val="20"/>
          <w:color w:val="auto"/>
        </w:rPr>
        <w:tab/>
      </w:r>
      <w:hyperlink r:id="rId304">
        <w:r>
          <w:rPr>
            <w:rFonts w:ascii="Arial" w:cs="Arial" w:eastAsia="Arial" w:hAnsi="Arial"/>
            <w:sz w:val="14"/>
            <w:szCs w:val="14"/>
            <w:u w:val="single" w:color="auto"/>
            <w:color w:val="0000FF"/>
          </w:rPr>
          <w:t>Loan and Security Agreement, dated as of November 15, 2021,</w:t>
        </w:r>
      </w:hyperlink>
      <w:r>
        <w:rPr>
          <w:rFonts w:ascii="Arial" w:cs="Arial" w:eastAsia="Arial" w:hAnsi="Arial"/>
          <w:sz w:val="14"/>
          <w:szCs w:val="14"/>
          <w:u w:val="single" w:color="auto"/>
          <w:color w:val="0000FF"/>
        </w:rPr>
        <w:t xml:space="preserve"> </w:t>
      </w:r>
      <w:hyperlink r:id="rId304">
        <w:r>
          <w:rPr>
            <w:rFonts w:ascii="Arial" w:cs="Arial" w:eastAsia="Arial" w:hAnsi="Arial"/>
            <w:sz w:val="14"/>
            <w:szCs w:val="14"/>
            <w:u w:val="single" w:color="auto"/>
            <w:color w:val="0000FF"/>
          </w:rPr>
          <w:t>between Silicon Valley Bank, the Company and Sema4 OpCo,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1016000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160" w:type="dxa"/>
            <w:vAlign w:val="bottom"/>
          </w:tcPr>
          <w:p>
            <w:pPr>
              <w:jc w:val="right"/>
              <w:spacing w:after="0"/>
              <w:rPr>
                <w:sz w:val="20"/>
                <w:szCs w:val="20"/>
                <w:color w:val="auto"/>
              </w:rPr>
            </w:pPr>
            <w:r>
              <w:rPr>
                <w:rFonts w:ascii="Arial" w:cs="Arial" w:eastAsia="Arial" w:hAnsi="Arial"/>
                <w:sz w:val="16"/>
                <w:szCs w:val="16"/>
                <w:color w:val="auto"/>
              </w:rPr>
              <w:t>02/11/2021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216"/>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10.25</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540"/>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10.27</w:t>
            </w:r>
          </w:p>
        </w:tc>
        <w:tc>
          <w:tcPr>
            <w:tcW w:w="1160" w:type="dxa"/>
            <w:vAlign w:val="bottom"/>
          </w:tcPr>
          <w:p>
            <w:pPr>
              <w:jc w:val="right"/>
              <w:spacing w:after="0"/>
              <w:rPr>
                <w:sz w:val="20"/>
                <w:szCs w:val="20"/>
                <w:color w:val="auto"/>
              </w:rPr>
            </w:pPr>
            <w:r>
              <w:rPr>
                <w:rFonts w:ascii="Arial" w:cs="Arial" w:eastAsia="Arial" w:hAnsi="Arial"/>
                <w:sz w:val="16"/>
                <w:szCs w:val="16"/>
                <w:color w:val="auto"/>
              </w:rPr>
              <w:t>07/28/2021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96"/>
              </w:rPr>
              <w:t>S-8</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99.6</w:t>
            </w:r>
          </w:p>
        </w:tc>
        <w:tc>
          <w:tcPr>
            <w:tcW w:w="1160" w:type="dxa"/>
            <w:vAlign w:val="bottom"/>
          </w:tcPr>
          <w:p>
            <w:pPr>
              <w:jc w:val="right"/>
              <w:spacing w:after="0"/>
              <w:rPr>
                <w:sz w:val="20"/>
                <w:szCs w:val="20"/>
                <w:color w:val="auto"/>
              </w:rPr>
            </w:pPr>
            <w:r>
              <w:rPr>
                <w:rFonts w:ascii="Arial" w:cs="Arial" w:eastAsia="Arial" w:hAnsi="Arial"/>
                <w:sz w:val="16"/>
                <w:szCs w:val="16"/>
                <w:color w:val="auto"/>
              </w:rPr>
              <w:t>09/27/2021</w:t>
            </w:r>
          </w:p>
        </w:tc>
      </w:tr>
      <w:tr>
        <w:trPr>
          <w:trHeight w:val="378"/>
        </w:trPr>
        <w:tc>
          <w:tcPr>
            <w:tcW w:w="860" w:type="dxa"/>
            <w:vAlign w:val="bottom"/>
          </w:tcPr>
          <w:p>
            <w:pPr>
              <w:jc w:val="center"/>
              <w:ind w:right="459"/>
              <w:spacing w:after="0"/>
              <w:rPr>
                <w:sz w:val="20"/>
                <w:szCs w:val="20"/>
                <w:color w:val="auto"/>
              </w:rPr>
            </w:pPr>
            <w:r>
              <w:rPr>
                <w:rFonts w:ascii="Arial" w:cs="Arial" w:eastAsia="Arial" w:hAnsi="Arial"/>
                <w:sz w:val="16"/>
                <w:szCs w:val="16"/>
                <w:color w:val="auto"/>
                <w:w w:val="89"/>
              </w:rPr>
              <w:t>10-Q</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1160" w:type="dxa"/>
            <w:vAlign w:val="bottom"/>
          </w:tcPr>
          <w:p>
            <w:pPr>
              <w:jc w:val="right"/>
              <w:spacing w:after="0"/>
              <w:rPr>
                <w:sz w:val="20"/>
                <w:szCs w:val="20"/>
                <w:color w:val="auto"/>
              </w:rPr>
            </w:pPr>
            <w:r>
              <w:rPr>
                <w:rFonts w:ascii="Arial" w:cs="Arial" w:eastAsia="Arial" w:hAnsi="Arial"/>
                <w:sz w:val="16"/>
                <w:szCs w:val="16"/>
                <w:color w:val="auto"/>
              </w:rPr>
              <w:t>11/15/2021</w:t>
            </w:r>
          </w:p>
        </w:tc>
      </w:tr>
    </w:tbl>
    <w:p>
      <w:pPr>
        <w:sectPr>
          <w:pgSz w:w="11900" w:h="16838" w:orient="portrait"/>
          <w:cols w:equalWidth="0" w:num="2">
            <w:col w:w="5300" w:space="640"/>
            <w:col w:w="3939"/>
          </w:cols>
          <w:pgMar w:left="580" w:top="1440" w:right="1440" w:bottom="1440" w:gutter="0" w:footer="0" w:header="0"/>
        </w:sectPr>
      </w:pPr>
    </w:p>
    <w:bookmarkStart w:id="233" w:name="page234"/>
    <w:bookmarkEnd w:id="233"/>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90"/>
              </w:rPr>
              <w:t>10.30*</w:t>
            </w:r>
          </w:p>
        </w:tc>
        <w:tc>
          <w:tcPr>
            <w:tcW w:w="4820" w:type="dxa"/>
            <w:vAlign w:val="bottom"/>
            <w:gridSpan w:val="22"/>
          </w:tcPr>
          <w:p>
            <w:pPr>
              <w:spacing w:after="0"/>
              <w:rPr>
                <w:rFonts w:ascii="Arial" w:cs="Arial" w:eastAsia="Arial" w:hAnsi="Arial"/>
                <w:sz w:val="16"/>
                <w:szCs w:val="16"/>
                <w:color w:val="0000FF"/>
              </w:rPr>
            </w:pPr>
            <w:hyperlink r:id="rId306">
              <w:r>
                <w:rPr>
                  <w:rFonts w:ascii="Arial" w:cs="Arial" w:eastAsia="Arial" w:hAnsi="Arial"/>
                  <w:sz w:val="16"/>
                  <w:szCs w:val="16"/>
                  <w:color w:val="0000FF"/>
                </w:rPr>
                <w:t>Form of Subscription Agreement, dated as of January 14, 2022 by</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01/18/2022</w:t>
            </w:r>
          </w:p>
        </w:tc>
      </w:tr>
      <w:tr>
        <w:trPr>
          <w:trHeight w:val="142"/>
        </w:trPr>
        <w:tc>
          <w:tcPr>
            <w:tcW w:w="80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89"/>
              </w:rPr>
            </w:pPr>
            <w:hyperlink r:id="rId306">
              <w:r>
                <w:rPr>
                  <w:rFonts w:ascii="Arial" w:cs="Arial" w:eastAsia="Arial" w:hAnsi="Arial"/>
                  <w:sz w:val="16"/>
                  <w:szCs w:val="16"/>
                  <w:color w:val="0000FF"/>
                  <w:w w:val="89"/>
                </w:rPr>
                <w:t>and among the Company and the subscriber parties thereto.</w:t>
              </w:r>
            </w:hyperlink>
          </w:p>
        </w:tc>
        <w:tc>
          <w:tcPr>
            <w:tcW w:w="44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96"/>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90"/>
              </w:rPr>
              <w:t>10.31*</w:t>
            </w:r>
          </w:p>
        </w:tc>
        <w:tc>
          <w:tcPr>
            <w:tcW w:w="4820" w:type="dxa"/>
            <w:vAlign w:val="bottom"/>
            <w:gridSpan w:val="22"/>
          </w:tcPr>
          <w:p>
            <w:pPr>
              <w:spacing w:after="0"/>
              <w:rPr>
                <w:rFonts w:ascii="Arial" w:cs="Arial" w:eastAsia="Arial" w:hAnsi="Arial"/>
                <w:sz w:val="16"/>
                <w:szCs w:val="16"/>
                <w:color w:val="0000FF"/>
              </w:rPr>
            </w:pPr>
            <w:hyperlink r:id="rId307">
              <w:r>
                <w:rPr>
                  <w:rFonts w:ascii="Arial" w:cs="Arial" w:eastAsia="Arial" w:hAnsi="Arial"/>
                  <w:sz w:val="16"/>
                  <w:szCs w:val="16"/>
                  <w:color w:val="0000FF"/>
                </w:rPr>
                <w:t>Form of Shareholder Agreement, dated as of January 14, 2022, by</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01/18/2022</w:t>
            </w:r>
          </w:p>
        </w:tc>
      </w:tr>
      <w:tr>
        <w:trPr>
          <w:trHeight w:val="142"/>
        </w:trPr>
        <w:tc>
          <w:tcPr>
            <w:tcW w:w="800" w:type="dxa"/>
            <w:vAlign w:val="bottom"/>
          </w:tcPr>
          <w:p>
            <w:pPr>
              <w:spacing w:after="0"/>
              <w:rPr>
                <w:sz w:val="12"/>
                <w:szCs w:val="12"/>
                <w:color w:val="auto"/>
              </w:rPr>
            </w:pPr>
          </w:p>
        </w:tc>
        <w:tc>
          <w:tcPr>
            <w:tcW w:w="4300" w:type="dxa"/>
            <w:vAlign w:val="bottom"/>
            <w:tcBorders>
              <w:top w:val="single" w:sz="8" w:color="0000FF"/>
            </w:tcBorders>
            <w:gridSpan w:val="16"/>
          </w:tcPr>
          <w:p>
            <w:pPr>
              <w:spacing w:after="0" w:line="142" w:lineRule="exact"/>
              <w:rPr>
                <w:rFonts w:ascii="Arial" w:cs="Arial" w:eastAsia="Arial" w:hAnsi="Arial"/>
                <w:sz w:val="16"/>
                <w:szCs w:val="16"/>
                <w:color w:val="0000FF"/>
                <w:w w:val="96"/>
              </w:rPr>
            </w:pPr>
            <w:hyperlink r:id="rId307">
              <w:r>
                <w:rPr>
                  <w:rFonts w:ascii="Arial" w:cs="Arial" w:eastAsia="Arial" w:hAnsi="Arial"/>
                  <w:sz w:val="16"/>
                  <w:szCs w:val="16"/>
                  <w:color w:val="0000FF"/>
                  <w:w w:val="96"/>
                </w:rPr>
                <w:t>and among the.Company and the stockholder parties identified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40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therein.</w:t>
              </w:r>
            </w:hyperlink>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90"/>
              </w:rPr>
              <w:t>10.32*</w:t>
            </w:r>
          </w:p>
        </w:tc>
        <w:tc>
          <w:tcPr>
            <w:tcW w:w="4820" w:type="dxa"/>
            <w:vAlign w:val="bottom"/>
            <w:gridSpan w:val="22"/>
          </w:tcPr>
          <w:p>
            <w:pPr>
              <w:spacing w:after="0"/>
              <w:rPr>
                <w:rFonts w:ascii="Arial" w:cs="Arial" w:eastAsia="Arial" w:hAnsi="Arial"/>
                <w:sz w:val="16"/>
                <w:szCs w:val="16"/>
                <w:color w:val="0000FF"/>
              </w:rPr>
            </w:pPr>
            <w:hyperlink r:id="rId308">
              <w:r>
                <w:rPr>
                  <w:rFonts w:ascii="Arial" w:cs="Arial" w:eastAsia="Arial" w:hAnsi="Arial"/>
                  <w:sz w:val="16"/>
                  <w:szCs w:val="16"/>
                  <w:color w:val="0000FF"/>
                </w:rPr>
                <w:t>Form of Support Agreement dated as of January 14, 2022 by and</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01/18/2022</w:t>
            </w:r>
          </w:p>
        </w:tc>
      </w:tr>
      <w:tr>
        <w:trPr>
          <w:trHeight w:val="142"/>
        </w:trPr>
        <w:tc>
          <w:tcPr>
            <w:tcW w:w="80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88"/>
              </w:rPr>
            </w:pPr>
            <w:hyperlink r:id="rId308">
              <w:r>
                <w:rPr>
                  <w:rFonts w:ascii="Arial" w:cs="Arial" w:eastAsia="Arial" w:hAnsi="Arial"/>
                  <w:sz w:val="16"/>
                  <w:szCs w:val="16"/>
                  <w:color w:val="0000FF"/>
                  <w:w w:val="88"/>
                </w:rPr>
                <w:t>among the Company and the stockholder parties identified therein.</w:t>
              </w:r>
            </w:hyperlink>
          </w:p>
        </w:tc>
        <w:tc>
          <w:tcPr>
            <w:tcW w:w="6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96"/>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90"/>
              </w:rPr>
              <w:t>10.33*</w:t>
            </w:r>
          </w:p>
        </w:tc>
        <w:tc>
          <w:tcPr>
            <w:tcW w:w="4820" w:type="dxa"/>
            <w:vAlign w:val="bottom"/>
            <w:gridSpan w:val="22"/>
          </w:tcPr>
          <w:p>
            <w:pPr>
              <w:spacing w:after="0"/>
              <w:rPr>
                <w:rFonts w:ascii="Arial" w:cs="Arial" w:eastAsia="Arial" w:hAnsi="Arial"/>
                <w:sz w:val="16"/>
                <w:szCs w:val="16"/>
                <w:color w:val="0000FF"/>
              </w:rPr>
            </w:pPr>
            <w:hyperlink r:id="rId309">
              <w:r>
                <w:rPr>
                  <w:rFonts w:ascii="Arial" w:cs="Arial" w:eastAsia="Arial" w:hAnsi="Arial"/>
                  <w:sz w:val="16"/>
                  <w:szCs w:val="16"/>
                  <w:color w:val="0000FF"/>
                </w:rPr>
                <w:t>Form of Lock-Up Agreement, by and among the Company and the</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01/18/2022</w:t>
            </w:r>
          </w:p>
        </w:tc>
      </w:tr>
      <w:tr>
        <w:trPr>
          <w:trHeight w:val="142"/>
        </w:trPr>
        <w:tc>
          <w:tcPr>
            <w:tcW w:w="800" w:type="dxa"/>
            <w:vAlign w:val="bottom"/>
          </w:tcPr>
          <w:p>
            <w:pPr>
              <w:spacing w:after="0"/>
              <w:rPr>
                <w:sz w:val="12"/>
                <w:szCs w:val="12"/>
                <w:color w:val="auto"/>
              </w:rPr>
            </w:pPr>
          </w:p>
        </w:tc>
        <w:tc>
          <w:tcPr>
            <w:tcW w:w="242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2"/>
              </w:rPr>
            </w:pPr>
            <w:hyperlink r:id="rId309">
              <w:r>
                <w:rPr>
                  <w:rFonts w:ascii="Arial" w:cs="Arial" w:eastAsia="Arial" w:hAnsi="Arial"/>
                  <w:sz w:val="16"/>
                  <w:szCs w:val="16"/>
                  <w:color w:val="0000FF"/>
                  <w:w w:val="92"/>
                </w:rPr>
                <w:t>stockholder parties identified therein.</w:t>
              </w:r>
            </w:hyperlink>
          </w:p>
        </w:tc>
        <w:tc>
          <w:tcPr>
            <w:tcW w:w="19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96"/>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90"/>
              </w:rPr>
              <w:t>10.34*</w:t>
            </w:r>
          </w:p>
        </w:tc>
        <w:tc>
          <w:tcPr>
            <w:tcW w:w="4820" w:type="dxa"/>
            <w:vAlign w:val="bottom"/>
            <w:gridSpan w:val="22"/>
          </w:tcPr>
          <w:p>
            <w:pPr>
              <w:spacing w:after="0"/>
              <w:rPr>
                <w:rFonts w:ascii="Arial" w:cs="Arial" w:eastAsia="Arial" w:hAnsi="Arial"/>
                <w:sz w:val="16"/>
                <w:szCs w:val="16"/>
                <w:color w:val="0000FF"/>
              </w:rPr>
            </w:pPr>
            <w:hyperlink r:id="rId310">
              <w:r>
                <w:rPr>
                  <w:rFonts w:ascii="Arial" w:cs="Arial" w:eastAsia="Arial" w:hAnsi="Arial"/>
                  <w:sz w:val="16"/>
                  <w:szCs w:val="16"/>
                  <w:color w:val="0000FF"/>
                </w:rPr>
                <w:t>Separation Agreement with James Coffin dated as of January 25,</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01/31/2022</w:t>
            </w:r>
          </w:p>
        </w:tc>
      </w:tr>
      <w:tr>
        <w:trPr>
          <w:trHeight w:val="142"/>
        </w:trPr>
        <w:tc>
          <w:tcPr>
            <w:tcW w:w="800" w:type="dxa"/>
            <w:vAlign w:val="bottom"/>
          </w:tcPr>
          <w:p>
            <w:pPr>
              <w:spacing w:after="0"/>
              <w:rPr>
                <w:sz w:val="12"/>
                <w:szCs w:val="12"/>
                <w:color w:val="auto"/>
              </w:rPr>
            </w:pPr>
          </w:p>
        </w:tc>
        <w:tc>
          <w:tcPr>
            <w:tcW w:w="3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4"/>
              </w:rPr>
            </w:pPr>
            <w:hyperlink r:id="rId310">
              <w:r>
                <w:rPr>
                  <w:rFonts w:ascii="Arial" w:cs="Arial" w:eastAsia="Arial" w:hAnsi="Arial"/>
                  <w:sz w:val="16"/>
                  <w:szCs w:val="16"/>
                  <w:color w:val="0000FF"/>
                  <w:w w:val="84"/>
                </w:rPr>
                <w:t>2022.</w:t>
              </w:r>
            </w:hyperlink>
          </w:p>
        </w:tc>
        <w:tc>
          <w:tcPr>
            <w:tcW w:w="12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96"/>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90"/>
              </w:rPr>
              <w:t>10.35*</w:t>
            </w:r>
          </w:p>
        </w:tc>
        <w:tc>
          <w:tcPr>
            <w:tcW w:w="4820" w:type="dxa"/>
            <w:vAlign w:val="bottom"/>
            <w:gridSpan w:val="22"/>
          </w:tcPr>
          <w:p>
            <w:pPr>
              <w:spacing w:after="0"/>
              <w:rPr>
                <w:rFonts w:ascii="Arial" w:cs="Arial" w:eastAsia="Arial" w:hAnsi="Arial"/>
                <w:sz w:val="16"/>
                <w:szCs w:val="16"/>
                <w:color w:val="0000FF"/>
                <w:w w:val="96"/>
              </w:rPr>
            </w:pPr>
            <w:hyperlink r:id="rId311">
              <w:r>
                <w:rPr>
                  <w:rFonts w:ascii="Arial" w:cs="Arial" w:eastAsia="Arial" w:hAnsi="Arial"/>
                  <w:sz w:val="16"/>
                  <w:szCs w:val="16"/>
                  <w:color w:val="0000FF"/>
                  <w:w w:val="96"/>
                </w:rPr>
                <w:t>Executive Chairman Agreement, dated as of January 17, 2022, by and</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10.30</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03/14/2022</w:t>
            </w:r>
          </w:p>
        </w:tc>
      </w:tr>
      <w:tr>
        <w:trPr>
          <w:trHeight w:val="142"/>
        </w:trPr>
        <w:tc>
          <w:tcPr>
            <w:tcW w:w="80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88"/>
              </w:rPr>
            </w:pPr>
            <w:hyperlink r:id="rId311">
              <w:r>
                <w:rPr>
                  <w:rFonts w:ascii="Arial" w:cs="Arial" w:eastAsia="Arial" w:hAnsi="Arial"/>
                  <w:sz w:val="16"/>
                  <w:szCs w:val="16"/>
                  <w:color w:val="0000FF"/>
                  <w:w w:val="88"/>
                </w:rPr>
                <w:t>between the Company and Jason Ryan.</w:t>
              </w:r>
            </w:hyperlink>
          </w:p>
        </w:tc>
        <w:tc>
          <w:tcPr>
            <w:tcW w:w="2000" w:type="dxa"/>
            <w:vAlign w:val="bottom"/>
            <w:tcBorders>
              <w:top w:val="single" w:sz="8" w:color="0000FF"/>
            </w:tcBorders>
            <w:gridSpan w:val="13"/>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96"/>
        </w:trPr>
        <w:tc>
          <w:tcPr>
            <w:tcW w:w="800" w:type="dxa"/>
            <w:vAlign w:val="bottom"/>
          </w:tcPr>
          <w:p>
            <w:pPr>
              <w:jc w:val="right"/>
              <w:ind w:right="319"/>
              <w:spacing w:after="0"/>
              <w:rPr>
                <w:sz w:val="20"/>
                <w:szCs w:val="20"/>
                <w:color w:val="auto"/>
              </w:rPr>
            </w:pPr>
            <w:r>
              <w:rPr>
                <w:rFonts w:ascii="Arial" w:cs="Arial" w:eastAsia="Arial" w:hAnsi="Arial"/>
                <w:sz w:val="16"/>
                <w:szCs w:val="16"/>
                <w:color w:val="auto"/>
              </w:rPr>
              <w:t>21.1*</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2"/>
              </w:rPr>
            </w:pPr>
            <w:hyperlink r:id="rId312">
              <w:r>
                <w:rPr>
                  <w:rFonts w:ascii="Arial" w:cs="Arial" w:eastAsia="Arial" w:hAnsi="Arial"/>
                  <w:sz w:val="16"/>
                  <w:szCs w:val="16"/>
                  <w:color w:val="0000FF"/>
                  <w:w w:val="92"/>
                </w:rPr>
                <w:t>List of Subsidiaries</w:t>
              </w:r>
            </w:hyperlink>
          </w:p>
        </w:tc>
        <w:tc>
          <w:tcPr>
            <w:tcW w:w="3560" w:type="dxa"/>
            <w:vAlign w:val="bottom"/>
            <w:gridSpan w:val="18"/>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color w:val="auto"/>
              </w:rPr>
              <w:t>10-K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03/14/2022</w:t>
            </w:r>
          </w:p>
        </w:tc>
      </w:tr>
      <w:tr>
        <w:trPr>
          <w:trHeight w:val="196"/>
        </w:trPr>
        <w:tc>
          <w:tcPr>
            <w:tcW w:w="800" w:type="dxa"/>
            <w:vAlign w:val="bottom"/>
          </w:tcPr>
          <w:p>
            <w:pPr>
              <w:jc w:val="right"/>
              <w:ind w:right="319"/>
              <w:spacing w:after="0"/>
              <w:rPr>
                <w:sz w:val="20"/>
                <w:szCs w:val="20"/>
                <w:color w:val="auto"/>
              </w:rPr>
            </w:pPr>
            <w:r>
              <w:rPr>
                <w:rFonts w:ascii="Arial" w:cs="Arial" w:eastAsia="Arial" w:hAnsi="Arial"/>
                <w:sz w:val="16"/>
                <w:szCs w:val="16"/>
                <w:color w:val="auto"/>
              </w:rPr>
              <w:t>23.1*</w:t>
            </w:r>
          </w:p>
        </w:tc>
        <w:tc>
          <w:tcPr>
            <w:tcW w:w="4820" w:type="dxa"/>
            <w:vAlign w:val="bottom"/>
            <w:gridSpan w:val="22"/>
          </w:tcPr>
          <w:p>
            <w:pPr>
              <w:spacing w:after="0"/>
              <w:rPr>
                <w:rFonts w:ascii="Arial" w:cs="Arial" w:eastAsia="Arial" w:hAnsi="Arial"/>
                <w:sz w:val="16"/>
                <w:szCs w:val="16"/>
                <w:color w:val="0000FF"/>
              </w:rPr>
            </w:pPr>
            <w:hyperlink r:id="rId313">
              <w:r>
                <w:rPr>
                  <w:rFonts w:ascii="Arial" w:cs="Arial" w:eastAsia="Arial" w:hAnsi="Arial"/>
                  <w:sz w:val="16"/>
                  <w:szCs w:val="16"/>
                  <w:color w:val="0000FF"/>
                </w:rPr>
                <w:t>Consent of WithumSmith+Brown, PC, independent registered</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08/04/2021</w:t>
            </w:r>
          </w:p>
        </w:tc>
      </w:tr>
      <w:tr>
        <w:trPr>
          <w:trHeight w:val="142"/>
        </w:trPr>
        <w:tc>
          <w:tcPr>
            <w:tcW w:w="800" w:type="dxa"/>
            <w:vAlign w:val="bottom"/>
          </w:tcPr>
          <w:p>
            <w:pPr>
              <w:spacing w:after="0"/>
              <w:rPr>
                <w:sz w:val="12"/>
                <w:szCs w:val="12"/>
                <w:color w:val="auto"/>
              </w:rPr>
            </w:pPr>
          </w:p>
        </w:tc>
        <w:tc>
          <w:tcPr>
            <w:tcW w:w="17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5"/>
              </w:rPr>
            </w:pPr>
            <w:hyperlink r:id="rId313">
              <w:r>
                <w:rPr>
                  <w:rFonts w:ascii="Arial" w:cs="Arial" w:eastAsia="Arial" w:hAnsi="Arial"/>
                  <w:sz w:val="16"/>
                  <w:szCs w:val="16"/>
                  <w:color w:val="0000FF"/>
                  <w:w w:val="95"/>
                </w:rPr>
                <w:t>accounting firm for CMLS</w:t>
              </w:r>
            </w:hyperlink>
          </w:p>
        </w:tc>
        <w:tc>
          <w:tcPr>
            <w:tcW w:w="2280" w:type="dxa"/>
            <w:vAlign w:val="bottom"/>
            <w:tcBorders>
              <w:top w:val="single" w:sz="8" w:color="0000FF"/>
            </w:tcBorders>
            <w:gridSpan w:val="6"/>
          </w:tcPr>
          <w:p>
            <w:pPr>
              <w:spacing w:after="0"/>
              <w:rPr>
                <w:sz w:val="12"/>
                <w:szCs w:val="12"/>
                <w:color w:val="auto"/>
              </w:rPr>
            </w:pPr>
          </w:p>
        </w:tc>
        <w:tc>
          <w:tcPr>
            <w:tcW w:w="24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96"/>
        </w:trPr>
        <w:tc>
          <w:tcPr>
            <w:tcW w:w="800" w:type="dxa"/>
            <w:vAlign w:val="bottom"/>
          </w:tcPr>
          <w:p>
            <w:pPr>
              <w:jc w:val="right"/>
              <w:ind w:right="359"/>
              <w:spacing w:after="0"/>
              <w:rPr>
                <w:sz w:val="20"/>
                <w:szCs w:val="20"/>
                <w:color w:val="auto"/>
              </w:rPr>
            </w:pPr>
            <w:r>
              <w:rPr>
                <w:rFonts w:ascii="Arial" w:cs="Arial" w:eastAsia="Arial" w:hAnsi="Arial"/>
                <w:sz w:val="16"/>
                <w:szCs w:val="16"/>
                <w:color w:val="auto"/>
              </w:rPr>
              <w:t>23.2</w:t>
            </w:r>
          </w:p>
        </w:tc>
        <w:tc>
          <w:tcPr>
            <w:tcW w:w="4820" w:type="dxa"/>
            <w:vAlign w:val="bottom"/>
            <w:gridSpan w:val="22"/>
          </w:tcPr>
          <w:p>
            <w:pPr>
              <w:spacing w:after="0"/>
              <w:rPr>
                <w:rFonts w:ascii="Arial" w:cs="Arial" w:eastAsia="Arial" w:hAnsi="Arial"/>
                <w:sz w:val="16"/>
                <w:szCs w:val="16"/>
                <w:color w:val="0000FF"/>
              </w:rPr>
            </w:pPr>
            <w:hyperlink w:anchor="page239">
              <w:r>
                <w:rPr>
                  <w:rFonts w:ascii="Arial" w:cs="Arial" w:eastAsia="Arial" w:hAnsi="Arial"/>
                  <w:sz w:val="16"/>
                  <w:szCs w:val="16"/>
                  <w:color w:val="0000FF"/>
                </w:rPr>
                <w:t>Consent of Ernst &amp; Young LLP, independent registered accounting</w:t>
              </w:r>
            </w:hyperlink>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60" w:type="dxa"/>
            <w:vAlign w:val="bottom"/>
          </w:tcPr>
          <w:p>
            <w:pPr>
              <w:ind w:left="2140"/>
              <w:spacing w:after="0"/>
              <w:rPr>
                <w:sz w:val="20"/>
                <w:szCs w:val="20"/>
                <w:color w:val="auto"/>
              </w:rPr>
            </w:pPr>
            <w:r>
              <w:rPr>
                <w:rFonts w:ascii="Arial" w:cs="Arial" w:eastAsia="Arial" w:hAnsi="Arial"/>
                <w:sz w:val="16"/>
                <w:szCs w:val="16"/>
                <w:color w:val="auto"/>
                <w:w w:val="93"/>
              </w:rPr>
              <w:t>X</w:t>
            </w:r>
          </w:p>
        </w:tc>
      </w:tr>
      <w:tr>
        <w:trPr>
          <w:trHeight w:val="142"/>
        </w:trPr>
        <w:tc>
          <w:tcPr>
            <w:tcW w:w="800" w:type="dxa"/>
            <w:vAlign w:val="bottom"/>
          </w:tcPr>
          <w:p>
            <w:pPr>
              <w:spacing w:after="0"/>
              <w:rPr>
                <w:sz w:val="12"/>
                <w:szCs w:val="12"/>
                <w:color w:val="auto"/>
              </w:rPr>
            </w:pPr>
          </w:p>
        </w:tc>
        <w:tc>
          <w:tcPr>
            <w:tcW w:w="43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w:anchor="page239">
              <w:r>
                <w:rPr>
                  <w:rFonts w:ascii="Arial" w:cs="Arial" w:eastAsia="Arial" w:hAnsi="Arial"/>
                  <w:sz w:val="16"/>
                  <w:szCs w:val="16"/>
                  <w:color w:val="0000FF"/>
                </w:rPr>
                <w:t>firm for Sema4 Holdings Corp.</w:t>
              </w:r>
            </w:hyperlink>
          </w:p>
        </w:tc>
        <w:tc>
          <w:tcPr>
            <w:tcW w:w="2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800" w:type="dxa"/>
            <w:vAlign w:val="bottom"/>
          </w:tcPr>
          <w:p>
            <w:pPr>
              <w:jc w:val="right"/>
              <w:ind w:right="319"/>
              <w:spacing w:after="0"/>
              <w:rPr>
                <w:sz w:val="20"/>
                <w:szCs w:val="20"/>
                <w:color w:val="auto"/>
              </w:rPr>
            </w:pPr>
            <w:r>
              <w:rPr>
                <w:rFonts w:ascii="Arial" w:cs="Arial" w:eastAsia="Arial" w:hAnsi="Arial"/>
                <w:sz w:val="16"/>
                <w:szCs w:val="16"/>
                <w:color w:val="auto"/>
              </w:rPr>
              <w:t>23.3*</w:t>
            </w:r>
          </w:p>
        </w:tc>
        <w:tc>
          <w:tcPr>
            <w:tcW w:w="4820" w:type="dxa"/>
            <w:vAlign w:val="bottom"/>
            <w:gridSpan w:val="22"/>
          </w:tcPr>
          <w:p>
            <w:pPr>
              <w:spacing w:after="0"/>
              <w:rPr>
                <w:rFonts w:ascii="Arial" w:cs="Arial" w:eastAsia="Arial" w:hAnsi="Arial"/>
                <w:sz w:val="16"/>
                <w:szCs w:val="16"/>
                <w:color w:val="0000FF"/>
              </w:rPr>
            </w:pPr>
            <w:hyperlink r:id="rId273">
              <w:r>
                <w:rPr>
                  <w:rFonts w:ascii="Arial" w:cs="Arial" w:eastAsia="Arial" w:hAnsi="Arial"/>
                  <w:sz w:val="16"/>
                  <w:szCs w:val="16"/>
                  <w:color w:val="0000FF"/>
                </w:rPr>
                <w:t>Consent of Fenwick &amp; West LLP (included as part of Exhibit 5.1)</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23.3</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08/04/2021</w:t>
            </w: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20" w:type="dxa"/>
            <w:vAlign w:val="bottom"/>
            <w:gridSpan w:val="8"/>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800" w:type="dxa"/>
            <w:vAlign w:val="bottom"/>
          </w:tcPr>
          <w:p>
            <w:pPr>
              <w:jc w:val="right"/>
              <w:ind w:right="359"/>
              <w:spacing w:after="0"/>
              <w:rPr>
                <w:sz w:val="20"/>
                <w:szCs w:val="20"/>
                <w:color w:val="auto"/>
              </w:rPr>
            </w:pPr>
            <w:r>
              <w:rPr>
                <w:rFonts w:ascii="Arial" w:cs="Arial" w:eastAsia="Arial" w:hAnsi="Arial"/>
                <w:sz w:val="16"/>
                <w:szCs w:val="16"/>
                <w:color w:val="auto"/>
              </w:rPr>
              <w:t>23.4</w:t>
            </w:r>
          </w:p>
        </w:tc>
        <w:tc>
          <w:tcPr>
            <w:tcW w:w="4820" w:type="dxa"/>
            <w:vAlign w:val="bottom"/>
            <w:gridSpan w:val="22"/>
          </w:tcPr>
          <w:p>
            <w:pPr>
              <w:spacing w:after="0"/>
              <w:rPr>
                <w:rFonts w:ascii="Arial" w:cs="Arial" w:eastAsia="Arial" w:hAnsi="Arial"/>
                <w:sz w:val="16"/>
                <w:szCs w:val="16"/>
                <w:color w:val="0000FF"/>
              </w:rPr>
            </w:pPr>
            <w:hyperlink w:anchor="page240">
              <w:r>
                <w:rPr>
                  <w:rFonts w:ascii="Arial" w:cs="Arial" w:eastAsia="Arial" w:hAnsi="Arial"/>
                  <w:sz w:val="16"/>
                  <w:szCs w:val="16"/>
                  <w:color w:val="0000FF"/>
                </w:rPr>
                <w:t>Consent of Ernst &amp; Young LLP, independent auditors for GeneDx,</w:t>
              </w:r>
            </w:hyperlink>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60" w:type="dxa"/>
            <w:vAlign w:val="bottom"/>
          </w:tcPr>
          <w:p>
            <w:pPr>
              <w:ind w:left="2140"/>
              <w:spacing w:after="0"/>
              <w:rPr>
                <w:sz w:val="20"/>
                <w:szCs w:val="20"/>
                <w:color w:val="auto"/>
              </w:rPr>
            </w:pPr>
            <w:r>
              <w:rPr>
                <w:rFonts w:ascii="Arial" w:cs="Arial" w:eastAsia="Arial" w:hAnsi="Arial"/>
                <w:sz w:val="16"/>
                <w:szCs w:val="16"/>
                <w:color w:val="auto"/>
                <w:w w:val="93"/>
              </w:rPr>
              <w:t>X</w:t>
            </w:r>
          </w:p>
        </w:tc>
      </w:tr>
      <w:tr>
        <w:trPr>
          <w:trHeight w:val="142"/>
        </w:trPr>
        <w:tc>
          <w:tcPr>
            <w:tcW w:w="800" w:type="dxa"/>
            <w:vAlign w:val="bottom"/>
          </w:tcPr>
          <w:p>
            <w:pPr>
              <w:spacing w:after="0"/>
              <w:rPr>
                <w:sz w:val="12"/>
                <w:szCs w:val="12"/>
                <w:color w:val="auto"/>
              </w:rPr>
            </w:pPr>
          </w:p>
        </w:tc>
        <w:tc>
          <w:tcPr>
            <w:tcW w:w="2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5"/>
              </w:rPr>
            </w:pPr>
            <w:hyperlink w:anchor="page240">
              <w:r>
                <w:rPr>
                  <w:rFonts w:ascii="Arial" w:cs="Arial" w:eastAsia="Arial" w:hAnsi="Arial"/>
                  <w:sz w:val="16"/>
                  <w:szCs w:val="16"/>
                  <w:color w:val="0000FF"/>
                  <w:w w:val="85"/>
                </w:rPr>
                <w:t>Inc.</w:t>
              </w:r>
            </w:hyperlink>
          </w:p>
        </w:tc>
        <w:tc>
          <w:tcPr>
            <w:tcW w:w="4080" w:type="dxa"/>
            <w:vAlign w:val="bottom"/>
            <w:tcBorders>
              <w:top w:val="single" w:sz="8" w:color="0000FF"/>
            </w:tcBorders>
            <w:gridSpan w:val="16"/>
          </w:tcPr>
          <w:p>
            <w:pPr>
              <w:spacing w:after="0"/>
              <w:rPr>
                <w:sz w:val="12"/>
                <w:szCs w:val="12"/>
                <w:color w:val="auto"/>
              </w:rPr>
            </w:pPr>
          </w:p>
        </w:tc>
        <w:tc>
          <w:tcPr>
            <w:tcW w:w="60" w:type="dxa"/>
            <w:vAlign w:val="bottom"/>
            <w:gridSpan w:val="3"/>
          </w:tcPr>
          <w:p>
            <w:pPr>
              <w:spacing w:after="0"/>
              <w:rPr>
                <w:sz w:val="12"/>
                <w:szCs w:val="12"/>
                <w:color w:val="auto"/>
              </w:rPr>
            </w:pPr>
          </w:p>
        </w:tc>
        <w:tc>
          <w:tcPr>
            <w:tcW w:w="44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96"/>
        </w:trPr>
        <w:tc>
          <w:tcPr>
            <w:tcW w:w="800" w:type="dxa"/>
            <w:vAlign w:val="bottom"/>
          </w:tcPr>
          <w:p>
            <w:pPr>
              <w:jc w:val="right"/>
              <w:ind w:right="319"/>
              <w:spacing w:after="0"/>
              <w:rPr>
                <w:sz w:val="20"/>
                <w:szCs w:val="20"/>
                <w:color w:val="auto"/>
              </w:rPr>
            </w:pPr>
            <w:r>
              <w:rPr>
                <w:rFonts w:ascii="Arial" w:cs="Arial" w:eastAsia="Arial" w:hAnsi="Arial"/>
                <w:sz w:val="16"/>
                <w:szCs w:val="16"/>
                <w:color w:val="auto"/>
              </w:rPr>
              <w:t>24.1*</w:t>
            </w:r>
          </w:p>
        </w:tc>
        <w:tc>
          <w:tcPr>
            <w:tcW w:w="4820" w:type="dxa"/>
            <w:vAlign w:val="bottom"/>
            <w:gridSpan w:val="22"/>
          </w:tcPr>
          <w:p>
            <w:pPr>
              <w:spacing w:after="0"/>
              <w:rPr>
                <w:rFonts w:ascii="Arial" w:cs="Arial" w:eastAsia="Arial" w:hAnsi="Arial"/>
                <w:sz w:val="16"/>
                <w:szCs w:val="16"/>
                <w:color w:val="0000FF"/>
              </w:rPr>
            </w:pPr>
            <w:hyperlink r:id="rId314">
              <w:r>
                <w:rPr>
                  <w:rFonts w:ascii="Arial" w:cs="Arial" w:eastAsia="Arial" w:hAnsi="Arial"/>
                  <w:sz w:val="16"/>
                  <w:szCs w:val="16"/>
                  <w:color w:val="0000FF"/>
                </w:rPr>
                <w:t>Power of Attorney (included on the signature page to post-effective</w:t>
              </w:r>
            </w:hyperlink>
          </w:p>
        </w:tc>
        <w:tc>
          <w:tcPr>
            <w:tcW w:w="1200" w:type="dxa"/>
            <w:vAlign w:val="bottom"/>
          </w:tcPr>
          <w:p>
            <w:pPr>
              <w:jc w:val="center"/>
              <w:ind w:right="139"/>
              <w:spacing w:after="0"/>
              <w:rPr>
                <w:sz w:val="20"/>
                <w:szCs w:val="20"/>
                <w:color w:val="auto"/>
              </w:rPr>
            </w:pPr>
            <w:r>
              <w:rPr>
                <w:rFonts w:ascii="Arial" w:cs="Arial" w:eastAsia="Arial" w:hAnsi="Arial"/>
                <w:sz w:val="16"/>
                <w:szCs w:val="16"/>
                <w:color w:val="auto"/>
                <w:w w:val="94"/>
              </w:rPr>
              <w:t>S-1/A</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24.1</w:t>
            </w:r>
          </w:p>
        </w:tc>
        <w:tc>
          <w:tcPr>
            <w:tcW w:w="2260" w:type="dxa"/>
            <w:vAlign w:val="bottom"/>
          </w:tcPr>
          <w:p>
            <w:pPr>
              <w:jc w:val="center"/>
              <w:ind w:right="599"/>
              <w:spacing w:after="0"/>
              <w:rPr>
                <w:sz w:val="20"/>
                <w:szCs w:val="20"/>
                <w:color w:val="auto"/>
              </w:rPr>
            </w:pPr>
            <w:r>
              <w:rPr>
                <w:rFonts w:ascii="Arial" w:cs="Arial" w:eastAsia="Arial" w:hAnsi="Arial"/>
                <w:sz w:val="16"/>
                <w:szCs w:val="16"/>
                <w:color w:val="auto"/>
                <w:w w:val="92"/>
              </w:rPr>
              <w:t>3/14/2022</w:t>
            </w:r>
          </w:p>
        </w:tc>
      </w:tr>
      <w:tr>
        <w:trPr>
          <w:trHeight w:val="142"/>
        </w:trPr>
        <w:tc>
          <w:tcPr>
            <w:tcW w:w="800" w:type="dxa"/>
            <w:vAlign w:val="bottom"/>
          </w:tcPr>
          <w:p>
            <w:pPr>
              <w:spacing w:after="0"/>
              <w:rPr>
                <w:sz w:val="12"/>
                <w:szCs w:val="12"/>
                <w:color w:val="auto"/>
              </w:rPr>
            </w:pPr>
          </w:p>
        </w:tc>
        <w:tc>
          <w:tcPr>
            <w:tcW w:w="43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314">
              <w:r>
                <w:rPr>
                  <w:rFonts w:ascii="Arial" w:cs="Arial" w:eastAsia="Arial" w:hAnsi="Arial"/>
                  <w:sz w:val="16"/>
                  <w:szCs w:val="16"/>
                  <w:color w:val="0000FF"/>
                </w:rPr>
                <w:t>amendment no. 1 to the initial registration statement).</w:t>
              </w:r>
            </w:hyperlink>
          </w:p>
        </w:tc>
        <w:tc>
          <w:tcPr>
            <w:tcW w:w="44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260" w:hanging="252"/>
        <w:spacing w:after="0"/>
        <w:tabs>
          <w:tab w:leader="none" w:pos="2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Certain schedules and exhibits to this Exhibit have been omitted pursuant to Item 601(a)(5) or Item 601(b)(10)(iv), as applicable, of Regulation S-K. The Registrant agrees to furnish</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supplemental copies of all omitted exhibits and schedules to the SEC upon its request.</w:t>
      </w:r>
    </w:p>
    <w:p>
      <w:pPr>
        <w:spacing w:after="0" w:line="1" w:lineRule="exact"/>
        <w:rPr>
          <w:sz w:val="20"/>
          <w:szCs w:val="20"/>
          <w:color w:val="auto"/>
        </w:rPr>
      </w:pPr>
    </w:p>
    <w:p>
      <w:pPr>
        <w:ind w:right="7500" w:firstLine="8"/>
        <w:spacing w:after="0" w:line="255" w:lineRule="auto"/>
        <w:tabs>
          <w:tab w:leader="none" w:pos="25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 Previously filed.</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71"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jc w:val="both"/>
        <w:ind w:firstLine="8"/>
        <w:spacing w:after="0" w:line="273" w:lineRule="auto"/>
        <w:tabs>
          <w:tab w:leader="none" w:pos="3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3" w:lineRule="exact"/>
        <w:rPr>
          <w:rFonts w:ascii="Arial" w:cs="Arial" w:eastAsia="Arial" w:hAnsi="Arial"/>
          <w:sz w:val="17"/>
          <w:szCs w:val="17"/>
          <w:color w:val="auto"/>
        </w:rPr>
      </w:pPr>
    </w:p>
    <w:p>
      <w:pPr>
        <w:ind w:firstLine="8"/>
        <w:spacing w:after="0" w:line="277" w:lineRule="auto"/>
        <w:tabs>
          <w:tab w:leader="none" w:pos="3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provided, however, that paragraphs (i), (ii) and (iii) do not apply if the registration statement is on Form S-1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3" w:lineRule="exact"/>
        <w:rPr>
          <w:sz w:val="20"/>
          <w:szCs w:val="20"/>
          <w:color w:val="auto"/>
        </w:rPr>
      </w:pPr>
    </w:p>
    <w:p>
      <w:pPr>
        <w:jc w:val="both"/>
        <w:ind w:firstLine="8"/>
        <w:spacing w:after="0" w:line="342" w:lineRule="auto"/>
        <w:tabs>
          <w:tab w:leader="none" w:pos="31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Arial" w:cs="Arial" w:eastAsia="Arial" w:hAnsi="Arial"/>
          <w:sz w:val="16"/>
          <w:szCs w:val="16"/>
          <w:color w:val="auto"/>
        </w:rPr>
      </w:pPr>
    </w:p>
    <w:p>
      <w:pPr>
        <w:ind w:right="20" w:firstLine="8"/>
        <w:spacing w:after="0" w:line="277" w:lineRule="auto"/>
        <w:tabs>
          <w:tab w:leader="none" w:pos="31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jc w:val="both"/>
        <w:ind w:firstLine="8"/>
        <w:spacing w:after="0" w:line="272" w:lineRule="auto"/>
        <w:tabs>
          <w:tab w:leader="none" w:pos="31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23" w:lineRule="exact"/>
        <w:rPr>
          <w:rFonts w:ascii="Arial" w:cs="Arial" w:eastAsia="Arial" w:hAnsi="Arial"/>
          <w:sz w:val="17"/>
          <w:szCs w:val="17"/>
          <w:color w:val="auto"/>
        </w:rPr>
      </w:pPr>
    </w:p>
    <w:p>
      <w:pPr>
        <w:jc w:val="both"/>
        <w:ind w:firstLine="8"/>
        <w:spacing w:after="0" w:line="301" w:lineRule="auto"/>
        <w:tabs>
          <w:tab w:leader="none" w:pos="31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3"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1" w:lineRule="exact"/>
        <w:rPr>
          <w:rFonts w:ascii="Arial" w:cs="Arial" w:eastAsia="Arial" w:hAnsi="Arial"/>
          <w:sz w:val="18"/>
          <w:szCs w:val="18"/>
          <w:color w:val="auto"/>
        </w:rPr>
      </w:pPr>
    </w:p>
    <w:p>
      <w:pPr>
        <w:ind w:firstLine="8"/>
        <w:spacing w:after="0" w:line="277" w:lineRule="auto"/>
        <w:tabs>
          <w:tab w:leader="none" w:pos="3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firstLine="8"/>
        <w:spacing w:after="0" w:line="277" w:lineRule="auto"/>
        <w:tabs>
          <w:tab w:leader="none" w:pos="32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 and</w:t>
      </w:r>
    </w:p>
    <w:p>
      <w:pPr>
        <w:spacing w:after="0" w:line="171" w:lineRule="exact"/>
        <w:rPr>
          <w:rFonts w:ascii="Arial" w:cs="Arial" w:eastAsia="Arial" w:hAnsi="Arial"/>
          <w:sz w:val="18"/>
          <w:szCs w:val="18"/>
          <w:color w:val="auto"/>
        </w:rPr>
      </w:pPr>
    </w:p>
    <w:p>
      <w:pPr>
        <w:jc w:val="both"/>
        <w:ind w:firstLine="8"/>
        <w:spacing w:after="0" w:line="279" w:lineRule="auto"/>
        <w:tabs>
          <w:tab w:leader="none" w:pos="32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post-effective amendment to registration statement on Form S-1 to be signed on its behalf by the undersigned, thereunto duly authorized, in the City of Stamford, State of Connecticut, on the 21st day of March, 2022.</w:t>
      </w: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SEMA4 HOLDINGS CORP.</w:t>
      </w:r>
    </w:p>
    <w:p>
      <w:pPr>
        <w:spacing w:after="0" w:line="200" w:lineRule="exact"/>
        <w:rPr>
          <w:sz w:val="20"/>
          <w:szCs w:val="20"/>
          <w:color w:val="auto"/>
        </w:rPr>
      </w:pPr>
    </w:p>
    <w:p>
      <w:pPr>
        <w:spacing w:after="0" w:line="259" w:lineRule="exact"/>
        <w:rPr>
          <w:sz w:val="20"/>
          <w:szCs w:val="20"/>
          <w:color w:val="auto"/>
        </w:rPr>
      </w:pPr>
    </w:p>
    <w:p>
      <w:pPr>
        <w:ind w:left="5580"/>
        <w:spacing w:after="0"/>
        <w:tabs>
          <w:tab w:leader="none" w:pos="6080" w:val="left"/>
        </w:tabs>
        <w:rPr>
          <w:sz w:val="20"/>
          <w:szCs w:val="20"/>
          <w:color w:val="auto"/>
        </w:rPr>
      </w:pPr>
      <w:r>
        <w:rPr>
          <w:rFonts w:ascii="Arial" w:cs="Arial" w:eastAsia="Arial" w:hAnsi="Arial"/>
          <w:sz w:val="18"/>
          <w:szCs w:val="18"/>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Eric Schadt</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to registration statement on Form S-1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6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028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61"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2028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Eric Schadt</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Isaac 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Isaac Ro</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Shawn Assad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028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Shawn Assad</w:t>
      </w:r>
    </w:p>
    <w:p>
      <w:pPr>
        <w:spacing w:after="0" w:line="14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Jason Ryan</w:t>
      </w:r>
    </w:p>
    <w:p>
      <w:pPr>
        <w:spacing w:after="0" w:line="13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Joshua Ruch</w:t>
      </w:r>
    </w:p>
    <w:p>
      <w:pPr>
        <w:spacing w:after="0" w:line="13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Dennis Charney</w:t>
      </w:r>
    </w:p>
    <w:p>
      <w:pPr>
        <w:spacing w:after="0" w:line="15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Eli D. Casdin</w:t>
      </w:r>
    </w:p>
    <w:p>
      <w:pPr>
        <w:spacing w:after="0" w:line="13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Emily Leproust</w:t>
      </w:r>
    </w:p>
    <w:p>
      <w:pPr>
        <w:spacing w:after="0" w:line="14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Keith Meister</w:t>
      </w:r>
    </w:p>
    <w:p>
      <w:pPr>
        <w:spacing w:after="0" w:line="13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Michael Pellini</w:t>
      </w:r>
    </w:p>
    <w:p>
      <w:pPr>
        <w:spacing w:after="0" w:line="14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Nat Turner</w:t>
      </w:r>
    </w:p>
    <w:p>
      <w:pPr>
        <w:spacing w:after="0" w:line="13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028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Rachel Sherman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34290</wp:posOffset>
            </wp:positionV>
            <wp:extent cx="33515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(Principal Executive Officer)</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(Principal Financial Officer)</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(Principal Accounting Officer)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Executive Chairman and Director</w:t>
      </w:r>
    </w:p>
    <w:p>
      <w:pPr>
        <w:spacing w:after="0" w:line="39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1313815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Date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21, 2022</w:t>
      </w:r>
    </w:p>
    <w:p>
      <w:pPr>
        <w:sectPr>
          <w:pgSz w:w="11900" w:h="16838" w:orient="portrait"/>
          <w:cols w:equalWidth="0" w:num="3">
            <w:col w:w="4160" w:space="720"/>
            <w:col w:w="3920" w:space="720"/>
            <w:col w:w="1720"/>
          </w:cols>
          <w:pgMar w:left="320" w:top="1440" w:right="339" w:bottom="1440" w:gutter="0" w:footer="0" w:header="0"/>
          <w:type w:val="continuous"/>
        </w:sectPr>
      </w:pPr>
    </w:p>
    <w:bookmarkStart w:id="237" w:name="page238"/>
    <w:bookmarkEnd w:id="237"/>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*By /s/ Dan Clark</w:t>
      </w:r>
    </w:p>
    <w:p>
      <w:pPr>
        <w:jc w:val="right"/>
        <w:spacing w:after="0" w:line="187" w:lineRule="auto"/>
        <w:rPr>
          <w:sz w:val="20"/>
          <w:szCs w:val="20"/>
          <w:color w:val="auto"/>
        </w:rPr>
      </w:pPr>
      <w:r>
        <w:rPr>
          <w:rFonts w:ascii="Arial" w:cs="Arial" w:eastAsia="Arial" w:hAnsi="Arial"/>
          <w:sz w:val="15"/>
          <w:szCs w:val="15"/>
          <w:color w:val="auto"/>
        </w:rPr>
        <w:t>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22028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Dan Clark</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Attorney-in-fact</w:t>
      </w:r>
    </w:p>
    <w:p>
      <w:pPr>
        <w:sectPr>
          <w:pgSz w:w="11900" w:h="16838" w:orient="portrait"/>
          <w:cols w:equalWidth="0" w:num="1">
            <w:col w:w="10640"/>
          </w:cols>
          <w:pgMar w:left="340" w:top="1440" w:right="9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14, 2022, included in the Post-Effective Amendment No. 2 to the Registration Statement (Form S-1 No. 333-258467) and related Prospectus of Sema4 Holdings Corp. for the registration of its Class A common stock and warrants.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21, 2022</w:t>
      </w:r>
    </w:p>
    <w:p>
      <w:pPr>
        <w:sectPr>
          <w:pgSz w:w="11900" w:h="16838" w:orient="portrait"/>
          <w:cols w:equalWidth="0" w:num="1">
            <w:col w:w="11240"/>
          </w:cols>
          <w:pgMar w:left="320" w:top="108"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333333"/>
        </w:rPr>
        <w:t>Exhibit 23.4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333333"/>
        </w:rPr>
        <w:t>Consent of Independent Auditors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333333"/>
        </w:rPr>
        <w:t>We consent to the reference to our firm under the caption "Experts" and to the use of our report dated March 15, 2022, with respect to the combined carve-out financial statements of GeneDx, Inc. and subsidiary included in Post-Effective Amendment No. 2 to the Registration Statement (Form S-1 No. 333-258467) and related Prospectus of Sema4 Holdings Corp.</w:t>
      </w:r>
    </w:p>
    <w:p>
      <w:pPr>
        <w:spacing w:after="0" w:line="277" w:lineRule="exact"/>
        <w:rPr>
          <w:sz w:val="20"/>
          <w:szCs w:val="20"/>
          <w:color w:val="auto"/>
        </w:rPr>
      </w:pPr>
    </w:p>
    <w:p>
      <w:pPr>
        <w:ind w:left="8660"/>
        <w:spacing w:after="0"/>
        <w:rPr>
          <w:sz w:val="20"/>
          <w:szCs w:val="20"/>
          <w:color w:val="auto"/>
        </w:rPr>
      </w:pPr>
      <w:r>
        <w:rPr>
          <w:rFonts w:ascii="Arial" w:cs="Arial" w:eastAsia="Arial" w:hAnsi="Arial"/>
          <w:sz w:val="20"/>
          <w:szCs w:val="20"/>
          <w:color w:val="auto"/>
        </w:rPr>
        <w:t>/s/ Ernst &amp; Young LLP</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Miami, Florida</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March 21,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lvl w:ilvl="1">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1."/>
      <w:numFmt w:val="decimal"/>
      <w:start w:val="2"/>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1."/>
      <w:numFmt w:val="decimal"/>
      <w:start w:val="3"/>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1)"/>
      <w:numFmt w:val="lowerLetter"/>
      <w:start w:val="2"/>
    </w:lvl>
  </w:abstractNum>
  <w:abstractNum w:abstractNumId="32">
    <w:nsid w:val="42C296BD"/>
    <w:multiLevelType w:val="hybridMultilevel"/>
    <w:lvl w:ilvl="0">
      <w:lvlJc w:val="left"/>
      <w:lvlText w:val="%1)"/>
      <w:numFmt w:val="lowerLetter"/>
      <w:start w:val="3"/>
    </w:lvl>
  </w:abstractNum>
  <w:abstractNum w:abstractNumId="33">
    <w:nsid w:val="168E121F"/>
    <w:multiLevelType w:val="hybridMultilevel"/>
    <w:lvl w:ilvl="0">
      <w:lvlJc w:val="left"/>
      <w:lvlText w:val="%1)"/>
      <w:numFmt w:val="lowerLetter"/>
      <w:start w:val="6"/>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8"/>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decimal"/>
      <w:start w:val="1"/>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1"/>
    </w:lvl>
  </w:abstractNum>
  <w:abstractNum w:abstractNumId="62">
    <w:nsid w:val="76272110"/>
    <w:multiLevelType w:val="hybridMultilevel"/>
    <w:lvl w:ilvl="0">
      <w:lvlJc w:val="left"/>
      <w:lvlText w:val="(%1)"/>
      <w:numFmt w:val="decimal"/>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1)"/>
      <w:numFmt w:val="decimal"/>
      <w:start w:val="1"/>
    </w:lvl>
  </w:abstractNum>
  <w:abstractNum w:abstractNumId="66">
    <w:nsid w:val="3222E7CD"/>
    <w:multiLevelType w:val="hybridMultilevel"/>
    <w:lvl w:ilvl="0">
      <w:lvlJc w:val="left"/>
      <w:lvlText w:val="(%1)"/>
      <w:numFmt w:val="decimal"/>
      <w:start w:val="2"/>
    </w:lvl>
  </w:abstractNum>
  <w:abstractNum w:abstractNumId="67">
    <w:nsid w:val="74DE0EE3"/>
    <w:multiLevelType w:val="hybridMultilevel"/>
    <w:lvl w:ilvl="0">
      <w:lvlJc w:val="left"/>
      <w:lvlText w:val="(%1)"/>
      <w:numFmt w:val="decimal"/>
      <w:start w:val="14"/>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1)"/>
      <w:numFmt w:val="decimal"/>
      <w:start w:val="2"/>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lvl w:ilvl="1">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1)"/>
      <w:numFmt w:val="decimal"/>
      <w:start w:val="1"/>
    </w:lvl>
  </w:abstractNum>
  <w:abstractNum w:abstractNumId="77">
    <w:nsid w:val="26F324BA"/>
    <w:multiLevelType w:val="hybridMultilevel"/>
    <w:lvl w:ilvl="0">
      <w:lvlJc w:val="left"/>
      <w:lvlText w:val="(%1)"/>
      <w:numFmt w:val="decimal"/>
      <w:start w:val="8"/>
    </w:lvl>
  </w:abstractNum>
  <w:abstractNum w:abstractNumId="78">
    <w:nsid w:val="7F01579B"/>
    <w:multiLevelType w:val="hybridMultilevel"/>
    <w:lvl w:ilvl="0">
      <w:lvlJc w:val="left"/>
      <w:lvlText w:val="(%1)"/>
      <w:numFmt w:val="decimal"/>
      <w:start w:val="21"/>
    </w:lvl>
  </w:abstractNum>
  <w:abstractNum w:abstractNumId="79">
    <w:nsid w:val="49DA307D"/>
    <w:multiLevelType w:val="hybridMultilevel"/>
    <w:lvl w:ilvl="0">
      <w:lvlJc w:val="left"/>
      <w:lvlText w:val="(%1)"/>
      <w:numFmt w:val="decimal"/>
      <w:start w:val="50"/>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1)"/>
      <w:numFmt w:val="lowerRoman"/>
      <w:start w:val="1"/>
    </w:lvl>
  </w:abstractNum>
  <w:abstractNum w:abstractNumId="94">
    <w:nsid w:val="3FA62ACA"/>
    <w:multiLevelType w:val="hybridMultilevel"/>
    <w:lvl w:ilvl="0">
      <w:lvlJc w:val="left"/>
      <w:lvlText w:val="\endash "/>
      <w:numFmt w:val="bullet"/>
      <w:start w:val="1"/>
    </w:lvl>
  </w:abstractNum>
  <w:abstractNum w:abstractNumId="95">
    <w:nsid w:val="14FCE74E"/>
    <w:multiLevelType w:val="hybridMultilevel"/>
    <w:lvl w:ilvl="0">
      <w:lvlJc w:val="left"/>
      <w:lvlText w:val="\endash "/>
      <w:numFmt w:val="bullet"/>
      <w:start w:val="1"/>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lowerLetter"/>
      <w:start w:val="8"/>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1."/>
      <w:numFmt w:val="lowerRoman"/>
      <w:start w:val="1"/>
    </w:lvl>
  </w:abstractNum>
  <w:abstractNum w:abstractNumId="109">
    <w:nsid w:val="1CA0C5FA"/>
    <w:multiLevelType w:val="hybridMultilevel"/>
    <w:lvl w:ilvl="0">
      <w:lvlJc w:val="left"/>
      <w:lvlText w:val="(%1)"/>
      <w:numFmt w:val="decimal"/>
      <w:start w:val="2"/>
    </w:lvl>
  </w:abstractNum>
  <w:abstractNum w:abstractNumId="110">
    <w:nsid w:val="53584BC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305"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267" Type="http://schemas.openxmlformats.org/officeDocument/2006/relationships/hyperlink" Target="https://www.sec.gov/Archives/edgar/data/1818331/000162828021013404/sema4proxy.htm#i8b8880c1ddfa423593153735d1fc233d_1878" TargetMode="External"/><Relationship Id="rId268" Type="http://schemas.openxmlformats.org/officeDocument/2006/relationships/hyperlink" Target="https://www.sec.gov/Archives/edgar/data/0001818331/000181833122000010/exhibit21-mergeragreement2.htm" TargetMode="External"/><Relationship Id="rId269" Type="http://schemas.openxmlformats.org/officeDocument/2006/relationships/hyperlink" Target="https://www.sec.gov/Archives/edgar/data/1818331/000162828021014760/exhibit31-super8xk.htm" TargetMode="External"/><Relationship Id="rId270" Type="http://schemas.openxmlformats.org/officeDocument/2006/relationships/hyperlink" Target="https://www.sec.gov/Archives/edgar/data/1818331/000162828021014760/exhibit32-super8xk.htm" TargetMode="External"/><Relationship Id="rId271" Type="http://schemas.openxmlformats.org/officeDocument/2006/relationships/hyperlink" Target="https://www.sec.gov/Archives/edgar/data/1818331/000121390020023383/fs12020a1ex4-3_cmlifesci.htm" TargetMode="External"/><Relationship Id="rId272" Type="http://schemas.openxmlformats.org/officeDocument/2006/relationships/hyperlink" Target="https://www.sec.gov/Archives/edgar/data/1818331/000121390020025454/ea126481ex10-1_cmlife.htm" TargetMode="External"/><Relationship Id="rId273" Type="http://schemas.openxmlformats.org/officeDocument/2006/relationships/hyperlink" Target="https://www.sec.gov/Archives/edgar/data/1818331/000162828021015606/exhibit51-resalesx1.htm" TargetMode="External"/><Relationship Id="rId274" Type="http://schemas.openxmlformats.org/officeDocument/2006/relationships/hyperlink" Target="https://www.sec.gov/Archives/edgar/data/1818331/000162828021014760/exhibit104-super8xk.htm" TargetMode="External"/><Relationship Id="rId275" Type="http://schemas.openxmlformats.org/officeDocument/2006/relationships/hyperlink" Target="https://www.sec.gov/Archives/edgar/data/1818331/000121390021008253/ea135116ex10-1_cmlife.htm" TargetMode="External"/><Relationship Id="rId276" Type="http://schemas.openxmlformats.org/officeDocument/2006/relationships/hyperlink" Target="https://www.sec.gov/Archives/edgar/data/1818331/000162828021014760/exhibit102-super8xk.htm" TargetMode="External"/><Relationship Id="rId279" Type="http://schemas.openxmlformats.org/officeDocument/2006/relationships/hyperlink" Target="https://www.sec.gov/Archives/edgar/data/1818331/000121390021008253/ea135116ex10-2_cmlife.htm" TargetMode="External"/><Relationship Id="rId280" Type="http://schemas.openxmlformats.org/officeDocument/2006/relationships/hyperlink" Target="https://www.sec.gov/Archives/edgar/data/1818331/000162828021014760/exhibit106-super8xk.htm" TargetMode="External"/><Relationship Id="rId281" Type="http://schemas.openxmlformats.org/officeDocument/2006/relationships/hyperlink" Target="https://www.sec.gov/Archives/edgar/data/1818331/000162828021014760/exhibit107-super8xk.htm" TargetMode="External"/><Relationship Id="rId282" Type="http://schemas.openxmlformats.org/officeDocument/2006/relationships/hyperlink" Target="https://www.sec.gov/Archives/edgar/data/1818331/000162828021014760/exhibit108-super8xk.htm" TargetMode="External"/><Relationship Id="rId283" Type="http://schemas.openxmlformats.org/officeDocument/2006/relationships/hyperlink" Target="https://www.sec.gov/Archives/edgar/data/1818331/000162828021014760/exhibit105-super8xk.htm" TargetMode="External"/><Relationship Id="rId284" Type="http://schemas.openxmlformats.org/officeDocument/2006/relationships/hyperlink" Target="https://www.sec.gov/Archives/edgar/data/1818331/000162828021014760/exhibit109-super8xk.htm" TargetMode="External"/><Relationship Id="rId285" Type="http://schemas.openxmlformats.org/officeDocument/2006/relationships/hyperlink" Target="https://www.sec.gov/Archives/edgar/data/1818331/000162828021014760/exhibit1010-super8xk.htm" TargetMode="External"/><Relationship Id="rId286" Type="http://schemas.openxmlformats.org/officeDocument/2006/relationships/hyperlink" Target="https://www.sec.gov/Archives/edgar/data/1818331/000162828021014760/exhibit1011-super8xk.htm" TargetMode="External"/><Relationship Id="rId287" Type="http://schemas.openxmlformats.org/officeDocument/2006/relationships/hyperlink" Target="https://www.sec.gov/Archives/edgar/data/1818331/000162828021014760/exhibit1012-super8xk.htm" TargetMode="External"/><Relationship Id="rId288" Type="http://schemas.openxmlformats.org/officeDocument/2006/relationships/hyperlink" Target="https://www.sec.gov/Archives/edgar/data/1818331/000162828021014760/exhibit1013-super8xk.htm" TargetMode="External"/><Relationship Id="rId289" Type="http://schemas.openxmlformats.org/officeDocument/2006/relationships/hyperlink" Target="https://www.sec.gov/Archives/edgar/data/1818331/000162828021014760/exhibit1014-super8xk.htm" TargetMode="External"/><Relationship Id="rId290" Type="http://schemas.openxmlformats.org/officeDocument/2006/relationships/hyperlink" Target="https://www.sec.gov/Archives/edgar/data/1818331/000162828021014760/exhibit1015-super8xk.htm" TargetMode="External"/><Relationship Id="rId291" Type="http://schemas.openxmlformats.org/officeDocument/2006/relationships/hyperlink" Target="https://www.sec.gov/Archives/edgar/data/1818331/000162828021014760/exhibit1016-super8xk.htm" TargetMode="External"/><Relationship Id="rId292" Type="http://schemas.openxmlformats.org/officeDocument/2006/relationships/hyperlink" Target="https://www.sec.gov/Archives/edgar/data/1818331/000162828021014760/exhibit1017-super8xk.htm" TargetMode="External"/><Relationship Id="rId293" Type="http://schemas.openxmlformats.org/officeDocument/2006/relationships/hyperlink" Target="https://www.sec.gov/Archives/edgar/data/1818331/000162828021014760/exhibit1018-super8xk.htm" TargetMode="External"/><Relationship Id="rId294" Type="http://schemas.openxmlformats.org/officeDocument/2006/relationships/hyperlink" Target="https://www.sec.gov/Archives/edgar/data/1818331/000162828021014760/exhibit1019-super8xk.htm" TargetMode="External"/><Relationship Id="rId295" Type="http://schemas.openxmlformats.org/officeDocument/2006/relationships/hyperlink" Target="https://www.sec.gov/Archives/edgar/data/1818331/000162828021014760/exhibit1020-super8xk.htm" TargetMode="External"/><Relationship Id="rId296" Type="http://schemas.openxmlformats.org/officeDocument/2006/relationships/hyperlink" Target="https://www.sec.gov/Archives/edgar/data/1818331/000162828021014760/exhibit1021-super8xk.htm" TargetMode="External"/><Relationship Id="rId297" Type="http://schemas.openxmlformats.org/officeDocument/2006/relationships/hyperlink" Target="https://www.sec.gov/Archives/edgar/data/1818331/000162828021014760/exhibit1022-super8xk.htm" TargetMode="External"/><Relationship Id="rId298" Type="http://schemas.openxmlformats.org/officeDocument/2006/relationships/hyperlink" Target="https://www.sec.gov/Archives/edgar/data/1818331/000162828021014760/exhibit1023-super8xk.htm" TargetMode="External"/><Relationship Id="rId299" Type="http://schemas.openxmlformats.org/officeDocument/2006/relationships/hyperlink" Target="https://www.sec.gov/Archives/edgar/data/1818331/000162828021014760/exhibit1024-super8xk.htm" TargetMode="External"/><Relationship Id="rId300" Type="http://schemas.openxmlformats.org/officeDocument/2006/relationships/hyperlink" Target="https://www.sec.gov/Archives/edgar/data/1818331/000162828021014760/exhibit1025-super8xk.htm" TargetMode="External"/><Relationship Id="rId301" Type="http://schemas.openxmlformats.org/officeDocument/2006/relationships/hyperlink" Target="https://www.sec.gov/Archives/edgar/data/1818331/000162828021014760/exhibit1026-super8xk.htm" TargetMode="External"/><Relationship Id="rId302" Type="http://schemas.openxmlformats.org/officeDocument/2006/relationships/hyperlink" Target="https://www.sec.gov/Archives/edgar/data/1818331/000162828021014760/exhibit1027-super8xk.htm" TargetMode="External"/><Relationship Id="rId303" Type="http://schemas.openxmlformats.org/officeDocument/2006/relationships/hyperlink" Target="https://www.sec.gov/Archives/edgar/data/1818331/000162828021019193/exhibit996-sx8.htm" TargetMode="External"/><Relationship Id="rId304" Type="http://schemas.openxmlformats.org/officeDocument/2006/relationships/hyperlink" Target="https://www.sec.gov/Archives/edgar/data/0001818331/000181833121000012/sema4-svbxxloanandsecurity.htm" TargetMode="External"/><Relationship Id="rId306" Type="http://schemas.openxmlformats.org/officeDocument/2006/relationships/hyperlink" Target="https://www.sec.gov/Archives/edgar/data/0001818331/000121390021008253/ea135116ex10-1_cmlife.htm" TargetMode="External"/><Relationship Id="rId307" Type="http://schemas.openxmlformats.org/officeDocument/2006/relationships/hyperlink" Target="https://www.sec.gov/Archives/edgar/data/1818331/000181833122000010/exhibit102-formofsharehold.htm" TargetMode="External"/><Relationship Id="rId308" Type="http://schemas.openxmlformats.org/officeDocument/2006/relationships/hyperlink" Target="https://www.sec.gov/Archives/edgar/data/1818331/000181833122000010/exhibit103-formofstockhold.htm" TargetMode="External"/><Relationship Id="rId309" Type="http://schemas.openxmlformats.org/officeDocument/2006/relationships/hyperlink" Target="https://www.sec.gov/Archives/edgar/data/1818331/000181833122000010/exhibit104-formofpipeinves.htm" TargetMode="External"/><Relationship Id="rId310" Type="http://schemas.openxmlformats.org/officeDocument/2006/relationships/hyperlink" Target="https://www.sec.gov/Archives/edgar/data/1818331/000181833122000022/sema4-separationagreement.htm" TargetMode="External"/><Relationship Id="rId311" Type="http://schemas.openxmlformats.org/officeDocument/2006/relationships/hyperlink" Target="https://www.sec.gov/Archives/edgar/data/0001818331/000181833122000037/fw_15470948x3xsema4-execut.htm" TargetMode="External"/><Relationship Id="rId312" Type="http://schemas.openxmlformats.org/officeDocument/2006/relationships/hyperlink" Target="https://www.sec.gov/Archives/edgar/data/0001818331/000181833122000037/sema4-10xkfy2021xex211subs.htm" TargetMode="External"/><Relationship Id="rId313" Type="http://schemas.openxmlformats.org/officeDocument/2006/relationships/hyperlink" Target="https://www.sec.gov/Archives/edgar/data/1818331/000162828021015606/exhibit231-resalesx1.htm" TargetMode="External"/><Relationship Id="rId314" Type="http://schemas.openxmlformats.org/officeDocument/2006/relationships/hyperlink" Target="https://www.sec.gov/Archives/edgar/data/0001818331/000162828022006101/sema4shortformposex.htm#i46625bf81e3645c0baaee89d3bc53f45_2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2022-03-21T16:25:21Z</dcterms:created>
  <dcterms:modified xsi:type="dcterms:W3CDTF">2022-03-21T16:25:21Z</dcterms:modified>
</cp:coreProperties>
</file>