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Eli Casdin and Keith Meister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Corvex Management LP, 667 Madison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10065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474-6700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CMLS HOLDINGS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537,285.00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C-LSH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537,285.00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M-LSH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537,285.00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3,007,164.00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3,007,164.00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3,007,164.00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3,007,164.00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3,007,164.00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3,007,164.00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3,026,411.00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3,026,411.00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3,026,411.00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 Casdin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35,975.00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3,563,696.00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35,975.00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3,563,696.00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3,599,671.00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IN, HC</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Meister, Keith 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4,819,482.00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4,819,482.00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5,356,767.00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17.9 %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Corvex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4,784,570.00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4,784,570.00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4,784,570.00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333 Ludlow Street, North Tower, 6th Floor, Stamford, CONNECTICUT , 06902.</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11 (the "Amendment") supplements the information set forth in the Schedule 13D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(the "SEC") on August 2, 2021,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 amended as of January 19, 2022, May 3, 2022, December 5, 2022, February 1, 2023, April 20, 2023, November 17, 2023, May 31, 2024, May 7, 2025, August 26, 2025, and May 11, 2026 by CMLS Holdings LLC, Keith Meister, Eli Casdin and the other Reporting Persons named therein, relating to the shares of Class A common stock, par value $0.0001 per share ("Shares"), of GeneDx Holdings Corp. (formerly known as Sema4 Holdings Corp., the "Issuer"). Capitalized terms used but not defined herein shall have the meanings ascribed to them in the Schedule 13D, as amended. The information set forth in response to each separate Item below shall be deemed to be a response to all Items where such information is relevant. Item 3 to the Schedule 13D is supplementally amended as follows, and Item 5 to the Schedule 13D is amended and restated as follows. Information with respect to each Reporting Person is given solely by such Reporting Person and no Reporting Person assumes responsibility for the accuracy or completeness of the information furnished by another Reporting Person, except as otherwise provided in Rule 13d-</w:t>
      </w:r>
    </w:p>
    <w:p>
      <w:pPr>
        <w:spacing w:after="0" w:line="25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1(k).</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2"/>
          <w:szCs w:val="22"/>
          <w:color w:val="auto"/>
        </w:rPr>
        <w:t>The information set forth in Item 5(c) is hereby incorporated by reference into this Item 3. Such Shares reported as purchased in Item 5(c) were purchased with the working capital of investment funds advised by Corvex Management LP.</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49" w:lineRule="auto"/>
        <w:rPr>
          <w:sz w:val="20"/>
          <w:szCs w:val="20"/>
          <w:color w:val="auto"/>
        </w:rPr>
      </w:pPr>
      <w:r>
        <w:rPr>
          <w:rFonts w:ascii="Times New Roman" w:cs="Times New Roman" w:eastAsia="Times New Roman" w:hAnsi="Times New Roman"/>
          <w:sz w:val="21"/>
          <w:szCs w:val="21"/>
          <w:color w:val="auto"/>
        </w:rPr>
        <w:t>The information set forth in the facing pages of this Schedule 13D with respect to the sole and shared beneficial ownership and percentage of beneficial ownership of Shares by the Reporting Persons is hereby incorporated by reference into this Item 5. The information in Item 5(b) below is hereby incorporated by reference into this Item 5(a).</w:t>
      </w:r>
    </w:p>
    <w:p>
      <w:pPr>
        <w:spacing w:after="0" w:line="1" w:lineRule="exact"/>
        <w:rPr>
          <w:sz w:val="20"/>
          <w:szCs w:val="20"/>
          <w:color w:val="auto"/>
        </w:rPr>
      </w:pPr>
    </w:p>
    <w:p>
      <w:pPr>
        <w:ind w:left="920" w:right="140" w:hanging="912"/>
        <w:spacing w:after="0" w:line="23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percentage ownership of Shares in this Statement are based upon the 29,688,027 Shares stated to be outstanding as of May 1, 2026, in the Issuer's Form 10-Q filed with the SEC on May 4, 2026. The filing of this Statement shall not be construed as an admission that a Reporting Person beneficially owns those Shares held by any other Reporting Person.</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 Casdin has the sole power to vote or direct the vote and sole power to dispose or to direct the disposition of</w:t>
      </w:r>
    </w:p>
    <w:p>
      <w:pPr>
        <w:spacing w:after="0" w:line="14" w:lineRule="exact"/>
        <w:rPr>
          <w:rFonts w:ascii="Times New Roman" w:cs="Times New Roman" w:eastAsia="Times New Roman" w:hAnsi="Times New Roman"/>
          <w:sz w:val="22"/>
          <w:szCs w:val="22"/>
          <w:color w:val="auto"/>
        </w:rPr>
      </w:pPr>
    </w:p>
    <w:p>
      <w:pPr>
        <w:ind w:left="920" w:right="40"/>
        <w:spacing w:after="0" w:line="24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35,975 Shares and shared power to vote or to direct the vote and shared power to dispose or to direct the disposition of 3,563,696 Shares. The Shares reflected as beneficially owned by Mr. Casdin include 333,144 Shares and 204,141 Shares issuable upon the exercise of 204,141 private placement warrants of the Issuer. On September 3, 2021, each private placement warrant became exercisable to purchase one Share at a price of $379.50 per share, subject to adjustment, as described in the definitive proxy statement of the Issuer (File No. 001-39482) filed with the SEC on July 2, 2021. CMLS Holdings LLC is the record holder of these Shares and warrants. The Board of Managers of CMLS Holdings LLC is comprised of Mr. Casdin and Mr. Meister who share voting and investment discretion with respect to the Shares held of record by CMLS Holdings LLC. C-LSH LLC and M-LSH LLC are the members of CMLS Holdings LLC, and Mr. Casdin is the managing member of C-LSH LLC. As such, each of the foregoing may be deemed to have or share beneficial ownership of the Shares held directly by CMLS Holdings LLC. Casdin Partners Master Fund, LP is the record holder of 3,007,164 Shares reported herein. Casdin Capital, LLC is the investment adviser to Casdin Partners Master Fund, LP and may be deemed to have or share beneficial ownership of the 3,007,164 Shares held by Casdin Partners Master Fund, LP. Casdin Partners GP, LLC is the general partner of Casdin Partners Master Fund LP and may be deemed to have or share beneficial ownership of the 3,007,164 Shares held by Casdin Partners Master Fund, LP, and Casdin Partners GP, LLC is also the direct beneficial owner of 19,247 Shares. Eli Casdin is the managing member of Casdin Capital, LLC and Casdin Partners GP, LLC. As such, each of the foregoing may be deemed to have or share beneficial ownership of the Shares held directly by Casdin Partners Master Fund, LP and Eli Casdin may be deemed the beneficial owner of the 19,247 Shares held by Casdin Partners GP, LLC. The Shares reflected as solely beneficially owned by Mr. Casdin also include 11,882 Shares issuable upon the exercise of fully vested options, 20,517 Shares that were issued upon the vesting of restricted stock units, and 3,576 Shares to be issued upon vesting of restricted stock units, in each case that were granted to Mr. Casdin in connection with his service on the board of directors of the Issuer. Keith Meister has the sole power to vote or to direct the vote and sole power to dispose or to direct the disposition of 4,819,482 Shares and shared power to vote or direct the vote and shared power to dispose or to direct the disposition of 537,285 Shares. The Shares reflected as beneficially owned by Mr. Meister include 333,144 Shares and 204,141 Shares issuable upon the exercise of 204,141 private placement warrants of the Issuer. On September 3, 2021, each private placement warrant became exercisable to purchase one Share at a price of $379.50 per share, subject to adjustment, as described in the definitive proxy statement of the Issuer (File No. 001-39482) filed with the SEC on July 2, 2021. CMLS Holdings LLC is the record holder of these Shares and warrants. The Board of Managers of CMLS Holdings LLC is comprised of Mr. Casdin and</w:t>
      </w:r>
    </w:p>
    <w:p>
      <w:pPr>
        <w:sectPr>
          <w:pgSz w:w="11900" w:h="16838" w:orient="portrait"/>
          <w:cols w:equalWidth="0" w:num="1">
            <w:col w:w="11160"/>
          </w:cols>
          <w:pgMar w:left="360" w:top="193" w:right="379" w:bottom="0" w:gutter="0" w:footer="0" w:header="0"/>
        </w:sectPr>
      </w:pPr>
    </w:p>
    <w:bookmarkStart w:id="9" w:name="page10"/>
    <w:bookmarkEnd w:id="9"/>
    <w:p>
      <w:pPr>
        <w:ind w:left="920" w:right="40"/>
        <w:spacing w:after="0" w:line="234" w:lineRule="auto"/>
        <w:rPr>
          <w:sz w:val="20"/>
          <w:szCs w:val="20"/>
          <w:color w:val="auto"/>
        </w:rPr>
      </w:pPr>
      <w:r>
        <w:rPr>
          <w:rFonts w:ascii="Times New Roman" w:cs="Times New Roman" w:eastAsia="Times New Roman" w:hAnsi="Times New Roman"/>
          <w:sz w:val="22"/>
          <w:szCs w:val="22"/>
          <w:color w:val="auto"/>
        </w:rPr>
        <w:t>Mr. Meister who share voting and investment discretion with respect to the Shares held of record by CMLS Holdings LLC. C-LSH LLC and M-LSH LLC are the members of CMLS Holdings LLC, and Mr. Meister is the managing member of M-LSH LLC. As such, each of the foregoing may be deemed to have or share beneficial ownership of the Shares held directly by CMLS Holdings LLC. The Shares reflected as beneficially owned by Mr. Meister include 4,784,570 Shares owned by investment funds advised by Corvex Management LP, which may be deemed to be indirectly beneficially owned by Keith Meister by virtue of Mr. Meister's control of the general partner of Corvex Management LP. The Shares reflected as beneficially owned by Mr. Meister also include 11,207 Shares issuable upon the exercise of fully vested options, 20,129 Shares that were issued upon the vesting of restricted stock units, and 3,576 Shares to be issued upon vesting of restricted stock units within 60 days, in each case that were granted to Mr. Meister in connection with his service on the board of directors of the Issuer.</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transactions by the Reporting Persons in Shares since the previous Schedule 13D amendment are set forth in</w:t>
      </w:r>
    </w:p>
    <w:p>
      <w:pPr>
        <w:spacing w:after="0" w:line="14" w:lineRule="exact"/>
        <w:rPr>
          <w:sz w:val="20"/>
          <w:szCs w:val="20"/>
          <w:color w:val="auto"/>
        </w:rPr>
      </w:pPr>
    </w:p>
    <w:p>
      <w:pPr>
        <w:ind w:left="920" w:right="120" w:hanging="912"/>
        <w:spacing w:after="0" w:line="237"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99.1 and such information is incorporated herein by reference. All such transactions were carried out in open market transactions.</w:t>
      </w:r>
    </w:p>
    <w:p>
      <w:pPr>
        <w:spacing w:after="0" w:line="16" w:lineRule="exact"/>
        <w:rPr>
          <w:rFonts w:ascii="Times New Roman" w:cs="Times New Roman" w:eastAsia="Times New Roman" w:hAnsi="Times New Roman"/>
          <w:sz w:val="22"/>
          <w:szCs w:val="22"/>
          <w:color w:val="auto"/>
        </w:rPr>
      </w:pPr>
    </w:p>
    <w:p>
      <w:pPr>
        <w:ind w:left="920" w:right="1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Shares beneficially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Schedule of Transactions in Shares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CMLS HOLDINGS LLC</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Eli Casdin / Manager</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C-LSH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M-LSH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A. Meister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Keith A. Meister / Managing Member</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Eli Casdin / Managing Member of Casdin</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Partners 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Eli Casdin</w:t>
      </w:r>
    </w:p>
    <w:p>
      <w:pPr>
        <w:spacing w:after="0" w:line="152"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Eli Casdin / Self</w:t>
      </w:r>
    </w:p>
    <w:p>
      <w:pPr>
        <w:spacing w:after="0" w:line="44"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Meister, Keith A.</w:t>
      </w:r>
    </w:p>
    <w:p>
      <w:pPr>
        <w:sectPr>
          <w:pgSz w:w="11900" w:h="16838" w:orient="portrait"/>
          <w:cols w:equalWidth="0" w:num="1">
            <w:col w:w="11140"/>
          </w:cols>
          <w:pgMar w:left="360" w:top="111" w:right="399" w:bottom="0" w:gutter="0" w:footer="0" w:header="0"/>
        </w:sectPr>
      </w:pPr>
    </w:p>
    <w:bookmarkStart w:id="10" w:name="page11"/>
    <w:bookmarkEnd w:id="10"/>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Meister</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Keith Meister / Self</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Corvex Management LP</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Meister</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1"/>
          <w:szCs w:val="21"/>
          <w:color w:val="auto"/>
        </w:rPr>
        <w:t>Name/Title: Keith Meister / Managing Partner</w:t>
      </w:r>
    </w:p>
    <w:p>
      <w:pPr>
        <w:spacing w:after="0" w:line="56"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9019"/>
          </w:cols>
          <w:pgMar w:left="1440" w:top="12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82"/>
        </w:trPr>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99.1</w:t>
            </w:r>
          </w:p>
        </w:tc>
      </w:tr>
      <w:tr>
        <w:trPr>
          <w:trHeight w:val="945"/>
        </w:trPr>
        <w:tc>
          <w:tcPr>
            <w:tcW w:w="1940" w:type="dxa"/>
            <w:vAlign w:val="bottom"/>
          </w:tcPr>
          <w:p>
            <w:pPr>
              <w:spacing w:after="0"/>
              <w:rPr>
                <w:sz w:val="24"/>
                <w:szCs w:val="24"/>
                <w:color w:val="auto"/>
              </w:rPr>
            </w:pPr>
          </w:p>
        </w:tc>
        <w:tc>
          <w:tcPr>
            <w:tcW w:w="7260" w:type="dxa"/>
            <w:vAlign w:val="bottom"/>
            <w:gridSpan w:val="3"/>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Schedule of Transactions in Shares</w:t>
            </w:r>
          </w:p>
        </w:tc>
        <w:tc>
          <w:tcPr>
            <w:tcW w:w="2040" w:type="dxa"/>
            <w:vAlign w:val="bottom"/>
          </w:tcPr>
          <w:p>
            <w:pPr>
              <w:spacing w:after="0"/>
              <w:rPr>
                <w:sz w:val="24"/>
                <w:szCs w:val="24"/>
                <w:color w:val="auto"/>
              </w:rPr>
            </w:pPr>
          </w:p>
        </w:tc>
      </w:tr>
      <w:tr>
        <w:trPr>
          <w:trHeight w:val="690"/>
        </w:trPr>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Date of Transaction</w:t>
            </w:r>
          </w:p>
        </w:tc>
        <w:tc>
          <w:tcPr>
            <w:tcW w:w="23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Reporting Person</w:t>
            </w:r>
          </w:p>
        </w:tc>
        <w:tc>
          <w:tcPr>
            <w:tcW w:w="23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Title of Class</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Number of Shares Acquired</w:t>
            </w:r>
          </w:p>
        </w:tc>
        <w:tc>
          <w:tcPr>
            <w:tcW w:w="20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Price Per</w:t>
            </w:r>
          </w:p>
        </w:tc>
      </w:tr>
      <w:tr>
        <w:trPr>
          <w:trHeight w:val="282"/>
        </w:trPr>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8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(Disposed)</w:t>
            </w:r>
          </w:p>
        </w:tc>
        <w:tc>
          <w:tcPr>
            <w:tcW w:w="20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Share (1)</w:t>
            </w:r>
          </w:p>
        </w:tc>
      </w:tr>
      <w:tr>
        <w:trPr>
          <w:trHeight w:val="238"/>
        </w:trPr>
        <w:tc>
          <w:tcPr>
            <w:tcW w:w="19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r>
        <w:trPr>
          <w:trHeight w:val="459"/>
        </w:trPr>
        <w:tc>
          <w:tcPr>
            <w:tcW w:w="194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7"/>
              </w:rPr>
              <w:t>05/13/2026</w:t>
            </w: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jc w:val="right"/>
              <w:ind w:right="1612"/>
              <w:spacing w:after="0"/>
              <w:rPr>
                <w:sz w:val="20"/>
                <w:szCs w:val="20"/>
                <w:color w:val="auto"/>
              </w:rPr>
            </w:pPr>
            <w:r>
              <w:rPr>
                <w:rFonts w:ascii="Times New Roman" w:cs="Times New Roman" w:eastAsia="Times New Roman" w:hAnsi="Times New Roman"/>
                <w:sz w:val="22"/>
                <w:szCs w:val="22"/>
                <w:color w:val="auto"/>
              </w:rPr>
              <w:t>94,074</w:t>
            </w:r>
          </w:p>
        </w:tc>
        <w:tc>
          <w:tcPr>
            <w:tcW w:w="204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$38.82</w:t>
            </w:r>
          </w:p>
        </w:tc>
      </w:tr>
      <w:tr>
        <w:trPr>
          <w:trHeight w:val="243"/>
        </w:trPr>
        <w:tc>
          <w:tcPr>
            <w:tcW w:w="194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w w:val="97"/>
              </w:rPr>
              <w:t>05/13/2026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jc w:val="right"/>
              <w:ind w:right="1612"/>
              <w:spacing w:after="0" w:line="243" w:lineRule="exact"/>
              <w:rPr>
                <w:sz w:val="20"/>
                <w:szCs w:val="20"/>
                <w:color w:val="auto"/>
              </w:rPr>
            </w:pPr>
            <w:r>
              <w:rPr>
                <w:rFonts w:ascii="Times New Roman" w:cs="Times New Roman" w:eastAsia="Times New Roman" w:hAnsi="Times New Roman"/>
                <w:sz w:val="22"/>
                <w:szCs w:val="22"/>
                <w:color w:val="auto"/>
              </w:rPr>
              <w:t>70,926</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$39.45</w:t>
            </w:r>
          </w:p>
        </w:tc>
      </w:tr>
      <w:tr>
        <w:trPr>
          <w:trHeight w:val="243"/>
        </w:trPr>
        <w:tc>
          <w:tcPr>
            <w:tcW w:w="194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w w:val="97"/>
              </w:rPr>
              <w:t>05/14/2026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jc w:val="right"/>
              <w:ind w:right="1612"/>
              <w:spacing w:after="0" w:line="243" w:lineRule="exact"/>
              <w:rPr>
                <w:sz w:val="20"/>
                <w:szCs w:val="20"/>
                <w:color w:val="auto"/>
              </w:rPr>
            </w:pPr>
            <w:r>
              <w:rPr>
                <w:rFonts w:ascii="Times New Roman" w:cs="Times New Roman" w:eastAsia="Times New Roman" w:hAnsi="Times New Roman"/>
                <w:sz w:val="22"/>
                <w:szCs w:val="22"/>
                <w:color w:val="auto"/>
              </w:rPr>
              <w:t>88,107</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$39.08</w:t>
            </w:r>
          </w:p>
        </w:tc>
      </w:tr>
      <w:tr>
        <w:trPr>
          <w:trHeight w:val="243"/>
        </w:trPr>
        <w:tc>
          <w:tcPr>
            <w:tcW w:w="194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w w:val="97"/>
              </w:rPr>
              <w:t>05/14/2026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jc w:val="right"/>
              <w:ind w:right="1612"/>
              <w:spacing w:after="0" w:line="243" w:lineRule="exact"/>
              <w:rPr>
                <w:sz w:val="20"/>
                <w:szCs w:val="20"/>
                <w:color w:val="auto"/>
              </w:rPr>
            </w:pPr>
            <w:r>
              <w:rPr>
                <w:rFonts w:ascii="Times New Roman" w:cs="Times New Roman" w:eastAsia="Times New Roman" w:hAnsi="Times New Roman"/>
                <w:sz w:val="22"/>
                <w:szCs w:val="22"/>
                <w:color w:val="auto"/>
              </w:rPr>
              <w:t>51,893</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$39.92</w:t>
            </w:r>
          </w:p>
        </w:tc>
      </w:tr>
      <w:tr>
        <w:trPr>
          <w:trHeight w:val="243"/>
        </w:trPr>
        <w:tc>
          <w:tcPr>
            <w:tcW w:w="194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w w:val="97"/>
              </w:rPr>
              <w:t>05/15/2026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jc w:val="right"/>
              <w:ind w:right="1612"/>
              <w:spacing w:after="0" w:line="243" w:lineRule="exact"/>
              <w:rPr>
                <w:sz w:val="20"/>
                <w:szCs w:val="20"/>
                <w:color w:val="auto"/>
              </w:rPr>
            </w:pPr>
            <w:r>
              <w:rPr>
                <w:rFonts w:ascii="Times New Roman" w:cs="Times New Roman" w:eastAsia="Times New Roman" w:hAnsi="Times New Roman"/>
                <w:sz w:val="22"/>
                <w:szCs w:val="22"/>
                <w:color w:val="auto"/>
              </w:rPr>
              <w:t>27,408</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$38.28</w:t>
            </w:r>
          </w:p>
        </w:tc>
      </w:tr>
      <w:tr>
        <w:trPr>
          <w:trHeight w:val="282"/>
        </w:trPr>
        <w:tc>
          <w:tcPr>
            <w:tcW w:w="194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97"/>
              </w:rPr>
              <w:t>05/15/2026</w:t>
            </w: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jc w:val="right"/>
              <w:ind w:right="1612"/>
              <w:spacing w:after="0"/>
              <w:rPr>
                <w:sz w:val="20"/>
                <w:szCs w:val="20"/>
                <w:color w:val="auto"/>
              </w:rPr>
            </w:pPr>
            <w:r>
              <w:rPr>
                <w:rFonts w:ascii="Times New Roman" w:cs="Times New Roman" w:eastAsia="Times New Roman" w:hAnsi="Times New Roman"/>
                <w:sz w:val="22"/>
                <w:szCs w:val="22"/>
                <w:color w:val="auto"/>
              </w:rPr>
              <w:t>18,865</w:t>
            </w:r>
          </w:p>
        </w:tc>
        <w:tc>
          <w:tcPr>
            <w:tcW w:w="204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$39.83</w:t>
            </w:r>
          </w:p>
        </w:tc>
      </w:tr>
    </w:tbl>
    <w:p>
      <w:pPr>
        <w:spacing w:after="0" w:line="204" w:lineRule="exact"/>
        <w:rPr>
          <w:sz w:val="20"/>
          <w:szCs w:val="20"/>
          <w:color w:val="auto"/>
        </w:rPr>
      </w:pPr>
    </w:p>
    <w:p>
      <w:pPr>
        <w:jc w:val="both"/>
        <w:ind w:firstLine="8"/>
        <w:spacing w:after="0" w:line="239" w:lineRule="auto"/>
        <w:tabs>
          <w:tab w:leader="none" w:pos="31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prices in each of the following rows are weighted average prices. These shares were purchased in multiple transactions. The Reporting Persons undertake to provide the staff of the Securities and Exchange Commission, upon request, full information regarding the number of shares purchased at each separate price. All such transactions were carried out in open market transactions.</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2026-05-15T18:06:30Z</dcterms:created>
  <dcterms:modified xsi:type="dcterms:W3CDTF">2026-05-15T18:06:30Z</dcterms:modified>
</cp:coreProperties>
</file>