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Arial" w:cs="Arial" w:eastAsia="Arial" w:hAnsi="Arial"/>
                <w:sz w:val="21"/>
                <w:szCs w:val="21"/>
                <w:color w:val="0000EE"/>
                <w:w w:val="88"/>
              </w:rPr>
            </w:pPr>
            <w:hyperlink r:id="rId12">
              <w:r>
                <w:rPr>
                  <w:rFonts w:ascii="Arial" w:cs="Arial" w:eastAsia="Arial" w:hAnsi="Arial"/>
                  <w:sz w:val="21"/>
                  <w:szCs w:val="21"/>
                  <w:color w:val="0000EE"/>
                  <w:w w:val="88"/>
                </w:rPr>
                <w:t>Assad Shawn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Arial" w:cs="Arial" w:eastAsia="Arial" w:hAnsi="Arial"/>
                <w:sz w:val="17"/>
                <w:szCs w:val="17"/>
                <w:color w:val="0000FF"/>
              </w:rPr>
              <w:t>11/10/2021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37"/>
        <w:spacing w:after="0"/>
        <w:rPr>
          <w:sz w:val="20"/>
          <w:szCs w:val="20"/>
          <w:color w:val="auto"/>
        </w:rPr>
      </w:pPr>
      <w:r>
        <w:rPr>
          <w:rFonts w:ascii="Arial" w:cs="Arial" w:eastAsia="Arial" w:hAnsi="Arial"/>
          <w:sz w:val="17"/>
          <w:szCs w:val="17"/>
          <w:color w:val="0000FF"/>
        </w:rPr>
        <w:t>Chief Accounting Officer</w:t>
      </w:r>
    </w:p>
    <w:p>
      <w:pPr>
        <w:spacing w:after="0" w:line="38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1"/>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CT</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ind w:left="900"/>
              <w:spacing w:after="0"/>
              <w:rPr>
                <w:sz w:val="20"/>
                <w:szCs w:val="20"/>
                <w:color w:val="auto"/>
              </w:rPr>
            </w:pPr>
            <w:r>
              <w:rPr>
                <w:rFonts w:ascii="Arial" w:cs="Arial" w:eastAsia="Arial" w:hAnsi="Arial"/>
                <w:sz w:val="17"/>
                <w:szCs w:val="17"/>
                <w:color w:val="0000FF"/>
              </w:rPr>
              <w:t>11/10/2021</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0000FF"/>
              </w:rPr>
              <w:t>10,457</w:t>
            </w:r>
          </w:p>
        </w:tc>
        <w:tc>
          <w:tcPr>
            <w:tcW w:w="600" w:type="dxa"/>
            <w:vAlign w:val="bottom"/>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15"/>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Arial" w:cs="Arial" w:eastAsia="Arial" w:hAnsi="Arial"/>
                <w:sz w:val="17"/>
                <w:szCs w:val="17"/>
                <w:color w:val="0000FF"/>
              </w:rPr>
              <w:t>20,914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11/10/2021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3,114</w:t>
            </w: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7.87</w:t>
            </w:r>
          </w:p>
        </w:tc>
        <w:tc>
          <w:tcPr>
            <w:tcW w:w="130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17,800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10,457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11/10/2021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M</w:t>
            </w:r>
          </w:p>
        </w:tc>
        <w:tc>
          <w:tcPr>
            <w:tcW w:w="920" w:type="dxa"/>
            <w:vAlign w:val="bottom"/>
            <w:vMerge w:val="restart"/>
          </w:tcPr>
          <w:p>
            <w:pPr>
              <w:ind w:left="460"/>
              <w:spacing w:after="0" w:line="142" w:lineRule="exact"/>
              <w:rPr>
                <w:sz w:val="20"/>
                <w:szCs w:val="20"/>
                <w:color w:val="auto"/>
              </w:rPr>
            </w:pPr>
            <w:r>
              <w:rPr>
                <w:rFonts w:ascii="Arial" w:cs="Arial" w:eastAsia="Arial" w:hAnsi="Arial"/>
                <w:sz w:val="13"/>
                <w:szCs w:val="13"/>
                <w:color w:val="0000FF"/>
              </w:rPr>
              <w:t>10,457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restart"/>
          </w:tcPr>
          <w:p>
            <w:pPr>
              <w:ind w:left="2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Arial" w:cs="Arial" w:eastAsia="Arial" w:hAnsi="Arial"/>
                <w:sz w:val="13"/>
                <w:szCs w:val="13"/>
                <w:color w:val="0000FF"/>
              </w:rPr>
              <w:t>146,408</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6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5" w:lineRule="exact"/>
        <w:rPr>
          <w:rFonts w:ascii="Arial" w:cs="Arial" w:eastAsia="Arial" w:hAnsi="Arial"/>
          <w:sz w:val="13"/>
          <w:szCs w:val="13"/>
          <w:color w:val="008000"/>
        </w:rPr>
      </w:pPr>
    </w:p>
    <w:p>
      <w:pPr>
        <w:ind w:left="40" w:right="3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1/16th of the total shares vested on October 25, 2021 and November 10, 2021, and thereafter vests as to 1/16th of the total shares underlying the award in quarterly installments until fully vested on May 10, 2025, subject to the Reporting Person's continued service to the Issuer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11/15/2021</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8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2021-11-15T17:00:16Z</dcterms:created>
  <dcterms:modified xsi:type="dcterms:W3CDTF">2021-11-15T17:00:16Z</dcterms:modified>
</cp:coreProperties>
</file>