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13D</w:t>
      </w:r>
    </w:p>
    <w:p>
      <w:pPr>
        <w:spacing w:after="0" w:line="2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228600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63"/>
        <w:spacing w:after="0"/>
        <w:rPr>
          <w:sz w:val="20"/>
          <w:szCs w:val="20"/>
          <w:color w:val="auto"/>
        </w:rPr>
      </w:pPr>
      <w:r>
        <w:rPr>
          <w:rFonts w:ascii="Arial" w:cs="Arial" w:eastAsia="Arial" w:hAnsi="Arial"/>
          <w:sz w:val="43"/>
          <w:szCs w:val="43"/>
          <w:b w:val="1"/>
          <w:bCs w:val="1"/>
          <w:color w:val="auto"/>
        </w:rPr>
        <w:t>Sema4 Holdings Corp.</w:t>
      </w:r>
    </w:p>
    <w:p>
      <w:pPr>
        <w:spacing w:after="0" w:line="50"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Class A Common Stock, par value $0.0001 per share</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81663L101</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ind w:left="4944"/>
        <w:spacing w:after="0"/>
        <w:rPr>
          <w:sz w:val="20"/>
          <w:szCs w:val="20"/>
          <w:color w:val="auto"/>
        </w:rPr>
      </w:pPr>
      <w:r>
        <w:rPr>
          <w:rFonts w:ascii="Arial" w:cs="Arial" w:eastAsia="Arial" w:hAnsi="Arial"/>
          <w:sz w:val="18"/>
          <w:szCs w:val="18"/>
          <w:b w:val="1"/>
          <w:bCs w:val="1"/>
          <w:color w:val="auto"/>
        </w:rPr>
        <w:t>John G. Finley</w:t>
      </w:r>
    </w:p>
    <w:p>
      <w:pPr>
        <w:spacing w:after="0" w:line="27" w:lineRule="exact"/>
        <w:rPr>
          <w:sz w:val="24"/>
          <w:szCs w:val="24"/>
          <w:color w:val="auto"/>
        </w:rPr>
      </w:pPr>
    </w:p>
    <w:p>
      <w:pPr>
        <w:ind w:left="4924"/>
        <w:spacing w:after="0"/>
        <w:rPr>
          <w:sz w:val="20"/>
          <w:szCs w:val="20"/>
          <w:color w:val="auto"/>
        </w:rPr>
      </w:pPr>
      <w:r>
        <w:rPr>
          <w:rFonts w:ascii="Arial" w:cs="Arial" w:eastAsia="Arial" w:hAnsi="Arial"/>
          <w:sz w:val="18"/>
          <w:szCs w:val="18"/>
          <w:b w:val="1"/>
          <w:bCs w:val="1"/>
          <w:color w:val="auto"/>
        </w:rPr>
        <w:t>Blackstone Inc.</w:t>
      </w:r>
    </w:p>
    <w:p>
      <w:pPr>
        <w:spacing w:after="0" w:line="9" w:lineRule="exact"/>
        <w:rPr>
          <w:sz w:val="24"/>
          <w:szCs w:val="24"/>
          <w:color w:val="auto"/>
        </w:rPr>
      </w:pPr>
    </w:p>
    <w:p>
      <w:pPr>
        <w:ind w:left="4444" w:right="4380" w:firstLine="416"/>
        <w:spacing w:after="0" w:line="281" w:lineRule="auto"/>
        <w:tabs>
          <w:tab w:leader="none" w:pos="5168"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Park Avenue New York, New York 10154</w:t>
      </w:r>
    </w:p>
    <w:p>
      <w:pPr>
        <w:spacing w:after="0" w:line="1" w:lineRule="exact"/>
        <w:rPr>
          <w:rFonts w:ascii="Arial" w:cs="Arial" w:eastAsia="Arial" w:hAnsi="Arial"/>
          <w:sz w:val="16"/>
          <w:szCs w:val="16"/>
          <w:b w:val="1"/>
          <w:bCs w:val="1"/>
          <w:color w:val="auto"/>
        </w:rPr>
      </w:pPr>
    </w:p>
    <w:p>
      <w:pPr>
        <w:ind w:left="4784"/>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Tel: (212) 583-5000</w:t>
      </w:r>
    </w:p>
    <w:p>
      <w:pPr>
        <w:spacing w:after="0" w:line="2"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April 29, 2022</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 w:right="12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93" w:lineRule="exact"/>
        <w:rPr>
          <w:sz w:val="24"/>
          <w:szCs w:val="24"/>
          <w:color w:val="auto"/>
        </w:rPr>
      </w:pPr>
    </w:p>
    <w:p>
      <w:pPr>
        <w:ind w:left="4" w:right="28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13d-7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67" w:lineRule="exact"/>
        <w:rPr>
          <w:sz w:val="24"/>
          <w:szCs w:val="24"/>
          <w:color w:val="auto"/>
        </w:rPr>
      </w:pPr>
    </w:p>
    <w:p>
      <w:pPr>
        <w:ind w:left="424" w:hanging="424"/>
        <w:spacing w:after="0" w:line="308" w:lineRule="auto"/>
        <w:tabs>
          <w:tab w:leader="none" w:pos="424"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4" w:right="2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202565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4"/>
          </w:cols>
          <w:pgMar w:left="436" w:top="368" w:right="5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81663L101</w:t>
      </w:r>
    </w:p>
    <w:p>
      <w:pPr>
        <w:spacing w:after="0" w:line="266" w:lineRule="exact"/>
        <w:rPr>
          <w:sz w:val="20"/>
          <w:szCs w:val="20"/>
          <w:color w:val="auto"/>
        </w:rPr>
      </w:pPr>
    </w:p>
    <w:p>
      <w:pPr>
        <w:ind w:left="620" w:hanging="377"/>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6111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BTO Sema4 Holdings L.P.</w:t>
      </w:r>
    </w:p>
    <w:p>
      <w:pPr>
        <w:spacing w:after="0" w:line="36" w:lineRule="exact"/>
        <w:rPr>
          <w:sz w:val="20"/>
          <w:szCs w:val="20"/>
          <w:color w:val="auto"/>
        </w:rPr>
      </w:pPr>
    </w:p>
    <w:p>
      <w:pPr>
        <w:ind w:left="620" w:hanging="377"/>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894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60" w:type="dxa"/>
            <w:vAlign w:val="bottom"/>
          </w:tcPr>
          <w:p>
            <w:pPr>
              <w:spacing w:after="0"/>
              <w:rPr>
                <w:sz w:val="24"/>
                <w:szCs w:val="24"/>
                <w:color w:val="auto"/>
              </w:rPr>
            </w:pPr>
          </w:p>
        </w:tc>
        <w:tc>
          <w:tcPr>
            <w:tcW w:w="8940" w:type="dxa"/>
            <w:vAlign w:val="bottom"/>
          </w:tcPr>
          <w:p>
            <w:pPr>
              <w:ind w:left="160"/>
              <w:spacing w:after="0"/>
              <w:rPr>
                <w:sz w:val="20"/>
                <w:szCs w:val="20"/>
                <w:color w:val="auto"/>
              </w:rPr>
            </w:pPr>
            <w:r>
              <w:rPr>
                <w:rFonts w:ascii="Arial" w:cs="Arial" w:eastAsia="Arial" w:hAnsi="Arial"/>
                <w:sz w:val="18"/>
                <w:szCs w:val="18"/>
                <w:color w:val="auto"/>
              </w:rPr>
              <w:t>26,839,187</w:t>
            </w:r>
          </w:p>
        </w:tc>
        <w:tc>
          <w:tcPr>
            <w:tcW w:w="0" w:type="dxa"/>
            <w:vAlign w:val="bottom"/>
          </w:tcPr>
          <w:p>
            <w:pPr>
              <w:spacing w:after="0"/>
              <w:rPr>
                <w:sz w:val="1"/>
                <w:szCs w:val="1"/>
                <w:color w:val="auto"/>
              </w:rPr>
            </w:pPr>
          </w:p>
        </w:tc>
      </w:tr>
      <w:tr>
        <w:trPr>
          <w:trHeight w:val="67"/>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00" w:type="dxa"/>
            <w:vAlign w:val="bottom"/>
            <w:vMerge w:val="continue"/>
          </w:tcPr>
          <w:p>
            <w:pPr>
              <w:spacing w:after="0"/>
              <w:rPr>
                <w:sz w:val="11"/>
                <w:szCs w:val="11"/>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8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0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26,839,187</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894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20" w:right="3740" w:hanging="467"/>
        <w:spacing w:after="0" w:line="406" w:lineRule="auto"/>
        <w:tabs>
          <w:tab w:leader="none" w:pos="610" w:val="left"/>
        </w:tabs>
        <w:numPr>
          <w:ilvl w:val="0"/>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26,839,187</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140" w:hanging="467"/>
        <w:spacing w:after="0" w:line="402" w:lineRule="auto"/>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(11) 7.1%</w:t>
      </w:r>
    </w:p>
    <w:p>
      <w:pPr>
        <w:spacing w:after="0" w:line="1" w:lineRule="exact"/>
        <w:rPr>
          <w:rFonts w:ascii="Arial" w:cs="Arial" w:eastAsia="Arial" w:hAnsi="Arial"/>
          <w:sz w:val="18"/>
          <w:szCs w:val="18"/>
          <w:color w:val="auto"/>
        </w:rPr>
      </w:pPr>
    </w:p>
    <w:p>
      <w:pPr>
        <w:ind w:left="620" w:right="5960" w:hanging="467"/>
        <w:spacing w:after="0" w:line="493" w:lineRule="auto"/>
        <w:tabs>
          <w:tab w:leader="none" w:pos="617"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 PN</w:t>
      </w: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440" w:top="274" w:right="5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81663L101</w:t>
      </w:r>
    </w:p>
    <w:p>
      <w:pPr>
        <w:spacing w:after="0" w:line="266" w:lineRule="exact"/>
        <w:rPr>
          <w:sz w:val="20"/>
          <w:szCs w:val="20"/>
          <w:color w:val="auto"/>
        </w:rPr>
      </w:pPr>
    </w:p>
    <w:p>
      <w:pPr>
        <w:ind w:left="620" w:hanging="377"/>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6111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BTO Holdings Manager L.L.C.</w:t>
      </w:r>
    </w:p>
    <w:p>
      <w:pPr>
        <w:spacing w:after="0" w:line="36" w:lineRule="exact"/>
        <w:rPr>
          <w:sz w:val="20"/>
          <w:szCs w:val="20"/>
          <w:color w:val="auto"/>
        </w:rPr>
      </w:pPr>
    </w:p>
    <w:p>
      <w:pPr>
        <w:ind w:left="620" w:hanging="377"/>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894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60" w:type="dxa"/>
            <w:vAlign w:val="bottom"/>
          </w:tcPr>
          <w:p>
            <w:pPr>
              <w:spacing w:after="0"/>
              <w:rPr>
                <w:sz w:val="24"/>
                <w:szCs w:val="24"/>
                <w:color w:val="auto"/>
              </w:rPr>
            </w:pPr>
          </w:p>
        </w:tc>
        <w:tc>
          <w:tcPr>
            <w:tcW w:w="8940" w:type="dxa"/>
            <w:vAlign w:val="bottom"/>
          </w:tcPr>
          <w:p>
            <w:pPr>
              <w:ind w:left="160"/>
              <w:spacing w:after="0"/>
              <w:rPr>
                <w:sz w:val="20"/>
                <w:szCs w:val="20"/>
                <w:color w:val="auto"/>
              </w:rPr>
            </w:pPr>
            <w:r>
              <w:rPr>
                <w:rFonts w:ascii="Arial" w:cs="Arial" w:eastAsia="Arial" w:hAnsi="Arial"/>
                <w:sz w:val="18"/>
                <w:szCs w:val="18"/>
                <w:color w:val="auto"/>
              </w:rPr>
              <w:t>26,839,187</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00" w:type="dxa"/>
            <w:vAlign w:val="bottom"/>
            <w:vMerge w:val="continue"/>
          </w:tcPr>
          <w:p>
            <w:pPr>
              <w:spacing w:after="0"/>
              <w:rPr>
                <w:sz w:val="11"/>
                <w:szCs w:val="11"/>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8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0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26,839,187</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894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20" w:right="3740" w:hanging="467"/>
        <w:spacing w:after="0" w:line="406" w:lineRule="auto"/>
        <w:tabs>
          <w:tab w:leader="none" w:pos="61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26,839,187</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140" w:hanging="467"/>
        <w:spacing w:after="0" w:line="402"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7.1%</w:t>
      </w:r>
    </w:p>
    <w:p>
      <w:pPr>
        <w:spacing w:after="0" w:line="1" w:lineRule="exact"/>
        <w:rPr>
          <w:rFonts w:ascii="Arial" w:cs="Arial" w:eastAsia="Arial" w:hAnsi="Arial"/>
          <w:sz w:val="18"/>
          <w:szCs w:val="18"/>
          <w:color w:val="auto"/>
        </w:rPr>
      </w:pPr>
    </w:p>
    <w:p>
      <w:pPr>
        <w:ind w:left="620" w:right="5960" w:hanging="467"/>
        <w:spacing w:after="0" w:line="559" w:lineRule="auto"/>
        <w:tabs>
          <w:tab w:leader="none" w:pos="617" w:val="left"/>
        </w:tabs>
        <w:numPr>
          <w:ilvl w:val="0"/>
          <w:numId w:val="16"/>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440" w:top="274" w:right="5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81663L101</w:t>
      </w:r>
    </w:p>
    <w:p>
      <w:pPr>
        <w:spacing w:after="0" w:line="266" w:lineRule="exact"/>
        <w:rPr>
          <w:sz w:val="20"/>
          <w:szCs w:val="20"/>
          <w:color w:val="auto"/>
        </w:rPr>
      </w:pPr>
    </w:p>
    <w:p>
      <w:pPr>
        <w:ind w:left="620" w:hanging="377"/>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6111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Blackstone Tactical Opportunities Associates L.L.C.</w:t>
      </w:r>
    </w:p>
    <w:p>
      <w:pPr>
        <w:spacing w:after="0" w:line="36" w:lineRule="exact"/>
        <w:rPr>
          <w:sz w:val="20"/>
          <w:szCs w:val="20"/>
          <w:color w:val="auto"/>
        </w:rPr>
      </w:pPr>
    </w:p>
    <w:p>
      <w:pPr>
        <w:ind w:left="620" w:hanging="377"/>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894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60" w:type="dxa"/>
            <w:vAlign w:val="bottom"/>
          </w:tcPr>
          <w:p>
            <w:pPr>
              <w:spacing w:after="0"/>
              <w:rPr>
                <w:sz w:val="24"/>
                <w:szCs w:val="24"/>
                <w:color w:val="auto"/>
              </w:rPr>
            </w:pPr>
          </w:p>
        </w:tc>
        <w:tc>
          <w:tcPr>
            <w:tcW w:w="8940" w:type="dxa"/>
            <w:vAlign w:val="bottom"/>
          </w:tcPr>
          <w:p>
            <w:pPr>
              <w:ind w:left="160"/>
              <w:spacing w:after="0"/>
              <w:rPr>
                <w:sz w:val="20"/>
                <w:szCs w:val="20"/>
                <w:color w:val="auto"/>
              </w:rPr>
            </w:pPr>
            <w:r>
              <w:rPr>
                <w:rFonts w:ascii="Arial" w:cs="Arial" w:eastAsia="Arial" w:hAnsi="Arial"/>
                <w:sz w:val="18"/>
                <w:szCs w:val="18"/>
                <w:color w:val="auto"/>
              </w:rPr>
              <w:t>26,839,187</w:t>
            </w:r>
          </w:p>
        </w:tc>
        <w:tc>
          <w:tcPr>
            <w:tcW w:w="0" w:type="dxa"/>
            <w:vAlign w:val="bottom"/>
          </w:tcPr>
          <w:p>
            <w:pPr>
              <w:spacing w:after="0"/>
              <w:rPr>
                <w:sz w:val="1"/>
                <w:szCs w:val="1"/>
                <w:color w:val="auto"/>
              </w:rPr>
            </w:pPr>
          </w:p>
        </w:tc>
      </w:tr>
      <w:tr>
        <w:trPr>
          <w:trHeight w:val="67"/>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00" w:type="dxa"/>
            <w:vAlign w:val="bottom"/>
            <w:vMerge w:val="continue"/>
          </w:tcPr>
          <w:p>
            <w:pPr>
              <w:spacing w:after="0"/>
              <w:rPr>
                <w:sz w:val="11"/>
                <w:szCs w:val="11"/>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8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0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26,839,187</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894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20" w:right="3740" w:hanging="467"/>
        <w:spacing w:after="0" w:line="406" w:lineRule="auto"/>
        <w:tabs>
          <w:tab w:leader="none" w:pos="61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26,839,187</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140" w:hanging="467"/>
        <w:spacing w:after="0" w:line="402" w:lineRule="auto"/>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PERCENT OF CLASS REPRESENTED BY AMOUNT IN ROW (11) 7.1%</w:t>
      </w:r>
    </w:p>
    <w:p>
      <w:pPr>
        <w:spacing w:after="0" w:line="1" w:lineRule="exact"/>
        <w:rPr>
          <w:rFonts w:ascii="Arial" w:cs="Arial" w:eastAsia="Arial" w:hAnsi="Arial"/>
          <w:sz w:val="18"/>
          <w:szCs w:val="18"/>
          <w:color w:val="auto"/>
        </w:rPr>
      </w:pPr>
    </w:p>
    <w:p>
      <w:pPr>
        <w:ind w:left="620" w:right="5960" w:hanging="467"/>
        <w:spacing w:after="0" w:line="493" w:lineRule="auto"/>
        <w:tabs>
          <w:tab w:leader="none" w:pos="61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440" w:top="274" w:right="5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81663L101</w:t>
      </w:r>
    </w:p>
    <w:p>
      <w:pPr>
        <w:spacing w:after="0" w:line="266" w:lineRule="exact"/>
        <w:rPr>
          <w:sz w:val="20"/>
          <w:szCs w:val="20"/>
          <w:color w:val="auto"/>
        </w:rPr>
      </w:pPr>
    </w:p>
    <w:p>
      <w:pPr>
        <w:ind w:left="620" w:hanging="377"/>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6111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BTOA L.L.C.</w:t>
      </w:r>
    </w:p>
    <w:p>
      <w:pPr>
        <w:spacing w:after="0" w:line="36" w:lineRule="exact"/>
        <w:rPr>
          <w:sz w:val="20"/>
          <w:szCs w:val="20"/>
          <w:color w:val="auto"/>
        </w:rPr>
      </w:pPr>
    </w:p>
    <w:p>
      <w:pPr>
        <w:ind w:left="620" w:hanging="377"/>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894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60" w:type="dxa"/>
            <w:vAlign w:val="bottom"/>
          </w:tcPr>
          <w:p>
            <w:pPr>
              <w:spacing w:after="0"/>
              <w:rPr>
                <w:sz w:val="24"/>
                <w:szCs w:val="24"/>
                <w:color w:val="auto"/>
              </w:rPr>
            </w:pPr>
          </w:p>
        </w:tc>
        <w:tc>
          <w:tcPr>
            <w:tcW w:w="8940" w:type="dxa"/>
            <w:vAlign w:val="bottom"/>
          </w:tcPr>
          <w:p>
            <w:pPr>
              <w:ind w:left="160"/>
              <w:spacing w:after="0"/>
              <w:rPr>
                <w:sz w:val="20"/>
                <w:szCs w:val="20"/>
                <w:color w:val="auto"/>
              </w:rPr>
            </w:pPr>
            <w:r>
              <w:rPr>
                <w:rFonts w:ascii="Arial" w:cs="Arial" w:eastAsia="Arial" w:hAnsi="Arial"/>
                <w:sz w:val="18"/>
                <w:szCs w:val="18"/>
                <w:color w:val="auto"/>
              </w:rPr>
              <w:t>26,839,187</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00" w:type="dxa"/>
            <w:vAlign w:val="bottom"/>
            <w:vMerge w:val="continue"/>
          </w:tcPr>
          <w:p>
            <w:pPr>
              <w:spacing w:after="0"/>
              <w:rPr>
                <w:sz w:val="11"/>
                <w:szCs w:val="11"/>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8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0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26,839,187</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894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20" w:right="3740" w:hanging="467"/>
        <w:spacing w:after="0" w:line="406" w:lineRule="auto"/>
        <w:tabs>
          <w:tab w:leader="none" w:pos="61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26,839,187</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140" w:hanging="467"/>
        <w:spacing w:after="0" w:line="402" w:lineRule="auto"/>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PERCENT OF CLASS REPRESENTED BY AMOUNT IN ROW (11) 7.1%</w:t>
      </w:r>
    </w:p>
    <w:p>
      <w:pPr>
        <w:spacing w:after="0" w:line="1" w:lineRule="exact"/>
        <w:rPr>
          <w:rFonts w:ascii="Arial" w:cs="Arial" w:eastAsia="Arial" w:hAnsi="Arial"/>
          <w:sz w:val="18"/>
          <w:szCs w:val="18"/>
          <w:color w:val="auto"/>
        </w:rPr>
      </w:pPr>
    </w:p>
    <w:p>
      <w:pPr>
        <w:ind w:left="620" w:right="5960" w:hanging="467"/>
        <w:spacing w:after="0" w:line="559" w:lineRule="auto"/>
        <w:tabs>
          <w:tab w:leader="none" w:pos="61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440" w:top="274" w:right="5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81663L101</w:t>
      </w:r>
    </w:p>
    <w:p>
      <w:pPr>
        <w:spacing w:after="0" w:line="266" w:lineRule="exact"/>
        <w:rPr>
          <w:sz w:val="20"/>
          <w:szCs w:val="20"/>
          <w:color w:val="auto"/>
        </w:rPr>
      </w:pPr>
    </w:p>
    <w:p>
      <w:pPr>
        <w:ind w:left="620" w:hanging="377"/>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6111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Blackstone Family Tactical Opportunities Investment Partnership III ESC L.P.</w:t>
      </w:r>
    </w:p>
    <w:p>
      <w:pPr>
        <w:spacing w:after="0" w:line="36" w:lineRule="exact"/>
        <w:rPr>
          <w:sz w:val="20"/>
          <w:szCs w:val="20"/>
          <w:color w:val="auto"/>
        </w:rPr>
      </w:pPr>
    </w:p>
    <w:p>
      <w:pPr>
        <w:ind w:left="620" w:hanging="377"/>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894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60" w:type="dxa"/>
            <w:vAlign w:val="bottom"/>
          </w:tcPr>
          <w:p>
            <w:pPr>
              <w:spacing w:after="0"/>
              <w:rPr>
                <w:sz w:val="24"/>
                <w:szCs w:val="24"/>
                <w:color w:val="auto"/>
              </w:rPr>
            </w:pPr>
          </w:p>
        </w:tc>
        <w:tc>
          <w:tcPr>
            <w:tcW w:w="8940" w:type="dxa"/>
            <w:vAlign w:val="bottom"/>
          </w:tcPr>
          <w:p>
            <w:pPr>
              <w:ind w:left="160"/>
              <w:spacing w:after="0"/>
              <w:rPr>
                <w:sz w:val="20"/>
                <w:szCs w:val="20"/>
                <w:color w:val="auto"/>
              </w:rPr>
            </w:pPr>
            <w:r>
              <w:rPr>
                <w:rFonts w:ascii="Arial" w:cs="Arial" w:eastAsia="Arial" w:hAnsi="Arial"/>
                <w:sz w:val="18"/>
                <w:szCs w:val="18"/>
                <w:color w:val="auto"/>
              </w:rPr>
              <w:t>162,309</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00" w:type="dxa"/>
            <w:vAlign w:val="bottom"/>
            <w:vMerge w:val="continue"/>
          </w:tcPr>
          <w:p>
            <w:pPr>
              <w:spacing w:after="0"/>
              <w:rPr>
                <w:sz w:val="11"/>
                <w:szCs w:val="11"/>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8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0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162,309</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894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20" w:right="3740" w:hanging="467"/>
        <w:spacing w:after="0" w:line="406" w:lineRule="auto"/>
        <w:tabs>
          <w:tab w:leader="none" w:pos="61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162,309</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140" w:hanging="467"/>
        <w:spacing w:after="0" w:line="402" w:lineRule="auto"/>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PERCENT OF CLASS REPRESENTED BY AMOUNT IN ROW (11) &lt; 0.1%</w:t>
      </w:r>
    </w:p>
    <w:p>
      <w:pPr>
        <w:spacing w:after="0" w:line="1" w:lineRule="exact"/>
        <w:rPr>
          <w:rFonts w:ascii="Arial" w:cs="Arial" w:eastAsia="Arial" w:hAnsi="Arial"/>
          <w:sz w:val="18"/>
          <w:szCs w:val="18"/>
          <w:color w:val="auto"/>
        </w:rPr>
      </w:pPr>
    </w:p>
    <w:p>
      <w:pPr>
        <w:ind w:left="620" w:right="5960" w:hanging="467"/>
        <w:spacing w:after="0" w:line="493" w:lineRule="auto"/>
        <w:tabs>
          <w:tab w:leader="none" w:pos="61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TYPE OF REPORTING PERSON (SEE INSTRUCTIONS) PN</w:t>
      </w: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440" w:top="274" w:right="5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81663L101</w:t>
      </w:r>
    </w:p>
    <w:p>
      <w:pPr>
        <w:spacing w:after="0" w:line="266" w:lineRule="exact"/>
        <w:rPr>
          <w:sz w:val="20"/>
          <w:szCs w:val="20"/>
          <w:color w:val="auto"/>
        </w:rPr>
      </w:pPr>
    </w:p>
    <w:p>
      <w:pPr>
        <w:ind w:left="620" w:hanging="377"/>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6111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BTO Side-by-Side GP L.L.C.</w:t>
      </w:r>
    </w:p>
    <w:p>
      <w:pPr>
        <w:spacing w:after="0" w:line="36" w:lineRule="exact"/>
        <w:rPr>
          <w:sz w:val="20"/>
          <w:szCs w:val="20"/>
          <w:color w:val="auto"/>
        </w:rPr>
      </w:pPr>
    </w:p>
    <w:p>
      <w:pPr>
        <w:ind w:left="620" w:hanging="377"/>
        <w:spacing w:after="0"/>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7</w:t>
      </w:r>
      <w:r>
        <w:rPr>
          <w:rFonts w:ascii="Arial" w:cs="Arial" w:eastAsia="Arial" w:hAnsi="Arial"/>
          <w:sz w:val="17"/>
          <w:szCs w:val="17"/>
          <w:color w:val="auto"/>
        </w:rPr>
        <w:t>SOLE VOTING POWER</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60" w:type="dxa"/>
            <w:vAlign w:val="bottom"/>
          </w:tcPr>
          <w:p>
            <w:pPr>
              <w:spacing w:after="0"/>
              <w:rPr>
                <w:sz w:val="18"/>
                <w:szCs w:val="18"/>
                <w:color w:val="auto"/>
              </w:rPr>
            </w:pPr>
          </w:p>
        </w:tc>
        <w:tc>
          <w:tcPr>
            <w:tcW w:w="8940" w:type="dxa"/>
            <w:vAlign w:val="bottom"/>
          </w:tcPr>
          <w:p>
            <w:pPr>
              <w:ind w:left="160"/>
              <w:spacing w:after="0"/>
              <w:rPr>
                <w:sz w:val="20"/>
                <w:szCs w:val="20"/>
                <w:color w:val="auto"/>
              </w:rPr>
            </w:pPr>
            <w:r>
              <w:rPr>
                <w:rFonts w:ascii="Arial" w:cs="Arial" w:eastAsia="Arial" w:hAnsi="Arial"/>
                <w:sz w:val="18"/>
                <w:szCs w:val="18"/>
                <w:color w:val="auto"/>
              </w:rPr>
              <w:t>162,309</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00" w:type="dxa"/>
            <w:vAlign w:val="bottom"/>
            <w:vMerge w:val="continue"/>
          </w:tcPr>
          <w:p>
            <w:pPr>
              <w:spacing w:after="0"/>
              <w:rPr>
                <w:sz w:val="11"/>
                <w:szCs w:val="11"/>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8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0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162,309</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894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20" w:right="3740" w:hanging="467"/>
        <w:spacing w:after="0" w:line="406" w:lineRule="auto"/>
        <w:tabs>
          <w:tab w:leader="none" w:pos="61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162,309</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140" w:hanging="467"/>
        <w:spacing w:after="0" w:line="402" w:lineRule="auto"/>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PERCENT OF CLASS REPRESENTED BY AMOUNT IN ROW (11) &lt; 0.1%</w:t>
      </w:r>
    </w:p>
    <w:p>
      <w:pPr>
        <w:spacing w:after="0" w:line="1" w:lineRule="exact"/>
        <w:rPr>
          <w:rFonts w:ascii="Arial" w:cs="Arial" w:eastAsia="Arial" w:hAnsi="Arial"/>
          <w:sz w:val="18"/>
          <w:szCs w:val="18"/>
          <w:color w:val="auto"/>
        </w:rPr>
      </w:pPr>
    </w:p>
    <w:p>
      <w:pPr>
        <w:ind w:left="620" w:right="5960" w:hanging="467"/>
        <w:spacing w:after="0" w:line="493" w:lineRule="auto"/>
        <w:tabs>
          <w:tab w:leader="none" w:pos="617" w:val="left"/>
        </w:tabs>
        <w:numPr>
          <w:ilvl w:val="0"/>
          <w:numId w:val="44"/>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440" w:top="274" w:right="5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81663L101</w:t>
      </w:r>
    </w:p>
    <w:p>
      <w:pPr>
        <w:spacing w:after="0" w:line="266" w:lineRule="exact"/>
        <w:rPr>
          <w:sz w:val="20"/>
          <w:szCs w:val="20"/>
          <w:color w:val="auto"/>
        </w:rPr>
      </w:pPr>
    </w:p>
    <w:p>
      <w:pPr>
        <w:ind w:left="620" w:hanging="377"/>
        <w:spacing w:after="0"/>
        <w:tabs>
          <w:tab w:leader="none" w:pos="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6111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Blackstone Holdings III L.P.</w:t>
      </w:r>
    </w:p>
    <w:p>
      <w:pPr>
        <w:spacing w:after="0" w:line="36" w:lineRule="exact"/>
        <w:rPr>
          <w:sz w:val="20"/>
          <w:szCs w:val="20"/>
          <w:color w:val="auto"/>
        </w:rPr>
      </w:pPr>
    </w:p>
    <w:p>
      <w:pPr>
        <w:ind w:left="620" w:hanging="377"/>
        <w:spacing w:after="0"/>
        <w:tabs>
          <w:tab w:leader="none" w:pos="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7</w:t>
      </w:r>
      <w:r>
        <w:rPr>
          <w:rFonts w:ascii="Arial" w:cs="Arial" w:eastAsia="Arial" w:hAnsi="Arial"/>
          <w:sz w:val="17"/>
          <w:szCs w:val="17"/>
          <w:color w:val="auto"/>
        </w:rPr>
        <w:t>SOLE VOTING POWER</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60" w:type="dxa"/>
            <w:vAlign w:val="bottom"/>
          </w:tcPr>
          <w:p>
            <w:pPr>
              <w:spacing w:after="0"/>
              <w:rPr>
                <w:sz w:val="18"/>
                <w:szCs w:val="18"/>
                <w:color w:val="auto"/>
              </w:rPr>
            </w:pPr>
          </w:p>
        </w:tc>
        <w:tc>
          <w:tcPr>
            <w:tcW w:w="8940" w:type="dxa"/>
            <w:vAlign w:val="bottom"/>
          </w:tcPr>
          <w:p>
            <w:pPr>
              <w:ind w:left="160"/>
              <w:spacing w:after="0"/>
              <w:rPr>
                <w:sz w:val="20"/>
                <w:szCs w:val="20"/>
                <w:color w:val="auto"/>
              </w:rPr>
            </w:pPr>
            <w:r>
              <w:rPr>
                <w:rFonts w:ascii="Arial" w:cs="Arial" w:eastAsia="Arial" w:hAnsi="Arial"/>
                <w:sz w:val="18"/>
                <w:szCs w:val="18"/>
                <w:color w:val="auto"/>
              </w:rPr>
              <w:t>27,001,496</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00" w:type="dxa"/>
            <w:vAlign w:val="bottom"/>
            <w:vMerge w:val="continue"/>
          </w:tcPr>
          <w:p>
            <w:pPr>
              <w:spacing w:after="0"/>
              <w:rPr>
                <w:sz w:val="11"/>
                <w:szCs w:val="11"/>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8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0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27,001,496</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894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20" w:right="3740" w:hanging="467"/>
        <w:spacing w:after="0" w:line="406" w:lineRule="auto"/>
        <w:tabs>
          <w:tab w:leader="none" w:pos="61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27,001,496</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140" w:hanging="467"/>
        <w:spacing w:after="0" w:line="402" w:lineRule="auto"/>
        <w:tabs>
          <w:tab w:leader="none" w:pos="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PERCENT OF CLASS REPRESENTED BY AMOUNT IN ROW (11) 7.2%</w:t>
      </w:r>
    </w:p>
    <w:p>
      <w:pPr>
        <w:spacing w:after="0" w:line="1" w:lineRule="exact"/>
        <w:rPr>
          <w:rFonts w:ascii="Arial" w:cs="Arial" w:eastAsia="Arial" w:hAnsi="Arial"/>
          <w:sz w:val="18"/>
          <w:szCs w:val="18"/>
          <w:color w:val="auto"/>
        </w:rPr>
      </w:pPr>
    </w:p>
    <w:p>
      <w:pPr>
        <w:ind w:left="620" w:right="5960" w:hanging="467"/>
        <w:spacing w:after="0" w:line="559" w:lineRule="auto"/>
        <w:tabs>
          <w:tab w:leader="none" w:pos="617" w:val="left"/>
        </w:tabs>
        <w:numPr>
          <w:ilvl w:val="0"/>
          <w:numId w:val="51"/>
        </w:numPr>
        <w:rPr>
          <w:rFonts w:ascii="Arial" w:cs="Arial" w:eastAsia="Arial" w:hAnsi="Arial"/>
          <w:sz w:val="18"/>
          <w:szCs w:val="18"/>
          <w:color w:val="auto"/>
        </w:rPr>
      </w:pPr>
      <w:r>
        <w:rPr>
          <w:rFonts w:ascii="Arial" w:cs="Arial" w:eastAsia="Arial" w:hAnsi="Arial"/>
          <w:sz w:val="18"/>
          <w:szCs w:val="18"/>
          <w:color w:val="auto"/>
        </w:rPr>
        <w:t>TYPE OF REPORTING PERSON (SEE INSTRUCTIONS) PN</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0"/>
          </w:cols>
          <w:pgMar w:left="440" w:top="274" w:right="5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81663L101</w:t>
      </w:r>
    </w:p>
    <w:p>
      <w:pPr>
        <w:spacing w:after="0" w:line="266" w:lineRule="exact"/>
        <w:rPr>
          <w:sz w:val="20"/>
          <w:szCs w:val="20"/>
          <w:color w:val="auto"/>
        </w:rPr>
      </w:pPr>
    </w:p>
    <w:p>
      <w:pPr>
        <w:ind w:left="620" w:hanging="377"/>
        <w:spacing w:after="0"/>
        <w:tabs>
          <w:tab w:leader="none" w:pos="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6111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Blackstone Holdings III GP L.P.</w:t>
      </w:r>
    </w:p>
    <w:p>
      <w:pPr>
        <w:spacing w:after="0" w:line="36" w:lineRule="exact"/>
        <w:rPr>
          <w:sz w:val="20"/>
          <w:szCs w:val="20"/>
          <w:color w:val="auto"/>
        </w:rPr>
      </w:pPr>
    </w:p>
    <w:p>
      <w:pPr>
        <w:ind w:left="620" w:hanging="377"/>
        <w:spacing w:after="0"/>
        <w:tabs>
          <w:tab w:leader="none" w:pos="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7</w:t>
      </w:r>
      <w:r>
        <w:rPr>
          <w:rFonts w:ascii="Arial" w:cs="Arial" w:eastAsia="Arial" w:hAnsi="Arial"/>
          <w:sz w:val="17"/>
          <w:szCs w:val="17"/>
          <w:color w:val="auto"/>
        </w:rPr>
        <w:t>SOLE VOTING POWER</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60" w:type="dxa"/>
            <w:vAlign w:val="bottom"/>
          </w:tcPr>
          <w:p>
            <w:pPr>
              <w:spacing w:after="0"/>
              <w:rPr>
                <w:sz w:val="18"/>
                <w:szCs w:val="18"/>
                <w:color w:val="auto"/>
              </w:rPr>
            </w:pPr>
          </w:p>
        </w:tc>
        <w:tc>
          <w:tcPr>
            <w:tcW w:w="8940" w:type="dxa"/>
            <w:vAlign w:val="bottom"/>
          </w:tcPr>
          <w:p>
            <w:pPr>
              <w:ind w:left="160"/>
              <w:spacing w:after="0"/>
              <w:rPr>
                <w:sz w:val="20"/>
                <w:szCs w:val="20"/>
                <w:color w:val="auto"/>
              </w:rPr>
            </w:pPr>
            <w:r>
              <w:rPr>
                <w:rFonts w:ascii="Arial" w:cs="Arial" w:eastAsia="Arial" w:hAnsi="Arial"/>
                <w:sz w:val="18"/>
                <w:szCs w:val="18"/>
                <w:color w:val="auto"/>
              </w:rPr>
              <w:t>27,001,496</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00" w:type="dxa"/>
            <w:vAlign w:val="bottom"/>
            <w:vMerge w:val="continue"/>
          </w:tcPr>
          <w:p>
            <w:pPr>
              <w:spacing w:after="0"/>
              <w:rPr>
                <w:sz w:val="11"/>
                <w:szCs w:val="11"/>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8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0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27,001,496</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894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20" w:right="3740" w:hanging="467"/>
        <w:spacing w:after="0" w:line="406" w:lineRule="auto"/>
        <w:tabs>
          <w:tab w:leader="none" w:pos="61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27,001,496</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140" w:hanging="467"/>
        <w:spacing w:after="0" w:line="402" w:lineRule="auto"/>
        <w:tabs>
          <w:tab w:leader="none" w:pos="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PERCENT OF CLASS REPRESENTED BY AMOUNT IN ROW (11) 7.2%</w:t>
      </w:r>
    </w:p>
    <w:p>
      <w:pPr>
        <w:spacing w:after="0" w:line="1" w:lineRule="exact"/>
        <w:rPr>
          <w:rFonts w:ascii="Arial" w:cs="Arial" w:eastAsia="Arial" w:hAnsi="Arial"/>
          <w:sz w:val="18"/>
          <w:szCs w:val="18"/>
          <w:color w:val="auto"/>
        </w:rPr>
      </w:pPr>
    </w:p>
    <w:p>
      <w:pPr>
        <w:ind w:left="620" w:right="5960" w:hanging="467"/>
        <w:spacing w:after="0" w:line="493" w:lineRule="auto"/>
        <w:tabs>
          <w:tab w:leader="none" w:pos="617" w:val="left"/>
        </w:tabs>
        <w:numPr>
          <w:ilvl w:val="0"/>
          <w:numId w:val="58"/>
        </w:numPr>
        <w:rPr>
          <w:rFonts w:ascii="Arial" w:cs="Arial" w:eastAsia="Arial" w:hAnsi="Arial"/>
          <w:sz w:val="18"/>
          <w:szCs w:val="18"/>
          <w:color w:val="auto"/>
        </w:rPr>
      </w:pPr>
      <w:r>
        <w:rPr>
          <w:rFonts w:ascii="Arial" w:cs="Arial" w:eastAsia="Arial" w:hAnsi="Arial"/>
          <w:sz w:val="18"/>
          <w:szCs w:val="18"/>
          <w:color w:val="auto"/>
        </w:rPr>
        <w:t>TYPE OF REPORTING PERSON (SEE INSTRUCTIONS) PN</w:t>
      </w: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0"/>
          </w:cols>
          <w:pgMar w:left="440" w:top="274" w:right="5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81663L101</w:t>
      </w:r>
    </w:p>
    <w:p>
      <w:pPr>
        <w:spacing w:after="0" w:line="266" w:lineRule="exact"/>
        <w:rPr>
          <w:sz w:val="20"/>
          <w:szCs w:val="20"/>
          <w:color w:val="auto"/>
        </w:rPr>
      </w:pPr>
    </w:p>
    <w:p>
      <w:pPr>
        <w:ind w:left="620" w:hanging="377"/>
        <w:spacing w:after="0"/>
        <w:tabs>
          <w:tab w:leader="none" w:pos="6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6111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Blackstone Holdings III GP Management L.L.C.</w:t>
      </w:r>
    </w:p>
    <w:p>
      <w:pPr>
        <w:spacing w:after="0" w:line="36" w:lineRule="exact"/>
        <w:rPr>
          <w:sz w:val="20"/>
          <w:szCs w:val="20"/>
          <w:color w:val="auto"/>
        </w:rPr>
      </w:pPr>
    </w:p>
    <w:p>
      <w:pPr>
        <w:ind w:left="620" w:hanging="377"/>
        <w:spacing w:after="0"/>
        <w:tabs>
          <w:tab w:leader="none" w:pos="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7</w:t>
      </w:r>
      <w:r>
        <w:rPr>
          <w:rFonts w:ascii="Arial" w:cs="Arial" w:eastAsia="Arial" w:hAnsi="Arial"/>
          <w:sz w:val="17"/>
          <w:szCs w:val="17"/>
          <w:color w:val="auto"/>
        </w:rPr>
        <w:t>SOLE VOTING POWER</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60" w:type="dxa"/>
            <w:vAlign w:val="bottom"/>
          </w:tcPr>
          <w:p>
            <w:pPr>
              <w:spacing w:after="0"/>
              <w:rPr>
                <w:sz w:val="18"/>
                <w:szCs w:val="18"/>
                <w:color w:val="auto"/>
              </w:rPr>
            </w:pPr>
          </w:p>
        </w:tc>
        <w:tc>
          <w:tcPr>
            <w:tcW w:w="8940" w:type="dxa"/>
            <w:vAlign w:val="bottom"/>
          </w:tcPr>
          <w:p>
            <w:pPr>
              <w:ind w:left="160"/>
              <w:spacing w:after="0"/>
              <w:rPr>
                <w:sz w:val="20"/>
                <w:szCs w:val="20"/>
                <w:color w:val="auto"/>
              </w:rPr>
            </w:pPr>
            <w:r>
              <w:rPr>
                <w:rFonts w:ascii="Arial" w:cs="Arial" w:eastAsia="Arial" w:hAnsi="Arial"/>
                <w:sz w:val="18"/>
                <w:szCs w:val="18"/>
                <w:color w:val="auto"/>
              </w:rPr>
              <w:t>27,001,496</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00" w:type="dxa"/>
            <w:vAlign w:val="bottom"/>
            <w:vMerge w:val="continue"/>
          </w:tcPr>
          <w:p>
            <w:pPr>
              <w:spacing w:after="0"/>
              <w:rPr>
                <w:sz w:val="11"/>
                <w:szCs w:val="11"/>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8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0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27,001,496</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894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20" w:right="3740" w:hanging="467"/>
        <w:spacing w:after="0" w:line="406" w:lineRule="auto"/>
        <w:tabs>
          <w:tab w:leader="none" w:pos="61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27,001,496</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140" w:hanging="467"/>
        <w:spacing w:after="0" w:line="402" w:lineRule="auto"/>
        <w:tabs>
          <w:tab w:leader="none" w:pos="6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7.2%</w:t>
      </w:r>
    </w:p>
    <w:p>
      <w:pPr>
        <w:spacing w:after="0" w:line="1" w:lineRule="exact"/>
        <w:rPr>
          <w:rFonts w:ascii="Arial" w:cs="Arial" w:eastAsia="Arial" w:hAnsi="Arial"/>
          <w:sz w:val="18"/>
          <w:szCs w:val="18"/>
          <w:color w:val="auto"/>
        </w:rPr>
      </w:pPr>
    </w:p>
    <w:p>
      <w:pPr>
        <w:ind w:left="620" w:right="5960" w:hanging="467"/>
        <w:spacing w:after="0" w:line="493" w:lineRule="auto"/>
        <w:tabs>
          <w:tab w:leader="none" w:pos="617" w:val="left"/>
        </w:tabs>
        <w:numPr>
          <w:ilvl w:val="0"/>
          <w:numId w:val="65"/>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440" w:top="274" w:right="55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81663L101</w:t>
      </w:r>
    </w:p>
    <w:p>
      <w:pPr>
        <w:spacing w:after="0" w:line="266" w:lineRule="exact"/>
        <w:rPr>
          <w:sz w:val="20"/>
          <w:szCs w:val="20"/>
          <w:color w:val="auto"/>
        </w:rPr>
      </w:pPr>
    </w:p>
    <w:p>
      <w:pPr>
        <w:ind w:left="620" w:hanging="377"/>
        <w:spacing w:after="0"/>
        <w:tabs>
          <w:tab w:leader="none" w:pos="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6111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Blackstone Tactical Opportunities Fund—FD L.P.</w:t>
      </w:r>
    </w:p>
    <w:p>
      <w:pPr>
        <w:spacing w:after="0" w:line="36" w:lineRule="exact"/>
        <w:rPr>
          <w:sz w:val="20"/>
          <w:szCs w:val="20"/>
          <w:color w:val="auto"/>
        </w:rPr>
      </w:pPr>
    </w:p>
    <w:p>
      <w:pPr>
        <w:ind w:left="620" w:hanging="377"/>
        <w:spacing w:after="0"/>
        <w:tabs>
          <w:tab w:leader="none" w:pos="6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894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60" w:type="dxa"/>
            <w:vAlign w:val="bottom"/>
          </w:tcPr>
          <w:p>
            <w:pPr>
              <w:spacing w:after="0"/>
              <w:rPr>
                <w:sz w:val="24"/>
                <w:szCs w:val="24"/>
                <w:color w:val="auto"/>
              </w:rPr>
            </w:pPr>
          </w:p>
        </w:tc>
        <w:tc>
          <w:tcPr>
            <w:tcW w:w="8940" w:type="dxa"/>
            <w:vAlign w:val="bottom"/>
          </w:tcPr>
          <w:p>
            <w:pPr>
              <w:ind w:left="160"/>
              <w:spacing w:after="0"/>
              <w:rPr>
                <w:sz w:val="20"/>
                <w:szCs w:val="20"/>
                <w:color w:val="auto"/>
              </w:rPr>
            </w:pPr>
            <w:r>
              <w:rPr>
                <w:rFonts w:ascii="Arial" w:cs="Arial" w:eastAsia="Arial" w:hAnsi="Arial"/>
                <w:sz w:val="18"/>
                <w:szCs w:val="18"/>
                <w:color w:val="auto"/>
              </w:rPr>
              <w:t>555,497</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00" w:type="dxa"/>
            <w:vAlign w:val="bottom"/>
            <w:vMerge w:val="continue"/>
          </w:tcPr>
          <w:p>
            <w:pPr>
              <w:spacing w:after="0"/>
              <w:rPr>
                <w:sz w:val="11"/>
                <w:szCs w:val="11"/>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8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0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555,497</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894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20" w:right="3740" w:hanging="467"/>
        <w:spacing w:after="0" w:line="406" w:lineRule="auto"/>
        <w:tabs>
          <w:tab w:leader="none" w:pos="61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555,497</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140" w:hanging="467"/>
        <w:spacing w:after="0" w:line="402" w:lineRule="auto"/>
        <w:tabs>
          <w:tab w:leader="none" w:pos="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0.1%</w:t>
      </w:r>
    </w:p>
    <w:p>
      <w:pPr>
        <w:spacing w:after="0" w:line="1" w:lineRule="exact"/>
        <w:rPr>
          <w:rFonts w:ascii="Arial" w:cs="Arial" w:eastAsia="Arial" w:hAnsi="Arial"/>
          <w:sz w:val="18"/>
          <w:szCs w:val="18"/>
          <w:color w:val="auto"/>
        </w:rPr>
      </w:pPr>
    </w:p>
    <w:p>
      <w:pPr>
        <w:ind w:left="620" w:right="5960" w:hanging="467"/>
        <w:spacing w:after="0" w:line="559" w:lineRule="auto"/>
        <w:tabs>
          <w:tab w:leader="none" w:pos="617" w:val="left"/>
        </w:tabs>
        <w:numPr>
          <w:ilvl w:val="0"/>
          <w:numId w:val="72"/>
        </w:numPr>
        <w:rPr>
          <w:rFonts w:ascii="Arial" w:cs="Arial" w:eastAsia="Arial" w:hAnsi="Arial"/>
          <w:sz w:val="18"/>
          <w:szCs w:val="18"/>
          <w:color w:val="auto"/>
        </w:rPr>
      </w:pPr>
      <w:r>
        <w:rPr>
          <w:rFonts w:ascii="Arial" w:cs="Arial" w:eastAsia="Arial" w:hAnsi="Arial"/>
          <w:sz w:val="18"/>
          <w:szCs w:val="18"/>
          <w:color w:val="auto"/>
        </w:rPr>
        <w:t>TYPE OF REPORTING PERSON (SEE INSTRUCTIONS) PN</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0"/>
          </w:cols>
          <w:pgMar w:left="440" w:top="274" w:right="5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81663L101</w:t>
      </w:r>
    </w:p>
    <w:p>
      <w:pPr>
        <w:spacing w:after="0" w:line="266" w:lineRule="exact"/>
        <w:rPr>
          <w:sz w:val="20"/>
          <w:szCs w:val="20"/>
          <w:color w:val="auto"/>
        </w:rPr>
      </w:pPr>
    </w:p>
    <w:p>
      <w:pPr>
        <w:ind w:left="620" w:hanging="377"/>
        <w:spacing w:after="0"/>
        <w:tabs>
          <w:tab w:leader="none" w:pos="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6111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Blackstone Tactical Opportunities Associates III—NQ L.P.</w:t>
      </w:r>
    </w:p>
    <w:p>
      <w:pPr>
        <w:spacing w:after="0" w:line="36" w:lineRule="exact"/>
        <w:rPr>
          <w:sz w:val="20"/>
          <w:szCs w:val="20"/>
          <w:color w:val="auto"/>
        </w:rPr>
      </w:pPr>
    </w:p>
    <w:p>
      <w:pPr>
        <w:ind w:left="620" w:hanging="377"/>
        <w:spacing w:after="0"/>
        <w:tabs>
          <w:tab w:leader="none" w:pos="6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894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60" w:type="dxa"/>
            <w:vAlign w:val="bottom"/>
          </w:tcPr>
          <w:p>
            <w:pPr>
              <w:spacing w:after="0"/>
              <w:rPr>
                <w:sz w:val="24"/>
                <w:szCs w:val="24"/>
                <w:color w:val="auto"/>
              </w:rPr>
            </w:pPr>
          </w:p>
        </w:tc>
        <w:tc>
          <w:tcPr>
            <w:tcW w:w="8940" w:type="dxa"/>
            <w:vAlign w:val="bottom"/>
          </w:tcPr>
          <w:p>
            <w:pPr>
              <w:ind w:left="160"/>
              <w:spacing w:after="0"/>
              <w:rPr>
                <w:sz w:val="20"/>
                <w:szCs w:val="20"/>
                <w:color w:val="auto"/>
              </w:rPr>
            </w:pPr>
            <w:r>
              <w:rPr>
                <w:rFonts w:ascii="Arial" w:cs="Arial" w:eastAsia="Arial" w:hAnsi="Arial"/>
                <w:sz w:val="18"/>
                <w:szCs w:val="18"/>
                <w:color w:val="auto"/>
              </w:rPr>
              <w:t>555,497</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00" w:type="dxa"/>
            <w:vAlign w:val="bottom"/>
            <w:vMerge w:val="continue"/>
          </w:tcPr>
          <w:p>
            <w:pPr>
              <w:spacing w:after="0"/>
              <w:rPr>
                <w:sz w:val="11"/>
                <w:szCs w:val="11"/>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8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0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555,497</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894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20" w:right="3740" w:hanging="467"/>
        <w:spacing w:after="0" w:line="406" w:lineRule="auto"/>
        <w:tabs>
          <w:tab w:leader="none" w:pos="61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555,497</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140" w:hanging="467"/>
        <w:spacing w:after="0" w:line="402" w:lineRule="auto"/>
        <w:tabs>
          <w:tab w:leader="none" w:pos="6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0.1%</w:t>
      </w:r>
    </w:p>
    <w:p>
      <w:pPr>
        <w:spacing w:after="0" w:line="1" w:lineRule="exact"/>
        <w:rPr>
          <w:rFonts w:ascii="Arial" w:cs="Arial" w:eastAsia="Arial" w:hAnsi="Arial"/>
          <w:sz w:val="18"/>
          <w:szCs w:val="18"/>
          <w:color w:val="auto"/>
        </w:rPr>
      </w:pPr>
    </w:p>
    <w:p>
      <w:pPr>
        <w:ind w:left="620" w:right="5960" w:hanging="467"/>
        <w:spacing w:after="0" w:line="493" w:lineRule="auto"/>
        <w:tabs>
          <w:tab w:leader="none" w:pos="617" w:val="left"/>
        </w:tabs>
        <w:numPr>
          <w:ilvl w:val="0"/>
          <w:numId w:val="79"/>
        </w:numPr>
        <w:rPr>
          <w:rFonts w:ascii="Arial" w:cs="Arial" w:eastAsia="Arial" w:hAnsi="Arial"/>
          <w:sz w:val="18"/>
          <w:szCs w:val="18"/>
          <w:color w:val="auto"/>
        </w:rPr>
      </w:pPr>
      <w:r>
        <w:rPr>
          <w:rFonts w:ascii="Arial" w:cs="Arial" w:eastAsia="Arial" w:hAnsi="Arial"/>
          <w:sz w:val="18"/>
          <w:szCs w:val="18"/>
          <w:color w:val="auto"/>
        </w:rPr>
        <w:t>TYPE OF REPORTING PERSON (SEE INSTRUCTIONS) PN</w:t>
      </w: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00"/>
          </w:cols>
          <w:pgMar w:left="440" w:top="274" w:right="55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81663L101</w:t>
      </w:r>
    </w:p>
    <w:p>
      <w:pPr>
        <w:spacing w:after="0" w:line="266" w:lineRule="exact"/>
        <w:rPr>
          <w:sz w:val="20"/>
          <w:szCs w:val="20"/>
          <w:color w:val="auto"/>
        </w:rPr>
      </w:pPr>
    </w:p>
    <w:p>
      <w:pPr>
        <w:ind w:left="620" w:hanging="377"/>
        <w:spacing w:after="0"/>
        <w:tabs>
          <w:tab w:leader="none" w:pos="6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6111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BTO DE GP—NQ L.L.C.</w:t>
      </w:r>
    </w:p>
    <w:p>
      <w:pPr>
        <w:spacing w:after="0" w:line="36" w:lineRule="exact"/>
        <w:rPr>
          <w:sz w:val="20"/>
          <w:szCs w:val="20"/>
          <w:color w:val="auto"/>
        </w:rPr>
      </w:pPr>
    </w:p>
    <w:p>
      <w:pPr>
        <w:ind w:left="620" w:hanging="377"/>
        <w:spacing w:after="0"/>
        <w:tabs>
          <w:tab w:leader="none" w:pos="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894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60" w:type="dxa"/>
            <w:vAlign w:val="bottom"/>
          </w:tcPr>
          <w:p>
            <w:pPr>
              <w:spacing w:after="0"/>
              <w:rPr>
                <w:sz w:val="24"/>
                <w:szCs w:val="24"/>
                <w:color w:val="auto"/>
              </w:rPr>
            </w:pPr>
          </w:p>
        </w:tc>
        <w:tc>
          <w:tcPr>
            <w:tcW w:w="8940" w:type="dxa"/>
            <w:vAlign w:val="bottom"/>
          </w:tcPr>
          <w:p>
            <w:pPr>
              <w:ind w:left="160"/>
              <w:spacing w:after="0"/>
              <w:rPr>
                <w:sz w:val="20"/>
                <w:szCs w:val="20"/>
                <w:color w:val="auto"/>
              </w:rPr>
            </w:pPr>
            <w:r>
              <w:rPr>
                <w:rFonts w:ascii="Arial" w:cs="Arial" w:eastAsia="Arial" w:hAnsi="Arial"/>
                <w:sz w:val="18"/>
                <w:szCs w:val="18"/>
                <w:color w:val="auto"/>
              </w:rPr>
              <w:t>555,497</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00" w:type="dxa"/>
            <w:vAlign w:val="bottom"/>
            <w:vMerge w:val="continue"/>
          </w:tcPr>
          <w:p>
            <w:pPr>
              <w:spacing w:after="0"/>
              <w:rPr>
                <w:sz w:val="11"/>
                <w:szCs w:val="11"/>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8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0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555,497</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894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20" w:right="3740" w:hanging="467"/>
        <w:spacing w:after="0" w:line="406" w:lineRule="auto"/>
        <w:tabs>
          <w:tab w:leader="none" w:pos="61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555,497</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140" w:hanging="467"/>
        <w:spacing w:after="0" w:line="402" w:lineRule="auto"/>
        <w:tabs>
          <w:tab w:leader="none" w:pos="6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0.1%</w:t>
      </w:r>
    </w:p>
    <w:p>
      <w:pPr>
        <w:spacing w:after="0" w:line="1" w:lineRule="exact"/>
        <w:rPr>
          <w:rFonts w:ascii="Arial" w:cs="Arial" w:eastAsia="Arial" w:hAnsi="Arial"/>
          <w:sz w:val="18"/>
          <w:szCs w:val="18"/>
          <w:color w:val="auto"/>
        </w:rPr>
      </w:pPr>
    </w:p>
    <w:p>
      <w:pPr>
        <w:ind w:left="620" w:right="5960" w:hanging="467"/>
        <w:spacing w:after="0" w:line="493" w:lineRule="auto"/>
        <w:tabs>
          <w:tab w:leader="none" w:pos="617" w:val="left"/>
        </w:tabs>
        <w:numPr>
          <w:ilvl w:val="0"/>
          <w:numId w:val="86"/>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0"/>
          </w:cols>
          <w:pgMar w:left="440" w:top="274" w:right="55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81663L101</w:t>
      </w:r>
    </w:p>
    <w:p>
      <w:pPr>
        <w:spacing w:after="0" w:line="266" w:lineRule="exact"/>
        <w:rPr>
          <w:sz w:val="20"/>
          <w:szCs w:val="20"/>
          <w:color w:val="auto"/>
        </w:rPr>
      </w:pPr>
    </w:p>
    <w:p>
      <w:pPr>
        <w:ind w:left="620" w:hanging="377"/>
        <w:spacing w:after="0"/>
        <w:tabs>
          <w:tab w:leader="none" w:pos="6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6111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Blackstone Holdings II L.P.</w:t>
      </w:r>
    </w:p>
    <w:p>
      <w:pPr>
        <w:spacing w:after="0" w:line="36" w:lineRule="exact"/>
        <w:rPr>
          <w:sz w:val="20"/>
          <w:szCs w:val="20"/>
          <w:color w:val="auto"/>
        </w:rPr>
      </w:pPr>
    </w:p>
    <w:p>
      <w:pPr>
        <w:ind w:left="620" w:hanging="377"/>
        <w:spacing w:after="0"/>
        <w:tabs>
          <w:tab w:leader="none" w:pos="6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894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60" w:type="dxa"/>
            <w:vAlign w:val="bottom"/>
          </w:tcPr>
          <w:p>
            <w:pPr>
              <w:spacing w:after="0"/>
              <w:rPr>
                <w:sz w:val="24"/>
                <w:szCs w:val="24"/>
                <w:color w:val="auto"/>
              </w:rPr>
            </w:pPr>
          </w:p>
        </w:tc>
        <w:tc>
          <w:tcPr>
            <w:tcW w:w="8940" w:type="dxa"/>
            <w:vAlign w:val="bottom"/>
          </w:tcPr>
          <w:p>
            <w:pPr>
              <w:ind w:left="160"/>
              <w:spacing w:after="0"/>
              <w:rPr>
                <w:sz w:val="20"/>
                <w:szCs w:val="20"/>
                <w:color w:val="auto"/>
              </w:rPr>
            </w:pPr>
            <w:r>
              <w:rPr>
                <w:rFonts w:ascii="Arial" w:cs="Arial" w:eastAsia="Arial" w:hAnsi="Arial"/>
                <w:sz w:val="18"/>
                <w:szCs w:val="18"/>
                <w:color w:val="auto"/>
              </w:rPr>
              <w:t>555,497</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00" w:type="dxa"/>
            <w:vAlign w:val="bottom"/>
            <w:vMerge w:val="continue"/>
          </w:tcPr>
          <w:p>
            <w:pPr>
              <w:spacing w:after="0"/>
              <w:rPr>
                <w:sz w:val="11"/>
                <w:szCs w:val="11"/>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8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0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555,497</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894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20" w:right="3740" w:hanging="467"/>
        <w:spacing w:after="0" w:line="406" w:lineRule="auto"/>
        <w:tabs>
          <w:tab w:leader="none" w:pos="61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555,497</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140" w:hanging="467"/>
        <w:spacing w:after="0" w:line="402" w:lineRule="auto"/>
        <w:tabs>
          <w:tab w:leader="none" w:pos="6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0.1%</w:t>
      </w:r>
    </w:p>
    <w:p>
      <w:pPr>
        <w:spacing w:after="0" w:line="1" w:lineRule="exact"/>
        <w:rPr>
          <w:rFonts w:ascii="Arial" w:cs="Arial" w:eastAsia="Arial" w:hAnsi="Arial"/>
          <w:sz w:val="18"/>
          <w:szCs w:val="18"/>
          <w:color w:val="auto"/>
        </w:rPr>
      </w:pPr>
    </w:p>
    <w:p>
      <w:pPr>
        <w:ind w:left="620" w:right="5960" w:hanging="467"/>
        <w:spacing w:after="0" w:line="559" w:lineRule="auto"/>
        <w:tabs>
          <w:tab w:leader="none" w:pos="617" w:val="left"/>
        </w:tabs>
        <w:numPr>
          <w:ilvl w:val="0"/>
          <w:numId w:val="93"/>
        </w:numPr>
        <w:rPr>
          <w:rFonts w:ascii="Arial" w:cs="Arial" w:eastAsia="Arial" w:hAnsi="Arial"/>
          <w:sz w:val="18"/>
          <w:szCs w:val="18"/>
          <w:color w:val="auto"/>
        </w:rPr>
      </w:pPr>
      <w:r>
        <w:rPr>
          <w:rFonts w:ascii="Arial" w:cs="Arial" w:eastAsia="Arial" w:hAnsi="Arial"/>
          <w:sz w:val="18"/>
          <w:szCs w:val="18"/>
          <w:color w:val="auto"/>
        </w:rPr>
        <w:t>TYPE OF REPORTING PERSON (SEE INSTRUCTIONS) PN</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00"/>
          </w:cols>
          <w:pgMar w:left="440" w:top="274" w:right="55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81663L101</w:t>
      </w:r>
    </w:p>
    <w:p>
      <w:pPr>
        <w:spacing w:after="0" w:line="266" w:lineRule="exact"/>
        <w:rPr>
          <w:sz w:val="20"/>
          <w:szCs w:val="20"/>
          <w:color w:val="auto"/>
        </w:rPr>
      </w:pPr>
    </w:p>
    <w:p>
      <w:pPr>
        <w:ind w:left="620" w:hanging="377"/>
        <w:spacing w:after="0"/>
        <w:tabs>
          <w:tab w:leader="none" w:pos="6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6111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Blackstone Aqua Master Sub-Fund, a sub-fund of Blackstone Global Master Fund ICAV</w:t>
      </w:r>
    </w:p>
    <w:p>
      <w:pPr>
        <w:spacing w:after="0" w:line="36" w:lineRule="exact"/>
        <w:rPr>
          <w:sz w:val="20"/>
          <w:szCs w:val="20"/>
          <w:color w:val="auto"/>
        </w:rPr>
      </w:pPr>
    </w:p>
    <w:p>
      <w:pPr>
        <w:ind w:left="620" w:hanging="377"/>
        <w:spacing w:after="0"/>
        <w:tabs>
          <w:tab w:leader="none" w:pos="6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WC</w:t>
      </w:r>
    </w:p>
    <w:p>
      <w:pPr>
        <w:spacing w:after="0" w:line="36" w:lineRule="exact"/>
        <w:rPr>
          <w:sz w:val="20"/>
          <w:szCs w:val="20"/>
          <w:color w:val="auto"/>
        </w:rPr>
      </w:pPr>
    </w:p>
    <w:p>
      <w:pPr>
        <w:ind w:left="620" w:hanging="377"/>
        <w:spacing w:after="0"/>
        <w:tabs>
          <w:tab w:leader="none" w:pos="6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Ireland</w:t>
      </w:r>
    </w:p>
    <w:p>
      <w:pPr>
        <w:spacing w:after="0" w:line="36"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7</w:t>
      </w:r>
      <w:r>
        <w:rPr>
          <w:rFonts w:ascii="Arial" w:cs="Arial" w:eastAsia="Arial" w:hAnsi="Arial"/>
          <w:sz w:val="17"/>
          <w:szCs w:val="17"/>
          <w:color w:val="auto"/>
        </w:rPr>
        <w:t>SOLE VOTING POWER</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60" w:type="dxa"/>
            <w:vAlign w:val="bottom"/>
          </w:tcPr>
          <w:p>
            <w:pPr>
              <w:spacing w:after="0"/>
              <w:rPr>
                <w:sz w:val="18"/>
                <w:szCs w:val="18"/>
                <w:color w:val="auto"/>
              </w:rPr>
            </w:pPr>
          </w:p>
        </w:tc>
        <w:tc>
          <w:tcPr>
            <w:tcW w:w="8940" w:type="dxa"/>
            <w:vAlign w:val="bottom"/>
          </w:tcPr>
          <w:p>
            <w:pPr>
              <w:ind w:left="160"/>
              <w:spacing w:after="0"/>
              <w:rPr>
                <w:sz w:val="20"/>
                <w:szCs w:val="20"/>
                <w:color w:val="auto"/>
              </w:rPr>
            </w:pPr>
            <w:r>
              <w:rPr>
                <w:rFonts w:ascii="Arial" w:cs="Arial" w:eastAsia="Arial" w:hAnsi="Arial"/>
                <w:sz w:val="18"/>
                <w:szCs w:val="18"/>
                <w:color w:val="auto"/>
              </w:rPr>
              <w:t>809,509</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00" w:type="dxa"/>
            <w:vAlign w:val="bottom"/>
            <w:vMerge w:val="continue"/>
          </w:tcPr>
          <w:p>
            <w:pPr>
              <w:spacing w:after="0"/>
              <w:rPr>
                <w:sz w:val="11"/>
                <w:szCs w:val="11"/>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8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0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809,509</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894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20" w:right="3740" w:hanging="467"/>
        <w:spacing w:after="0" w:line="406" w:lineRule="auto"/>
        <w:tabs>
          <w:tab w:leader="none" w:pos="61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809,509</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140" w:hanging="467"/>
        <w:spacing w:after="0" w:line="402" w:lineRule="auto"/>
        <w:tabs>
          <w:tab w:leader="none" w:pos="6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0.2%</w:t>
      </w:r>
    </w:p>
    <w:p>
      <w:pPr>
        <w:spacing w:after="0" w:line="1" w:lineRule="exact"/>
        <w:rPr>
          <w:rFonts w:ascii="Arial" w:cs="Arial" w:eastAsia="Arial" w:hAnsi="Arial"/>
          <w:sz w:val="18"/>
          <w:szCs w:val="18"/>
          <w:color w:val="auto"/>
        </w:rPr>
      </w:pPr>
    </w:p>
    <w:p>
      <w:pPr>
        <w:ind w:left="620" w:right="5960" w:hanging="467"/>
        <w:spacing w:after="0" w:line="493" w:lineRule="auto"/>
        <w:tabs>
          <w:tab w:leader="none" w:pos="61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TYPE OF REPORTING PERSON (SEE INSTRUCTIONS) CO</w:t>
      </w: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00"/>
          </w:cols>
          <w:pgMar w:left="440" w:top="274" w:right="55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81663L101</w:t>
      </w:r>
    </w:p>
    <w:p>
      <w:pPr>
        <w:spacing w:after="0" w:line="266" w:lineRule="exact"/>
        <w:rPr>
          <w:sz w:val="20"/>
          <w:szCs w:val="20"/>
          <w:color w:val="auto"/>
        </w:rPr>
      </w:pPr>
    </w:p>
    <w:p>
      <w:pPr>
        <w:ind w:left="620" w:hanging="377"/>
        <w:spacing w:after="0"/>
        <w:tabs>
          <w:tab w:leader="none" w:pos="6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6111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Blackstone Alternative Solutions L.L.C.</w:t>
      </w:r>
    </w:p>
    <w:p>
      <w:pPr>
        <w:spacing w:after="0" w:line="36" w:lineRule="exact"/>
        <w:rPr>
          <w:sz w:val="20"/>
          <w:szCs w:val="20"/>
          <w:color w:val="auto"/>
        </w:rPr>
      </w:pPr>
    </w:p>
    <w:p>
      <w:pPr>
        <w:ind w:left="620" w:hanging="377"/>
        <w:spacing w:after="0"/>
        <w:tabs>
          <w:tab w:leader="none" w:pos="6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7</w:t>
      </w:r>
      <w:r>
        <w:rPr>
          <w:rFonts w:ascii="Arial" w:cs="Arial" w:eastAsia="Arial" w:hAnsi="Arial"/>
          <w:sz w:val="17"/>
          <w:szCs w:val="17"/>
          <w:color w:val="auto"/>
        </w:rPr>
        <w:t>SOLE VOTING POWER</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60" w:type="dxa"/>
            <w:vAlign w:val="bottom"/>
          </w:tcPr>
          <w:p>
            <w:pPr>
              <w:spacing w:after="0"/>
              <w:rPr>
                <w:sz w:val="18"/>
                <w:szCs w:val="18"/>
                <w:color w:val="auto"/>
              </w:rPr>
            </w:pPr>
          </w:p>
        </w:tc>
        <w:tc>
          <w:tcPr>
            <w:tcW w:w="8940" w:type="dxa"/>
            <w:vAlign w:val="bottom"/>
          </w:tcPr>
          <w:p>
            <w:pPr>
              <w:ind w:left="160"/>
              <w:spacing w:after="0"/>
              <w:rPr>
                <w:sz w:val="20"/>
                <w:szCs w:val="20"/>
                <w:color w:val="auto"/>
              </w:rPr>
            </w:pPr>
            <w:r>
              <w:rPr>
                <w:rFonts w:ascii="Arial" w:cs="Arial" w:eastAsia="Arial" w:hAnsi="Arial"/>
                <w:sz w:val="18"/>
                <w:szCs w:val="18"/>
                <w:color w:val="auto"/>
              </w:rPr>
              <w:t>809,509</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00" w:type="dxa"/>
            <w:vAlign w:val="bottom"/>
            <w:vMerge w:val="continue"/>
          </w:tcPr>
          <w:p>
            <w:pPr>
              <w:spacing w:after="0"/>
              <w:rPr>
                <w:sz w:val="11"/>
                <w:szCs w:val="11"/>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8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0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809,509</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894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20" w:right="3740" w:hanging="467"/>
        <w:spacing w:after="0" w:line="406" w:lineRule="auto"/>
        <w:tabs>
          <w:tab w:leader="none" w:pos="61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809,509</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140" w:hanging="467"/>
        <w:spacing w:after="0" w:line="402" w:lineRule="auto"/>
        <w:tabs>
          <w:tab w:leader="none" w:pos="6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0.2%</w:t>
      </w:r>
    </w:p>
    <w:p>
      <w:pPr>
        <w:spacing w:after="0" w:line="1" w:lineRule="exact"/>
        <w:rPr>
          <w:rFonts w:ascii="Arial" w:cs="Arial" w:eastAsia="Arial" w:hAnsi="Arial"/>
          <w:sz w:val="18"/>
          <w:szCs w:val="18"/>
          <w:color w:val="auto"/>
        </w:rPr>
      </w:pPr>
    </w:p>
    <w:p>
      <w:pPr>
        <w:ind w:left="620" w:right="5960" w:hanging="467"/>
        <w:spacing w:after="0" w:line="559" w:lineRule="auto"/>
        <w:tabs>
          <w:tab w:leader="none" w:pos="61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TYPE OF REPORTING PERSON (SEE INSTRUCTIONS) OO, IA</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00"/>
          </w:cols>
          <w:pgMar w:left="440" w:top="274" w:right="55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81663L101</w:t>
      </w:r>
    </w:p>
    <w:p>
      <w:pPr>
        <w:spacing w:after="0" w:line="266" w:lineRule="exact"/>
        <w:rPr>
          <w:sz w:val="20"/>
          <w:szCs w:val="20"/>
          <w:color w:val="auto"/>
        </w:rPr>
      </w:pPr>
    </w:p>
    <w:p>
      <w:pPr>
        <w:ind w:left="620" w:hanging="377"/>
        <w:spacing w:after="0"/>
        <w:tabs>
          <w:tab w:leader="none" w:pos="6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6111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Blackstone Holdings I L.P.</w:t>
      </w:r>
    </w:p>
    <w:p>
      <w:pPr>
        <w:spacing w:after="0" w:line="36" w:lineRule="exact"/>
        <w:rPr>
          <w:sz w:val="20"/>
          <w:szCs w:val="20"/>
          <w:color w:val="auto"/>
        </w:rPr>
      </w:pPr>
    </w:p>
    <w:p>
      <w:pPr>
        <w:ind w:left="620" w:hanging="377"/>
        <w:spacing w:after="0"/>
        <w:tabs>
          <w:tab w:leader="none" w:pos="6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7</w:t>
      </w:r>
      <w:r>
        <w:rPr>
          <w:rFonts w:ascii="Arial" w:cs="Arial" w:eastAsia="Arial" w:hAnsi="Arial"/>
          <w:sz w:val="17"/>
          <w:szCs w:val="17"/>
          <w:color w:val="auto"/>
        </w:rPr>
        <w:t>SOLE VOTING POWER</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60" w:type="dxa"/>
            <w:vAlign w:val="bottom"/>
          </w:tcPr>
          <w:p>
            <w:pPr>
              <w:spacing w:after="0"/>
              <w:rPr>
                <w:sz w:val="18"/>
                <w:szCs w:val="18"/>
                <w:color w:val="auto"/>
              </w:rPr>
            </w:pPr>
          </w:p>
        </w:tc>
        <w:tc>
          <w:tcPr>
            <w:tcW w:w="8940" w:type="dxa"/>
            <w:vAlign w:val="bottom"/>
          </w:tcPr>
          <w:p>
            <w:pPr>
              <w:ind w:left="160"/>
              <w:spacing w:after="0"/>
              <w:rPr>
                <w:sz w:val="20"/>
                <w:szCs w:val="20"/>
                <w:color w:val="auto"/>
              </w:rPr>
            </w:pPr>
            <w:r>
              <w:rPr>
                <w:rFonts w:ascii="Arial" w:cs="Arial" w:eastAsia="Arial" w:hAnsi="Arial"/>
                <w:sz w:val="18"/>
                <w:szCs w:val="18"/>
                <w:color w:val="auto"/>
              </w:rPr>
              <w:t>809,509</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00" w:type="dxa"/>
            <w:vAlign w:val="bottom"/>
            <w:vMerge w:val="continue"/>
          </w:tcPr>
          <w:p>
            <w:pPr>
              <w:spacing w:after="0"/>
              <w:rPr>
                <w:sz w:val="11"/>
                <w:szCs w:val="11"/>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8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0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809,509</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894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20" w:right="3740" w:hanging="467"/>
        <w:spacing w:after="0" w:line="406" w:lineRule="auto"/>
        <w:tabs>
          <w:tab w:leader="none" w:pos="61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809,509</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140" w:hanging="467"/>
        <w:spacing w:after="0" w:line="402" w:lineRule="auto"/>
        <w:tabs>
          <w:tab w:leader="none" w:pos="6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0.2%</w:t>
      </w:r>
    </w:p>
    <w:p>
      <w:pPr>
        <w:spacing w:after="0" w:line="1" w:lineRule="exact"/>
        <w:rPr>
          <w:rFonts w:ascii="Arial" w:cs="Arial" w:eastAsia="Arial" w:hAnsi="Arial"/>
          <w:sz w:val="18"/>
          <w:szCs w:val="18"/>
          <w:color w:val="auto"/>
        </w:rPr>
      </w:pPr>
    </w:p>
    <w:p>
      <w:pPr>
        <w:ind w:left="620" w:right="5960" w:hanging="467"/>
        <w:spacing w:after="0" w:line="493" w:lineRule="auto"/>
        <w:tabs>
          <w:tab w:leader="none" w:pos="61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TYPE OF REPORTING PERSON (SEE INSTRUCTIONS) PN</w:t>
      </w: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00"/>
          </w:cols>
          <w:pgMar w:left="440" w:top="274" w:right="55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81663L101</w:t>
      </w:r>
    </w:p>
    <w:p>
      <w:pPr>
        <w:spacing w:after="0" w:line="266" w:lineRule="exact"/>
        <w:rPr>
          <w:sz w:val="20"/>
          <w:szCs w:val="20"/>
          <w:color w:val="auto"/>
        </w:rPr>
      </w:pPr>
    </w:p>
    <w:p>
      <w:pPr>
        <w:ind w:left="620" w:hanging="377"/>
        <w:spacing w:after="0"/>
        <w:tabs>
          <w:tab w:leader="none" w:pos="6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6111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Blackstone Holdings I/II GP L.L.C.</w:t>
      </w:r>
    </w:p>
    <w:p>
      <w:pPr>
        <w:spacing w:after="0" w:line="36" w:lineRule="exact"/>
        <w:rPr>
          <w:sz w:val="20"/>
          <w:szCs w:val="20"/>
          <w:color w:val="auto"/>
        </w:rPr>
      </w:pPr>
    </w:p>
    <w:p>
      <w:pPr>
        <w:ind w:left="620" w:hanging="377"/>
        <w:spacing w:after="0"/>
        <w:tabs>
          <w:tab w:leader="none" w:pos="6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OO, WC</w:t>
      </w:r>
    </w:p>
    <w:p>
      <w:pPr>
        <w:spacing w:after="0" w:line="36" w:lineRule="exact"/>
        <w:rPr>
          <w:sz w:val="20"/>
          <w:szCs w:val="20"/>
          <w:color w:val="auto"/>
        </w:rPr>
      </w:pPr>
    </w:p>
    <w:p>
      <w:pPr>
        <w:ind w:left="620" w:hanging="377"/>
        <w:spacing w:after="0"/>
        <w:tabs>
          <w:tab w:leader="none" w:pos="6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7</w:t>
      </w:r>
      <w:r>
        <w:rPr>
          <w:rFonts w:ascii="Arial" w:cs="Arial" w:eastAsia="Arial" w:hAnsi="Arial"/>
          <w:sz w:val="17"/>
          <w:szCs w:val="17"/>
          <w:color w:val="auto"/>
        </w:rPr>
        <w:t>SOLE VOTING POWER</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60" w:type="dxa"/>
            <w:vAlign w:val="bottom"/>
          </w:tcPr>
          <w:p>
            <w:pPr>
              <w:spacing w:after="0"/>
              <w:rPr>
                <w:sz w:val="18"/>
                <w:szCs w:val="18"/>
                <w:color w:val="auto"/>
              </w:rPr>
            </w:pPr>
          </w:p>
        </w:tc>
        <w:tc>
          <w:tcPr>
            <w:tcW w:w="8940" w:type="dxa"/>
            <w:vAlign w:val="bottom"/>
          </w:tcPr>
          <w:p>
            <w:pPr>
              <w:ind w:left="160"/>
              <w:spacing w:after="0"/>
              <w:rPr>
                <w:sz w:val="20"/>
                <w:szCs w:val="20"/>
                <w:color w:val="auto"/>
              </w:rPr>
            </w:pPr>
            <w:r>
              <w:rPr>
                <w:rFonts w:ascii="Arial" w:cs="Arial" w:eastAsia="Arial" w:hAnsi="Arial"/>
                <w:sz w:val="18"/>
                <w:szCs w:val="18"/>
                <w:color w:val="auto"/>
              </w:rPr>
              <w:t>1,365,006</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00" w:type="dxa"/>
            <w:vAlign w:val="bottom"/>
            <w:vMerge w:val="continue"/>
          </w:tcPr>
          <w:p>
            <w:pPr>
              <w:spacing w:after="0"/>
              <w:rPr>
                <w:sz w:val="11"/>
                <w:szCs w:val="11"/>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8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0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1,365,006</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894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20" w:right="3740" w:hanging="467"/>
        <w:spacing w:after="0" w:line="406" w:lineRule="auto"/>
        <w:tabs>
          <w:tab w:leader="none" w:pos="61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1,365,006</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140" w:hanging="467"/>
        <w:spacing w:after="0" w:line="402" w:lineRule="auto"/>
        <w:tabs>
          <w:tab w:leader="none" w:pos="6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0.4%</w:t>
      </w:r>
    </w:p>
    <w:p>
      <w:pPr>
        <w:spacing w:after="0" w:line="1" w:lineRule="exact"/>
        <w:rPr>
          <w:rFonts w:ascii="Arial" w:cs="Arial" w:eastAsia="Arial" w:hAnsi="Arial"/>
          <w:sz w:val="18"/>
          <w:szCs w:val="18"/>
          <w:color w:val="auto"/>
        </w:rPr>
      </w:pPr>
    </w:p>
    <w:p>
      <w:pPr>
        <w:ind w:left="620" w:right="5960" w:hanging="467"/>
        <w:spacing w:after="0" w:line="559" w:lineRule="auto"/>
        <w:tabs>
          <w:tab w:leader="none" w:pos="61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00"/>
          </w:cols>
          <w:pgMar w:left="440" w:top="274" w:right="55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81663L101</w:t>
      </w:r>
    </w:p>
    <w:p>
      <w:pPr>
        <w:spacing w:after="0" w:line="266" w:lineRule="exact"/>
        <w:rPr>
          <w:sz w:val="20"/>
          <w:szCs w:val="20"/>
          <w:color w:val="auto"/>
        </w:rPr>
      </w:pPr>
    </w:p>
    <w:p>
      <w:pPr>
        <w:ind w:left="620" w:hanging="377"/>
        <w:spacing w:after="0"/>
        <w:tabs>
          <w:tab w:leader="none" w:pos="6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6111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Blackstone Inc.</w:t>
      </w:r>
    </w:p>
    <w:p>
      <w:pPr>
        <w:spacing w:after="0" w:line="36" w:lineRule="exact"/>
        <w:rPr>
          <w:sz w:val="20"/>
          <w:szCs w:val="20"/>
          <w:color w:val="auto"/>
        </w:rPr>
      </w:pPr>
    </w:p>
    <w:p>
      <w:pPr>
        <w:ind w:left="620" w:hanging="377"/>
        <w:spacing w:after="0"/>
        <w:tabs>
          <w:tab w:leader="none" w:pos="6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OO, WC</w:t>
      </w:r>
    </w:p>
    <w:p>
      <w:pPr>
        <w:spacing w:after="0" w:line="36" w:lineRule="exact"/>
        <w:rPr>
          <w:sz w:val="20"/>
          <w:szCs w:val="20"/>
          <w:color w:val="auto"/>
        </w:rPr>
      </w:pPr>
    </w:p>
    <w:p>
      <w:pPr>
        <w:ind w:left="620" w:hanging="377"/>
        <w:spacing w:after="0"/>
        <w:tabs>
          <w:tab w:leader="none" w:pos="6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7</w:t>
      </w:r>
      <w:r>
        <w:rPr>
          <w:rFonts w:ascii="Arial" w:cs="Arial" w:eastAsia="Arial" w:hAnsi="Arial"/>
          <w:sz w:val="17"/>
          <w:szCs w:val="17"/>
          <w:color w:val="auto"/>
        </w:rPr>
        <w:t>SOLE VOTING POWER</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60" w:type="dxa"/>
            <w:vAlign w:val="bottom"/>
          </w:tcPr>
          <w:p>
            <w:pPr>
              <w:spacing w:after="0"/>
              <w:rPr>
                <w:sz w:val="18"/>
                <w:szCs w:val="18"/>
                <w:color w:val="auto"/>
              </w:rPr>
            </w:pPr>
          </w:p>
        </w:tc>
        <w:tc>
          <w:tcPr>
            <w:tcW w:w="8940" w:type="dxa"/>
            <w:vAlign w:val="bottom"/>
          </w:tcPr>
          <w:p>
            <w:pPr>
              <w:ind w:left="160"/>
              <w:spacing w:after="0"/>
              <w:rPr>
                <w:sz w:val="20"/>
                <w:szCs w:val="20"/>
                <w:color w:val="auto"/>
              </w:rPr>
            </w:pPr>
            <w:r>
              <w:rPr>
                <w:rFonts w:ascii="Arial" w:cs="Arial" w:eastAsia="Arial" w:hAnsi="Arial"/>
                <w:sz w:val="18"/>
                <w:szCs w:val="18"/>
                <w:color w:val="auto"/>
              </w:rPr>
              <w:t>28,366,502</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00" w:type="dxa"/>
            <w:vAlign w:val="bottom"/>
            <w:vMerge w:val="continue"/>
          </w:tcPr>
          <w:p>
            <w:pPr>
              <w:spacing w:after="0"/>
              <w:rPr>
                <w:sz w:val="11"/>
                <w:szCs w:val="11"/>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8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0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28,366,502</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894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20" w:right="3740" w:hanging="467"/>
        <w:spacing w:after="0" w:line="406" w:lineRule="auto"/>
        <w:tabs>
          <w:tab w:leader="none" w:pos="61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28,366,502</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140" w:hanging="467"/>
        <w:spacing w:after="0" w:line="402" w:lineRule="auto"/>
        <w:tabs>
          <w:tab w:leader="none" w:pos="6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PERCENT OF CLASS REPRESENTED BY AMOUNT IN ROW (11) 7.5%</w:t>
      </w:r>
    </w:p>
    <w:p>
      <w:pPr>
        <w:spacing w:after="0" w:line="1" w:lineRule="exact"/>
        <w:rPr>
          <w:rFonts w:ascii="Arial" w:cs="Arial" w:eastAsia="Arial" w:hAnsi="Arial"/>
          <w:sz w:val="18"/>
          <w:szCs w:val="18"/>
          <w:color w:val="auto"/>
        </w:rPr>
      </w:pPr>
    </w:p>
    <w:p>
      <w:pPr>
        <w:ind w:left="620" w:right="5960" w:hanging="467"/>
        <w:spacing w:after="0" w:line="493" w:lineRule="auto"/>
        <w:tabs>
          <w:tab w:leader="none" w:pos="61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TYPE OF REPORTING PERSON (SEE INSTRUCTIONS) CO</w:t>
      </w: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00"/>
          </w:cols>
          <w:pgMar w:left="440" w:top="274" w:right="55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81663L101</w:t>
      </w:r>
    </w:p>
    <w:p>
      <w:pPr>
        <w:spacing w:after="0" w:line="266" w:lineRule="exact"/>
        <w:rPr>
          <w:sz w:val="20"/>
          <w:szCs w:val="20"/>
          <w:color w:val="auto"/>
        </w:rPr>
      </w:pPr>
    </w:p>
    <w:p>
      <w:pPr>
        <w:ind w:left="620" w:hanging="377"/>
        <w:spacing w:after="0"/>
        <w:tabs>
          <w:tab w:leader="none" w:pos="6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6111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Blackstone Group Management L.L.C.</w:t>
      </w:r>
    </w:p>
    <w:p>
      <w:pPr>
        <w:spacing w:after="0" w:line="36" w:lineRule="exact"/>
        <w:rPr>
          <w:sz w:val="20"/>
          <w:szCs w:val="20"/>
          <w:color w:val="auto"/>
        </w:rPr>
      </w:pPr>
    </w:p>
    <w:p>
      <w:pPr>
        <w:ind w:left="620" w:hanging="377"/>
        <w:spacing w:after="0"/>
        <w:tabs>
          <w:tab w:leader="none" w:pos="6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OO, WC</w:t>
      </w:r>
    </w:p>
    <w:p>
      <w:pPr>
        <w:spacing w:after="0" w:line="36" w:lineRule="exact"/>
        <w:rPr>
          <w:sz w:val="20"/>
          <w:szCs w:val="20"/>
          <w:color w:val="auto"/>
        </w:rPr>
      </w:pPr>
    </w:p>
    <w:p>
      <w:pPr>
        <w:ind w:left="620" w:hanging="377"/>
        <w:spacing w:after="0"/>
        <w:tabs>
          <w:tab w:leader="none" w:pos="6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7</w:t>
      </w:r>
      <w:r>
        <w:rPr>
          <w:rFonts w:ascii="Arial" w:cs="Arial" w:eastAsia="Arial" w:hAnsi="Arial"/>
          <w:sz w:val="17"/>
          <w:szCs w:val="17"/>
          <w:color w:val="auto"/>
        </w:rPr>
        <w:t>SOLE VOTING POWER</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60" w:type="dxa"/>
            <w:vAlign w:val="bottom"/>
          </w:tcPr>
          <w:p>
            <w:pPr>
              <w:spacing w:after="0"/>
              <w:rPr>
                <w:sz w:val="18"/>
                <w:szCs w:val="18"/>
                <w:color w:val="auto"/>
              </w:rPr>
            </w:pPr>
          </w:p>
        </w:tc>
        <w:tc>
          <w:tcPr>
            <w:tcW w:w="8940" w:type="dxa"/>
            <w:vAlign w:val="bottom"/>
          </w:tcPr>
          <w:p>
            <w:pPr>
              <w:ind w:left="160"/>
              <w:spacing w:after="0"/>
              <w:rPr>
                <w:sz w:val="20"/>
                <w:szCs w:val="20"/>
                <w:color w:val="auto"/>
              </w:rPr>
            </w:pPr>
            <w:r>
              <w:rPr>
                <w:rFonts w:ascii="Arial" w:cs="Arial" w:eastAsia="Arial" w:hAnsi="Arial"/>
                <w:sz w:val="18"/>
                <w:szCs w:val="18"/>
                <w:color w:val="auto"/>
              </w:rPr>
              <w:t>28,366,502</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00" w:type="dxa"/>
            <w:vAlign w:val="bottom"/>
            <w:vMerge w:val="continue"/>
          </w:tcPr>
          <w:p>
            <w:pPr>
              <w:spacing w:after="0"/>
              <w:rPr>
                <w:sz w:val="11"/>
                <w:szCs w:val="11"/>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8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0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28,366,502</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894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20" w:right="3740" w:hanging="467"/>
        <w:spacing w:after="0" w:line="406" w:lineRule="auto"/>
        <w:tabs>
          <w:tab w:leader="none" w:pos="61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28,366,502</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140" w:hanging="467"/>
        <w:spacing w:after="0" w:line="402" w:lineRule="auto"/>
        <w:tabs>
          <w:tab w:leader="none" w:pos="6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7.5%</w:t>
      </w:r>
    </w:p>
    <w:p>
      <w:pPr>
        <w:spacing w:after="0" w:line="1" w:lineRule="exact"/>
        <w:rPr>
          <w:rFonts w:ascii="Arial" w:cs="Arial" w:eastAsia="Arial" w:hAnsi="Arial"/>
          <w:sz w:val="18"/>
          <w:szCs w:val="18"/>
          <w:color w:val="auto"/>
        </w:rPr>
      </w:pPr>
    </w:p>
    <w:p>
      <w:pPr>
        <w:ind w:left="620" w:right="5960" w:hanging="467"/>
        <w:spacing w:after="0" w:line="559" w:lineRule="auto"/>
        <w:tabs>
          <w:tab w:leader="none" w:pos="61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00"/>
          </w:cols>
          <w:pgMar w:left="440" w:top="274" w:right="55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81663L101</w:t>
      </w:r>
    </w:p>
    <w:p>
      <w:pPr>
        <w:spacing w:after="0" w:line="266" w:lineRule="exact"/>
        <w:rPr>
          <w:sz w:val="20"/>
          <w:szCs w:val="20"/>
          <w:color w:val="auto"/>
        </w:rPr>
      </w:pPr>
    </w:p>
    <w:p>
      <w:pPr>
        <w:ind w:left="620" w:hanging="377"/>
        <w:spacing w:after="0"/>
        <w:tabs>
          <w:tab w:leader="none" w:pos="6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6111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Stephen A. Schwarzman</w:t>
      </w:r>
    </w:p>
    <w:p>
      <w:pPr>
        <w:spacing w:after="0" w:line="36" w:lineRule="exact"/>
        <w:rPr>
          <w:sz w:val="20"/>
          <w:szCs w:val="20"/>
          <w:color w:val="auto"/>
        </w:rPr>
      </w:pPr>
    </w:p>
    <w:p>
      <w:pPr>
        <w:ind w:left="620" w:hanging="377"/>
        <w:spacing w:after="0"/>
        <w:tabs>
          <w:tab w:leader="none" w:pos="6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OO, WC</w:t>
      </w:r>
    </w:p>
    <w:p>
      <w:pPr>
        <w:spacing w:after="0" w:line="36" w:lineRule="exact"/>
        <w:rPr>
          <w:sz w:val="20"/>
          <w:szCs w:val="20"/>
          <w:color w:val="auto"/>
        </w:rPr>
      </w:pPr>
    </w:p>
    <w:p>
      <w:pPr>
        <w:ind w:left="620" w:hanging="377"/>
        <w:spacing w:after="0"/>
        <w:tabs>
          <w:tab w:leader="none" w:pos="6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7</w:t>
      </w:r>
      <w:r>
        <w:rPr>
          <w:rFonts w:ascii="Arial" w:cs="Arial" w:eastAsia="Arial" w:hAnsi="Arial"/>
          <w:sz w:val="17"/>
          <w:szCs w:val="17"/>
          <w:color w:val="auto"/>
        </w:rPr>
        <w:t>SOLE VOTING POWER</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60" w:type="dxa"/>
            <w:vAlign w:val="bottom"/>
          </w:tcPr>
          <w:p>
            <w:pPr>
              <w:spacing w:after="0"/>
              <w:rPr>
                <w:sz w:val="18"/>
                <w:szCs w:val="18"/>
                <w:color w:val="auto"/>
              </w:rPr>
            </w:pPr>
          </w:p>
        </w:tc>
        <w:tc>
          <w:tcPr>
            <w:tcW w:w="8940" w:type="dxa"/>
            <w:vAlign w:val="bottom"/>
          </w:tcPr>
          <w:p>
            <w:pPr>
              <w:ind w:left="160"/>
              <w:spacing w:after="0"/>
              <w:rPr>
                <w:sz w:val="20"/>
                <w:szCs w:val="20"/>
                <w:color w:val="auto"/>
              </w:rPr>
            </w:pPr>
            <w:r>
              <w:rPr>
                <w:rFonts w:ascii="Arial" w:cs="Arial" w:eastAsia="Arial" w:hAnsi="Arial"/>
                <w:sz w:val="18"/>
                <w:szCs w:val="18"/>
                <w:color w:val="auto"/>
              </w:rPr>
              <w:t>28,366,502</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00" w:type="dxa"/>
            <w:vAlign w:val="bottom"/>
            <w:vMerge w:val="continue"/>
          </w:tcPr>
          <w:p>
            <w:pPr>
              <w:spacing w:after="0"/>
              <w:rPr>
                <w:sz w:val="11"/>
                <w:szCs w:val="11"/>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8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0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28,366,502</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894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20" w:right="3740" w:hanging="467"/>
        <w:spacing w:after="0" w:line="406" w:lineRule="auto"/>
        <w:tabs>
          <w:tab w:leader="none" w:pos="61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28,866,502</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140" w:hanging="467"/>
        <w:spacing w:after="0" w:line="402" w:lineRule="auto"/>
        <w:tabs>
          <w:tab w:leader="none" w:pos="6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PERCENT OF CLASS REPRESENTED BY AMOUNT IN ROW (11) 7.5%</w:t>
      </w:r>
    </w:p>
    <w:p>
      <w:pPr>
        <w:spacing w:after="0" w:line="1" w:lineRule="exact"/>
        <w:rPr>
          <w:rFonts w:ascii="Arial" w:cs="Arial" w:eastAsia="Arial" w:hAnsi="Arial"/>
          <w:sz w:val="18"/>
          <w:szCs w:val="18"/>
          <w:color w:val="auto"/>
        </w:rPr>
      </w:pPr>
    </w:p>
    <w:p>
      <w:pPr>
        <w:ind w:left="620" w:right="5960" w:hanging="467"/>
        <w:spacing w:after="0" w:line="493" w:lineRule="auto"/>
        <w:tabs>
          <w:tab w:leader="none" w:pos="61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TYPE OF REPORTING PERSON (SEE INSTRUCTIONS) IN</w:t>
      </w: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00"/>
          </w:cols>
          <w:pgMar w:left="440" w:top="274" w:right="559" w:bottom="1440" w:gutter="0" w:footer="0" w:header="0"/>
        </w:sectPr>
      </w:pPr>
    </w:p>
    <w:bookmarkStart w:id="21" w:name="page22"/>
    <w:bookmarkEnd w:id="21"/>
    <w:p>
      <w:pPr>
        <w:ind w:left="4" w:right="2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Amendment No. 2 (“</w:t>
      </w:r>
      <w:r>
        <w:rPr>
          <w:rFonts w:ascii="Arial" w:cs="Arial" w:eastAsia="Arial" w:hAnsi="Arial"/>
          <w:sz w:val="18"/>
          <w:szCs w:val="18"/>
          <w:u w:val="single" w:color="auto"/>
          <w:color w:val="auto"/>
        </w:rPr>
        <w:t>Amendment No. 2</w:t>
      </w:r>
      <w:r>
        <w:rPr>
          <w:rFonts w:ascii="Arial" w:cs="Arial" w:eastAsia="Arial" w:hAnsi="Arial"/>
          <w:sz w:val="18"/>
          <w:szCs w:val="18"/>
          <w:color w:val="auto"/>
        </w:rPr>
        <w:t>”) to Schedule 13D relates to the Class A common stock, par value $0.0001 per share (the “</w:t>
      </w:r>
      <w:r>
        <w:rPr>
          <w:rFonts w:ascii="Arial" w:cs="Arial" w:eastAsia="Arial" w:hAnsi="Arial"/>
          <w:sz w:val="18"/>
          <w:szCs w:val="18"/>
          <w:u w:val="single" w:color="auto"/>
          <w:color w:val="auto"/>
        </w:rPr>
        <w:t>Class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Common Stock</w:t>
      </w:r>
      <w:r>
        <w:rPr>
          <w:rFonts w:ascii="Arial" w:cs="Arial" w:eastAsia="Arial" w:hAnsi="Arial"/>
          <w:sz w:val="18"/>
          <w:szCs w:val="18"/>
          <w:color w:val="auto"/>
        </w:rPr>
        <w:t>”), of Sema4 Holdings Corp. (formerly known as CM Life Sciences, Inc.), a Delaware corporation (the “</w:t>
      </w:r>
      <w:r>
        <w:rPr>
          <w:rFonts w:ascii="Arial" w:cs="Arial" w:eastAsia="Arial" w:hAnsi="Arial"/>
          <w:sz w:val="18"/>
          <w:szCs w:val="18"/>
          <w:u w:val="single" w:color="auto"/>
          <w:color w:val="auto"/>
        </w:rPr>
        <w:t>Issuer</w:t>
      </w:r>
      <w:r>
        <w:rPr>
          <w:rFonts w:ascii="Arial" w:cs="Arial" w:eastAsia="Arial" w:hAnsi="Arial"/>
          <w:sz w:val="18"/>
          <w:szCs w:val="18"/>
          <w:color w:val="auto"/>
        </w:rPr>
        <w:t>”), and amends and supplements the initial statement on Schedule 13D filed on August 30, 2021, as amended by Amendment No. 1 to Schedule 13D filed on January 20, 2022 (as amended, the “</w:t>
      </w:r>
      <w:r>
        <w:rPr>
          <w:rFonts w:ascii="Arial" w:cs="Arial" w:eastAsia="Arial" w:hAnsi="Arial"/>
          <w:sz w:val="18"/>
          <w:szCs w:val="18"/>
          <w:u w:val="single" w:color="auto"/>
          <w:color w:val="auto"/>
        </w:rPr>
        <w:t>Schedule 13D</w:t>
      </w:r>
      <w:r>
        <w:rPr>
          <w:rFonts w:ascii="Arial" w:cs="Arial" w:eastAsia="Arial" w:hAnsi="Arial"/>
          <w:sz w:val="18"/>
          <w:szCs w:val="18"/>
          <w:color w:val="auto"/>
        </w:rPr>
        <w:t>”). Capitalized terms used but not defined in this Amendment No. 2 shall have the same meanings ascribed to them in the Schedule 13D.</w:t>
      </w:r>
    </w:p>
    <w:p>
      <w:pPr>
        <w:spacing w:after="0" w:line="332"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121"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color w:val="auto"/>
        </w:rPr>
        <w:t xml:space="preserve">Item 2 of the Schedule 13D is hereby amended by incorporating herein by reference the information set forth on the updated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attached to this Amendment No. 2.</w:t>
      </w:r>
    </w:p>
    <w:p>
      <w:pPr>
        <w:spacing w:after="0" w:line="315"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Item 3 of the Schedule 13D is hereby supplemented as follows: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information set forth in Item 4 of this Amendment No. 2 is hereby incorporated by reference into this Item 3.</w:t>
      </w:r>
    </w:p>
    <w:p>
      <w:pPr>
        <w:spacing w:after="0" w:line="37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Purpose of Transaction</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Item 4 of the Schedule 13D is hereby amended and supplemented by the following:</w:t>
      </w:r>
    </w:p>
    <w:p>
      <w:pPr>
        <w:spacing w:after="0" w:line="225"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color w:val="auto"/>
        </w:rPr>
        <w:t>As contemplated by the Subscription Agreement previously described in Amendment No. 1 to this Schedule 13D, in connection with the closing by the Issuer of the GeneDx Transactions, on April 29, 2022, BTO Sema4 Holdings L.P., Blackstone Tactical Opportunities Fund – FD L.P., and Blackstone Family Tactical Opportunities Investment Partnership III ESC L.P. (the “</w:t>
      </w:r>
      <w:r>
        <w:rPr>
          <w:rFonts w:ascii="Arial" w:cs="Arial" w:eastAsia="Arial" w:hAnsi="Arial"/>
          <w:sz w:val="18"/>
          <w:szCs w:val="18"/>
          <w:u w:val="single" w:color="auto"/>
          <w:color w:val="auto"/>
        </w:rPr>
        <w:t>PIPE Purchasers</w:t>
      </w:r>
      <w:r>
        <w:rPr>
          <w:rFonts w:ascii="Arial" w:cs="Arial" w:eastAsia="Arial" w:hAnsi="Arial"/>
          <w:sz w:val="18"/>
          <w:szCs w:val="18"/>
          <w:color w:val="auto"/>
        </w:rPr>
        <w:t>”) purchased from the Issuer in a private placement at a purchase price of $4.00 per share the number of shares of Class A Common Stock set forth below:</w:t>
      </w:r>
    </w:p>
    <w:p>
      <w:pPr>
        <w:spacing w:after="0" w:line="209" w:lineRule="exact"/>
        <w:rPr>
          <w:sz w:val="20"/>
          <w:szCs w:val="20"/>
          <w:color w:val="auto"/>
        </w:rPr>
      </w:pPr>
    </w:p>
    <w:tbl>
      <w:tblPr>
        <w:tblLayout w:type="fixed"/>
        <w:tblInd w:w="1764" w:type="dxa"/>
        <w:tblCellMar>
          <w:top w:w="0" w:type="dxa"/>
          <w:left w:w="0" w:type="dxa"/>
          <w:bottom w:w="0" w:type="dxa"/>
          <w:right w:w="0" w:type="dxa"/>
        </w:tblCellMar>
      </w:tblPr>
      <w:tr>
        <w:trPr>
          <w:trHeight w:val="167"/>
        </w:trPr>
        <w:tc>
          <w:tcPr>
            <w:tcW w:w="6380" w:type="dxa"/>
            <w:vAlign w:val="bottom"/>
            <w:gridSpan w:val="2"/>
          </w:tcPr>
          <w:p>
            <w:pPr>
              <w:spacing w:after="0"/>
              <w:rPr>
                <w:sz w:val="20"/>
                <w:szCs w:val="20"/>
                <w:color w:val="auto"/>
              </w:rPr>
            </w:pPr>
            <w:r>
              <w:rPr>
                <w:rFonts w:ascii="Arial" w:cs="Arial" w:eastAsia="Arial" w:hAnsi="Arial"/>
                <w:sz w:val="14"/>
                <w:szCs w:val="14"/>
                <w:color w:val="auto"/>
              </w:rPr>
              <w:t>Reporting Person/PIPE Purchaser</w:t>
            </w: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w w:val="89"/>
              </w:rPr>
              <w:t>Number of Shares</w:t>
            </w:r>
          </w:p>
        </w:tc>
      </w:tr>
      <w:tr>
        <w:trPr>
          <w:trHeight w:val="20"/>
        </w:trPr>
        <w:tc>
          <w:tcPr>
            <w:tcW w:w="1940" w:type="dxa"/>
            <w:vAlign w:val="bottom"/>
            <w:tcBorders>
              <w:bottom w:val="single" w:sz="8" w:color="CCEEFF"/>
            </w:tcBorders>
            <w:shd w:val="clear" w:color="auto" w:fill="000000"/>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63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BTO Sema4 Holdings L.P.,</w:t>
            </w: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2,434,863</w:t>
            </w:r>
          </w:p>
        </w:tc>
        <w:tc>
          <w:tcPr>
            <w:tcW w:w="60" w:type="dxa"/>
            <w:vAlign w:val="bottom"/>
            <w:shd w:val="clear" w:color="auto" w:fill="CCEEFF"/>
          </w:tcPr>
          <w:p>
            <w:pPr>
              <w:spacing w:after="0"/>
              <w:rPr>
                <w:sz w:val="17"/>
                <w:szCs w:val="17"/>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Blackstone Tactical Opportunities Fund – FD L.P.</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50,402</w:t>
            </w: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Blackstone Family Tactical Opportunities Investment Partnership III ESC L.P.</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14,735</w:t>
            </w:r>
          </w:p>
        </w:tc>
      </w:tr>
    </w:tbl>
    <w:p>
      <w:pPr>
        <w:spacing w:after="0" w:line="202"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payment of the aggregate purchase price by the PIPE Purchasers was funded by capital contributions from their respective partners.</w:t>
      </w:r>
    </w:p>
    <w:p>
      <w:pPr>
        <w:spacing w:after="0" w:line="37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Items 5(a)-(c) of the Schedule 13D are hereby amended and restated as follows:</w:t>
      </w:r>
    </w:p>
    <w:p>
      <w:pPr>
        <w:spacing w:after="0" w:line="225" w:lineRule="exact"/>
        <w:rPr>
          <w:sz w:val="20"/>
          <w:szCs w:val="20"/>
          <w:color w:val="auto"/>
        </w:rPr>
      </w:pPr>
    </w:p>
    <w:p>
      <w:pPr>
        <w:ind w:left="4" w:hanging="4"/>
        <w:spacing w:after="0" w:line="257" w:lineRule="auto"/>
        <w:tabs>
          <w:tab w:leader="none" w:pos="249"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and (b) Calculations of the percentage of the shares of Class A Common Stock beneficially owned assumes that there were 377,249,186 shares of Class A Common Stock outstanding as of April 29, 2022, as disclosed by the Issuer to the Reporting Persons (after giving effect to the issuance of Class A Common Stock by the Issuer pursuant to the closing of the GeneDx Transactions and related private placement transactions, including pursuant to the closing under the Subscription Agreement), and takes into account shares of Class A Common Stock underlying warrants beneficially owned by the Reporting Persons, as applicable.</w:t>
      </w:r>
    </w:p>
    <w:p>
      <w:pPr>
        <w:spacing w:after="0" w:line="188" w:lineRule="exact"/>
        <w:rPr>
          <w:sz w:val="20"/>
          <w:szCs w:val="20"/>
          <w:color w:val="auto"/>
        </w:rPr>
      </w:pPr>
    </w:p>
    <w:p>
      <w:pPr>
        <w:ind w:left="4" w:right="60"/>
        <w:spacing w:after="0" w:line="259" w:lineRule="auto"/>
        <w:rPr>
          <w:sz w:val="20"/>
          <w:szCs w:val="20"/>
          <w:color w:val="auto"/>
        </w:rPr>
      </w:pPr>
      <w:r>
        <w:rPr>
          <w:rFonts w:ascii="Arial" w:cs="Arial" w:eastAsia="Arial" w:hAnsi="Arial"/>
          <w:sz w:val="18"/>
          <w:szCs w:val="18"/>
          <w:color w:val="auto"/>
        </w:rPr>
        <w:t>The aggregate number and percentage of the Class A Common Stock beneficially owned by each Reporting Person and, for each Reporting Person, the number of shares as to which there is sole power to vote or to direct the vote, shared power to vote or to direct the vote, sole power to dispose or to direct the disposition, or shared power to dispose or to direct the disposition are set forth on rows 7 through 11 and row 13 of the cover pages of this Schedule 13D and are incorporated herein by reference.</w:t>
      </w:r>
    </w:p>
    <w:p>
      <w:pPr>
        <w:spacing w:after="0" w:line="187" w:lineRule="exact"/>
        <w:rPr>
          <w:sz w:val="20"/>
          <w:szCs w:val="20"/>
          <w:color w:val="auto"/>
        </w:rPr>
      </w:pPr>
    </w:p>
    <w:p>
      <w:pPr>
        <w:ind w:left="4" w:right="320"/>
        <w:spacing w:after="0" w:line="277" w:lineRule="auto"/>
        <w:rPr>
          <w:sz w:val="20"/>
          <w:szCs w:val="20"/>
          <w:color w:val="auto"/>
        </w:rPr>
      </w:pPr>
      <w:r>
        <w:rPr>
          <w:rFonts w:ascii="Arial" w:cs="Arial" w:eastAsia="Arial" w:hAnsi="Arial"/>
          <w:sz w:val="18"/>
          <w:szCs w:val="18"/>
          <w:color w:val="auto"/>
        </w:rPr>
        <w:t>None of the shares of Class A Common Stock underlying Earnout Rights are included in the beneficial ownership of the Reporting Persons because none of the related thresholds have been satisfied.</w:t>
      </w:r>
    </w:p>
    <w:p>
      <w:pPr>
        <w:spacing w:after="0" w:line="103"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4"/>
          </w:cols>
          <w:pgMar w:left="436" w:top="274" w:right="519" w:bottom="1440" w:gutter="0" w:footer="0" w:header="0"/>
        </w:sectPr>
      </w:pPr>
    </w:p>
    <w:bookmarkStart w:id="22" w:name="page23"/>
    <w:bookmarkEnd w:id="2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of the date hereof,</w:t>
      </w:r>
    </w:p>
    <w:p>
      <w:pPr>
        <w:spacing w:after="0" w:line="225" w:lineRule="exact"/>
        <w:rPr>
          <w:sz w:val="20"/>
          <w:szCs w:val="20"/>
          <w:color w:val="auto"/>
        </w:rPr>
      </w:pPr>
    </w:p>
    <w:p>
      <w:pPr>
        <w:ind w:left="4" w:right="120" w:hanging="4"/>
        <w:spacing w:after="0" w:line="277" w:lineRule="auto"/>
        <w:tabs>
          <w:tab w:leader="none" w:pos="219" w:val="left"/>
        </w:tabs>
        <w:numPr>
          <w:ilvl w:val="0"/>
          <w:numId w:val="144"/>
        </w:numPr>
        <w:rPr>
          <w:rFonts w:ascii="Arial" w:cs="Arial" w:eastAsia="Arial" w:hAnsi="Arial"/>
          <w:sz w:val="18"/>
          <w:szCs w:val="18"/>
          <w:color w:val="auto"/>
        </w:rPr>
      </w:pPr>
      <w:r>
        <w:rPr>
          <w:rFonts w:ascii="Arial" w:cs="Arial" w:eastAsia="Arial" w:hAnsi="Arial"/>
          <w:sz w:val="18"/>
          <w:szCs w:val="18"/>
          <w:color w:val="auto"/>
        </w:rPr>
        <w:t>BTO Sema4 Holdings L.P. directly holds 26,839,187 shares of Class A Common Stock and Earnout Rights with respect to up to 2,750,264 shares of Class A Common Stock;</w:t>
      </w:r>
    </w:p>
    <w:p>
      <w:pPr>
        <w:spacing w:after="0" w:line="170" w:lineRule="exact"/>
        <w:rPr>
          <w:rFonts w:ascii="Arial" w:cs="Arial" w:eastAsia="Arial" w:hAnsi="Arial"/>
          <w:sz w:val="18"/>
          <w:szCs w:val="18"/>
          <w:color w:val="auto"/>
        </w:rPr>
      </w:pPr>
    </w:p>
    <w:p>
      <w:pPr>
        <w:ind w:left="4" w:right="80" w:hanging="4"/>
        <w:spacing w:after="0" w:line="277" w:lineRule="auto"/>
        <w:tabs>
          <w:tab w:leader="none" w:pos="269" w:val="left"/>
        </w:tabs>
        <w:numPr>
          <w:ilvl w:val="0"/>
          <w:numId w:val="144"/>
        </w:numPr>
        <w:rPr>
          <w:rFonts w:ascii="Arial" w:cs="Arial" w:eastAsia="Arial" w:hAnsi="Arial"/>
          <w:sz w:val="18"/>
          <w:szCs w:val="18"/>
          <w:color w:val="auto"/>
        </w:rPr>
      </w:pPr>
      <w:r>
        <w:rPr>
          <w:rFonts w:ascii="Arial" w:cs="Arial" w:eastAsia="Arial" w:hAnsi="Arial"/>
          <w:sz w:val="18"/>
          <w:szCs w:val="18"/>
          <w:color w:val="auto"/>
        </w:rPr>
        <w:t>Blackstone Tactical Opportunities Fund – FD L.P. directly holds 555,497 shares of Class A Common Stock and Earnout Rights with respect to up to 56,922 shares of Class A Common Stock;</w:t>
      </w:r>
    </w:p>
    <w:p>
      <w:pPr>
        <w:spacing w:after="0" w:line="170" w:lineRule="exact"/>
        <w:rPr>
          <w:rFonts w:ascii="Arial" w:cs="Arial" w:eastAsia="Arial" w:hAnsi="Arial"/>
          <w:sz w:val="18"/>
          <w:szCs w:val="18"/>
          <w:color w:val="auto"/>
        </w:rPr>
      </w:pPr>
    </w:p>
    <w:p>
      <w:pPr>
        <w:ind w:left="4" w:right="20" w:hanging="4"/>
        <w:spacing w:after="0" w:line="277" w:lineRule="auto"/>
        <w:tabs>
          <w:tab w:leader="none" w:pos="319" w:val="left"/>
        </w:tabs>
        <w:numPr>
          <w:ilvl w:val="0"/>
          <w:numId w:val="144"/>
        </w:numPr>
        <w:rPr>
          <w:rFonts w:ascii="Arial" w:cs="Arial" w:eastAsia="Arial" w:hAnsi="Arial"/>
          <w:sz w:val="18"/>
          <w:szCs w:val="18"/>
          <w:color w:val="auto"/>
        </w:rPr>
      </w:pPr>
      <w:r>
        <w:rPr>
          <w:rFonts w:ascii="Arial" w:cs="Arial" w:eastAsia="Arial" w:hAnsi="Arial"/>
          <w:sz w:val="18"/>
          <w:szCs w:val="18"/>
          <w:color w:val="auto"/>
        </w:rPr>
        <w:t>Blackstone Family Tactical Opportunities Investment Partnership III ESC L.P. directly holds 162,309 shares of Class A Common Stock and Earnout Rights with respect to up to 16,632 shares of Class A Common Stock; and</w:t>
      </w:r>
    </w:p>
    <w:p>
      <w:pPr>
        <w:spacing w:after="0" w:line="170" w:lineRule="exact"/>
        <w:rPr>
          <w:rFonts w:ascii="Arial" w:cs="Arial" w:eastAsia="Arial" w:hAnsi="Arial"/>
          <w:sz w:val="18"/>
          <w:szCs w:val="18"/>
          <w:color w:val="auto"/>
        </w:rPr>
      </w:pPr>
    </w:p>
    <w:p>
      <w:pPr>
        <w:jc w:val="both"/>
        <w:ind w:left="4" w:right="180" w:hanging="4"/>
        <w:spacing w:after="0" w:line="311" w:lineRule="auto"/>
        <w:tabs>
          <w:tab w:leader="none" w:pos="309" w:val="left"/>
        </w:tabs>
        <w:numPr>
          <w:ilvl w:val="0"/>
          <w:numId w:val="144"/>
        </w:numPr>
        <w:rPr>
          <w:rFonts w:ascii="Arial" w:cs="Arial" w:eastAsia="Arial" w:hAnsi="Arial"/>
          <w:sz w:val="16"/>
          <w:szCs w:val="16"/>
          <w:color w:val="auto"/>
        </w:rPr>
      </w:pPr>
      <w:r>
        <w:rPr>
          <w:rFonts w:ascii="Arial" w:cs="Arial" w:eastAsia="Arial" w:hAnsi="Arial"/>
          <w:sz w:val="16"/>
          <w:szCs w:val="16"/>
          <w:color w:val="auto"/>
        </w:rPr>
        <w:t>Blackstone Aqua Master Sub-Fund, a sub-fund of Blackstone Global Master Fund ICAV, directly holds 100,000 shares of Class A Common Stock and warrants to purchase 709,509 shares of Class A Common Stock which are exercisable within 60 days. Each warrant is exercisable to purchase one share of Class A Common Stock at a price of $11.50 per share, subject to adjustment, and became exercisable September 3, 2021.</w:t>
      </w:r>
    </w:p>
    <w:p>
      <w:pPr>
        <w:spacing w:after="0" w:line="149" w:lineRule="exact"/>
        <w:rPr>
          <w:sz w:val="20"/>
          <w:szCs w:val="20"/>
          <w:color w:val="auto"/>
        </w:rPr>
      </w:pPr>
    </w:p>
    <w:p>
      <w:pPr>
        <w:ind w:left="4"/>
        <w:spacing w:after="0" w:line="308" w:lineRule="auto"/>
        <w:rPr>
          <w:sz w:val="20"/>
          <w:szCs w:val="20"/>
          <w:color w:val="auto"/>
        </w:rPr>
      </w:pPr>
      <w:r>
        <w:rPr>
          <w:rFonts w:ascii="Arial" w:cs="Arial" w:eastAsia="Arial" w:hAnsi="Arial"/>
          <w:sz w:val="17"/>
          <w:szCs w:val="17"/>
          <w:color w:val="auto"/>
        </w:rPr>
        <w:t>BTO Holdings Manager L.L.C. is the general partner of BTO Sema4 Holdings L.P. Blackstone Tactical Opportunities Associates L.L.C. is the managing member of BTO Holdings Manager L.L.C. BTOA L.L.C. is the sole member of Blackstone Tactical Opportunities Associates L.L.C.</w:t>
      </w:r>
    </w:p>
    <w:p>
      <w:pPr>
        <w:spacing w:after="0" w:line="146" w:lineRule="exact"/>
        <w:rPr>
          <w:sz w:val="20"/>
          <w:szCs w:val="20"/>
          <w:color w:val="auto"/>
        </w:rPr>
      </w:pPr>
    </w:p>
    <w:p>
      <w:pPr>
        <w:ind w:left="4" w:right="600"/>
        <w:spacing w:after="0" w:line="277" w:lineRule="auto"/>
        <w:rPr>
          <w:sz w:val="20"/>
          <w:szCs w:val="20"/>
          <w:color w:val="auto"/>
        </w:rPr>
      </w:pPr>
      <w:r>
        <w:rPr>
          <w:rFonts w:ascii="Arial" w:cs="Arial" w:eastAsia="Arial" w:hAnsi="Arial"/>
          <w:sz w:val="18"/>
          <w:szCs w:val="18"/>
          <w:color w:val="auto"/>
        </w:rPr>
        <w:t>BTO Side-by-Side GP L.L.C. is the general partner of Blackstone Family Tactical Opportunities Investment Partnership III ESC L.P. Blackstone Holdings III L.P. is the sole member of BTO Side-by-Side GP L.L.C. and the managing member of BTOA L.L.C.</w:t>
      </w:r>
    </w:p>
    <w:p>
      <w:pPr>
        <w:spacing w:after="0" w:line="170" w:lineRule="exact"/>
        <w:rPr>
          <w:sz w:val="20"/>
          <w:szCs w:val="20"/>
          <w:color w:val="auto"/>
        </w:rPr>
      </w:pPr>
    </w:p>
    <w:p>
      <w:pPr>
        <w:ind w:left="4" w:right="260"/>
        <w:spacing w:after="0" w:line="277" w:lineRule="auto"/>
        <w:rPr>
          <w:sz w:val="20"/>
          <w:szCs w:val="20"/>
          <w:color w:val="auto"/>
        </w:rPr>
      </w:pPr>
      <w:r>
        <w:rPr>
          <w:rFonts w:ascii="Arial" w:cs="Arial" w:eastAsia="Arial" w:hAnsi="Arial"/>
          <w:sz w:val="18"/>
          <w:szCs w:val="18"/>
          <w:color w:val="auto"/>
        </w:rPr>
        <w:t>Blackstone Holdings III GP L.P. is the general partner of Blackstone Holdings III L.P. Blackstone Holdings III GP Management L.L.C. is the general partner of Blackstone Holdings III GP L.P.</w:t>
      </w:r>
    </w:p>
    <w:p>
      <w:pPr>
        <w:spacing w:after="0" w:line="170"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Blackstone Tactical Opportunities Associates III – NQ L.P. is the general partner of Blackstone Tactical Opportunities Fund – FD L.P. BTO DE GP – NQ L.L.C. is the general partner of Blackstone Tactical Opportunities Associates III – NQ L.P. Blackstone Holdings II L.P. is the managing member of BTO DE GP – NQ L.L.C.</w:t>
      </w:r>
    </w:p>
    <w:p>
      <w:pPr>
        <w:spacing w:after="0" w:line="184" w:lineRule="exact"/>
        <w:rPr>
          <w:sz w:val="20"/>
          <w:szCs w:val="20"/>
          <w:color w:val="auto"/>
        </w:rPr>
      </w:pPr>
    </w:p>
    <w:p>
      <w:pPr>
        <w:ind w:left="4" w:right="20"/>
        <w:spacing w:after="0" w:line="263" w:lineRule="auto"/>
        <w:rPr>
          <w:sz w:val="20"/>
          <w:szCs w:val="20"/>
          <w:color w:val="auto"/>
        </w:rPr>
      </w:pPr>
      <w:r>
        <w:rPr>
          <w:rFonts w:ascii="Arial" w:cs="Arial" w:eastAsia="Arial" w:hAnsi="Arial"/>
          <w:sz w:val="18"/>
          <w:szCs w:val="18"/>
          <w:color w:val="auto"/>
        </w:rPr>
        <w:t>Blackstone Alternative Solutions L.L.C. is the investment manager of Blackstone Aqua Master Sub-Fund, a sub-fund of Blackstone Global Master Fund ICAV. Blackstone Holdings I L.P. is the sole member of Blackstone Alternative Solutions L.L.C. Blackstone Holdings I/II GP L.L.C. is the general partner of Blackstone Holdings I L.P.</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Blackstone Holdings I/II L.L.C. is the general partner of each of Blackstone Holdings I L.P. and Blackstone Holdings II L.P.</w:t>
      </w:r>
    </w:p>
    <w:p>
      <w:pPr>
        <w:spacing w:after="0" w:line="225" w:lineRule="exact"/>
        <w:rPr>
          <w:sz w:val="20"/>
          <w:szCs w:val="20"/>
          <w:color w:val="auto"/>
        </w:rPr>
      </w:pPr>
    </w:p>
    <w:p>
      <w:pPr>
        <w:ind w:left="4" w:right="80"/>
        <w:spacing w:after="0" w:line="263" w:lineRule="auto"/>
        <w:rPr>
          <w:sz w:val="20"/>
          <w:szCs w:val="20"/>
          <w:color w:val="auto"/>
        </w:rPr>
      </w:pPr>
      <w:r>
        <w:rPr>
          <w:rFonts w:ascii="Arial" w:cs="Arial" w:eastAsia="Arial" w:hAnsi="Arial"/>
          <w:sz w:val="18"/>
          <w:szCs w:val="18"/>
          <w:color w:val="auto"/>
        </w:rPr>
        <w:t>Blackstone Inc. is the sole member of each Blackstone Holdings I/II GP L.L.C. and Blackstone Holdings III GP Management L.L.C. The sole holder of the Series II preferred stock of Blackstone Inc. is Blackstone Group Management L.L.C. Blackstone Group Management L.L.C. is wholly-owned by Blackstone’s senior managing directors and controlled by its founder, Stephen A. Schwarzman.</w:t>
      </w:r>
    </w:p>
    <w:p>
      <w:pPr>
        <w:spacing w:after="0" w:line="184" w:lineRule="exact"/>
        <w:rPr>
          <w:sz w:val="20"/>
          <w:szCs w:val="20"/>
          <w:color w:val="auto"/>
        </w:rPr>
      </w:pPr>
    </w:p>
    <w:p>
      <w:pPr>
        <w:ind w:left="4" w:right="340"/>
        <w:spacing w:after="0" w:line="259" w:lineRule="auto"/>
        <w:rPr>
          <w:sz w:val="20"/>
          <w:szCs w:val="20"/>
          <w:color w:val="auto"/>
        </w:rPr>
      </w:pPr>
      <w:r>
        <w:rPr>
          <w:rFonts w:ascii="Arial" w:cs="Arial" w:eastAsia="Arial" w:hAnsi="Arial"/>
          <w:sz w:val="18"/>
          <w:szCs w:val="18"/>
          <w:color w:val="auto"/>
        </w:rPr>
        <w:t>Neither the filing of this Schedule 13D nor any of its contents shall be deemed to constitute an admission that any Reporting Person is the beneficial owner of the Class A Common Stock referred to herein for purposes of Section 13(d)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or for any other purpose and each of the Reporting Persons expressly disclaims beneficial ownership of such shares of Class A Common Stock.</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Any beneficial ownership of Class A Common Stock by any of the persons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is set forth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attached hereto.</w:t>
      </w:r>
    </w:p>
    <w:p>
      <w:pPr>
        <w:spacing w:after="0" w:line="225" w:lineRule="exact"/>
        <w:rPr>
          <w:sz w:val="20"/>
          <w:szCs w:val="20"/>
          <w:color w:val="auto"/>
        </w:rPr>
      </w:pPr>
    </w:p>
    <w:p>
      <w:pPr>
        <w:ind w:left="4" w:right="120" w:hanging="4"/>
        <w:spacing w:after="0" w:line="277" w:lineRule="auto"/>
        <w:tabs>
          <w:tab w:leader="none" w:pos="249"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Except as set forth in this Schedule 13D, none of the Reporting Persons or, to the best knowledge of the Reporting Persons, any other person named in </w:t>
      </w:r>
      <w:r>
        <w:rPr>
          <w:rFonts w:ascii="Arial" w:cs="Arial" w:eastAsia="Arial" w:hAnsi="Arial"/>
          <w:sz w:val="18"/>
          <w:szCs w:val="18"/>
          <w:u w:val="single" w:color="auto"/>
          <w:color w:val="auto"/>
        </w:rPr>
        <w:t>Schedule I</w:t>
      </w:r>
      <w:r>
        <w:rPr>
          <w:rFonts w:ascii="Arial" w:cs="Arial" w:eastAsia="Arial" w:hAnsi="Arial"/>
          <w:sz w:val="18"/>
          <w:szCs w:val="18"/>
          <w:color w:val="auto"/>
        </w:rPr>
        <w:t>, has effected any transaction in Class A Common Stock in the past 60 days.</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4"/>
          </w:cols>
          <w:pgMar w:left="436" w:top="274" w:right="459" w:bottom="1440" w:gutter="0" w:footer="0" w:header="0"/>
        </w:sectPr>
      </w:pPr>
    </w:p>
    <w:bookmarkStart w:id="23" w:name="page24"/>
    <w:bookmarkEnd w:id="23"/>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3, 2022</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BTO SEMA4 HOLDINGS L.P.</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By: BTO Holdings Manager L.L.C., its general partner</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Christopher J.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Christopher J. James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Manager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BTO HOLDINGS MANAGER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Christopher J.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Christopher J. James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Manager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BLACKSTONE TACTICAL OPPORTUNITIES</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ASSOCIATES, L.L.C.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BTOA L.L.C., its sole member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Christopher J.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Christopher J. James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Chief Operating Officer</w:t>
      </w:r>
    </w:p>
    <w:p>
      <w:pPr>
        <w:spacing w:after="0" w:line="14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580"/>
          </w:cols>
          <w:pgMar w:left="440" w:top="270" w:right="879" w:bottom="1440" w:gutter="0" w:footer="0" w:header="0"/>
        </w:sectPr>
      </w:pPr>
    </w:p>
    <w:bookmarkStart w:id="24" w:name="page25"/>
    <w:bookmarkEnd w:id="24"/>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BTOA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Christopher J.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Christopher J. James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Chief Operating Officer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BLACKSTONE FAMILY TACTICAL</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OPPORTUNITIES INVESTMENT PARTNERSHIP III</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ESC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BTO Side-by-Side GP L.L.C., 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Christopher J.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Christopher J. James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Authorized Person</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BTO SIDE-BY-SIDE GP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Christopher J.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Christopher J. James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Authorized Person</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BLACKSTONE HOLDINGS III L.P.</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Blackstone Holdings III GP L.P., its general partner</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Blackstone Holdings III GP Management L.L.C., its</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Tabea Hsi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BLACKSTONE HOLDINGS III GP L.P.</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Blackstone Holdings III GP Management L.L.C., its</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Tabea Hsi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Managing Director</w:t>
      </w: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9920"/>
          </w:cols>
          <w:pgMar w:left="1440" w:top="270" w:right="539" w:bottom="1440" w:gutter="0" w:footer="0" w:header="0"/>
        </w:sectPr>
      </w:pPr>
    </w:p>
    <w:bookmarkStart w:id="25" w:name="page26"/>
    <w:bookmarkEnd w:id="25"/>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BLACKSTONE HOLDINGS III GP MANAGEMENT</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L.L.C.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Tabea Hsi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BLACKSTONE TACTICAL OPPORTUNITIES FUND</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—FD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Blackstone Tactical Opportunities Associates III—NQ</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L.P., its general partner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BTO DE GP - NQ L.L.C., 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Christopher J.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Christopher J. James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Chief Operating Officer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BLACKSTONE TACTICAL OPPORTUNITIES</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ASSOCIATES III—NQ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BTO DE GP - NQ L.L.C., 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Christopher J.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Christopher J. James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Chief Operating Officer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BTO DE GP - NQ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Christopher J.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Christopher J. James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Chief Operating Officer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BLACKSTONE HOLDINGS II L.P.</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Blackstone Holdings I/II GP L.L.C., its general partner</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Tabea Hsi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BLACKSTONE GLOBAL MASTER FUND ICAV</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Acting solely on behalf of its sub-fund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BLACKSTONE AQUA MASTER SUB-FUND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Blackstone Alternative Solutions L.L.C., its investment</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Jonathan Feiler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Jonathan Feiler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Authorized Person</w:t>
      </w: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9920"/>
          </w:cols>
          <w:pgMar w:left="1440" w:top="270" w:right="539" w:bottom="1440" w:gutter="0" w:footer="0" w:header="0"/>
        </w:sectPr>
      </w:pPr>
    </w:p>
    <w:bookmarkStart w:id="26" w:name="page27"/>
    <w:bookmarkEnd w:id="26"/>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BLACKSTONE ALTERNATIVE SOLUTIONS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Jonathan Feiler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Jonathan Feiler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Authorized Person</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BLACKSTONE HOLDINGS I L.P.</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Blackstone Holdings I/II GP L.L.C., its general partner</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Tabea Hsi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BLACKSTONE HOLDINGS I/II GP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Tabea Hsi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BLACKSTONE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Tabea Hsi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BLACKSTONE GROUP MANAGEMENT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Tabea Hsi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Stephen A. Schwarzman</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Stephen A. Schwarzman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Stephen A. Schwarzman</w:t>
      </w:r>
    </w:p>
    <w:p>
      <w:pPr>
        <w:spacing w:after="0" w:line="225" w:lineRule="exact"/>
        <w:rPr>
          <w:sz w:val="20"/>
          <w:szCs w:val="20"/>
          <w:color w:val="auto"/>
        </w:rPr>
      </w:pPr>
    </w:p>
    <w:p>
      <w:pPr>
        <w:jc w:val="center"/>
        <w:ind w:right="860"/>
        <w:spacing w:after="0"/>
        <w:rPr>
          <w:sz w:val="20"/>
          <w:szCs w:val="20"/>
          <w:color w:val="auto"/>
        </w:rPr>
      </w:pPr>
      <w:r>
        <w:rPr>
          <w:rFonts w:ascii="Arial" w:cs="Arial" w:eastAsia="Arial" w:hAnsi="Arial"/>
          <w:sz w:val="16"/>
          <w:szCs w:val="16"/>
          <w:color w:val="auto"/>
        </w:rPr>
        <w:t>[Sema4 Holdings Corp. – Schedule 13D Amendment No. 2]</w:t>
      </w:r>
    </w:p>
    <w:p>
      <w:pPr>
        <w:spacing w:after="0" w:line="181"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9880"/>
          </w:cols>
          <w:pgMar w:left="1440" w:top="270" w:right="57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Executive Officers and Directors of Blackstone Inc.</w:t>
      </w:r>
    </w:p>
    <w:p>
      <w:pPr>
        <w:spacing w:after="0" w:line="225"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name and principal occupation of each director and executive officer of Blackstone Inc. are set forth below. The address for each person listed below is c/o Blackstone Inc., 345 Park Avenue, New York, New York 10154. All executive officers and directors listed are United States citizens other than The Honourable Brian Mulroney, who is a citizen of Canada, and Sir John Antony Hood, who is a citizen of New Zealand.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OFFICERS: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254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8040" w:type="dxa"/>
            <w:vAlign w:val="bottom"/>
            <w:tcBorders>
              <w:bottom w:val="single" w:sz="8" w:color="auto"/>
            </w:tcBorders>
          </w:tcPr>
          <w:p>
            <w:pPr>
              <w:ind w:left="2620"/>
              <w:spacing w:after="0"/>
              <w:rPr>
                <w:sz w:val="20"/>
                <w:szCs w:val="20"/>
                <w:color w:val="auto"/>
              </w:rPr>
            </w:pPr>
            <w:r>
              <w:rPr>
                <w:rFonts w:ascii="Arial" w:cs="Arial" w:eastAsia="Arial" w:hAnsi="Arial"/>
                <w:sz w:val="14"/>
                <w:szCs w:val="14"/>
                <w:b w:val="1"/>
                <w:bCs w:val="1"/>
                <w:color w:val="auto"/>
              </w:rPr>
              <w:t>Present Principal Occupation or Employment</w:t>
            </w:r>
          </w:p>
        </w:tc>
      </w:tr>
      <w:tr>
        <w:trPr>
          <w:trHeight w:val="217"/>
        </w:trPr>
        <w:tc>
          <w:tcPr>
            <w:tcW w:w="2900" w:type="dxa"/>
            <w:vAlign w:val="bottom"/>
            <w:gridSpan w:val="3"/>
          </w:tcPr>
          <w:p>
            <w:pPr>
              <w:spacing w:after="0"/>
              <w:rPr>
                <w:sz w:val="20"/>
                <w:szCs w:val="20"/>
                <w:color w:val="auto"/>
              </w:rPr>
            </w:pPr>
            <w:r>
              <w:rPr>
                <w:rFonts w:ascii="Arial" w:cs="Arial" w:eastAsia="Arial" w:hAnsi="Arial"/>
                <w:sz w:val="18"/>
                <w:szCs w:val="18"/>
                <w:color w:val="auto"/>
              </w:rPr>
              <w:t>Stephen A. Schwarzman</w:t>
            </w:r>
          </w:p>
        </w:tc>
        <w:tc>
          <w:tcPr>
            <w:tcW w:w="8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Founder, Chairman and Chief Executive Officer of Blackstone Inc.</w:t>
            </w:r>
          </w:p>
        </w:tc>
      </w:tr>
      <w:tr>
        <w:trPr>
          <w:trHeight w:val="310"/>
        </w:trPr>
        <w:tc>
          <w:tcPr>
            <w:tcW w:w="2900" w:type="dxa"/>
            <w:vAlign w:val="bottom"/>
            <w:gridSpan w:val="3"/>
          </w:tcPr>
          <w:p>
            <w:pPr>
              <w:spacing w:after="0"/>
              <w:rPr>
                <w:sz w:val="20"/>
                <w:szCs w:val="20"/>
                <w:color w:val="auto"/>
              </w:rPr>
            </w:pPr>
            <w:r>
              <w:rPr>
                <w:rFonts w:ascii="Arial" w:cs="Arial" w:eastAsia="Arial" w:hAnsi="Arial"/>
                <w:sz w:val="18"/>
                <w:szCs w:val="18"/>
                <w:color w:val="auto"/>
              </w:rPr>
              <w:t>Jonathan D. Gray</w:t>
            </w:r>
          </w:p>
        </w:tc>
        <w:tc>
          <w:tcPr>
            <w:tcW w:w="8120" w:type="dxa"/>
            <w:vAlign w:val="bottom"/>
            <w:gridSpan w:val="2"/>
          </w:tcPr>
          <w:p>
            <w:pPr>
              <w:ind w:left="80"/>
              <w:spacing w:after="0"/>
              <w:rPr>
                <w:sz w:val="20"/>
                <w:szCs w:val="20"/>
                <w:color w:val="auto"/>
              </w:rPr>
            </w:pPr>
            <w:r>
              <w:rPr>
                <w:rFonts w:ascii="Arial" w:cs="Arial" w:eastAsia="Arial" w:hAnsi="Arial"/>
                <w:sz w:val="18"/>
                <w:szCs w:val="18"/>
                <w:color w:val="auto"/>
              </w:rPr>
              <w:t>President, Chief Operating Officer of Blackstone Inc.</w:t>
            </w:r>
          </w:p>
        </w:tc>
      </w:tr>
      <w:tr>
        <w:trPr>
          <w:trHeight w:val="324"/>
        </w:trPr>
        <w:tc>
          <w:tcPr>
            <w:tcW w:w="2900" w:type="dxa"/>
            <w:vAlign w:val="bottom"/>
            <w:gridSpan w:val="3"/>
          </w:tcPr>
          <w:p>
            <w:pPr>
              <w:spacing w:after="0"/>
              <w:rPr>
                <w:sz w:val="20"/>
                <w:szCs w:val="20"/>
                <w:color w:val="auto"/>
              </w:rPr>
            </w:pPr>
            <w:r>
              <w:rPr>
                <w:rFonts w:ascii="Arial" w:cs="Arial" w:eastAsia="Arial" w:hAnsi="Arial"/>
                <w:sz w:val="18"/>
                <w:szCs w:val="18"/>
                <w:color w:val="auto"/>
              </w:rPr>
              <w:t>Michael S. Chae</w:t>
            </w:r>
          </w:p>
        </w:tc>
        <w:tc>
          <w:tcPr>
            <w:tcW w:w="8120" w:type="dxa"/>
            <w:vAlign w:val="bottom"/>
            <w:gridSpan w:val="2"/>
          </w:tcPr>
          <w:p>
            <w:pPr>
              <w:ind w:left="80"/>
              <w:spacing w:after="0"/>
              <w:rPr>
                <w:sz w:val="20"/>
                <w:szCs w:val="20"/>
                <w:color w:val="auto"/>
              </w:rPr>
            </w:pPr>
            <w:r>
              <w:rPr>
                <w:rFonts w:ascii="Arial" w:cs="Arial" w:eastAsia="Arial" w:hAnsi="Arial"/>
                <w:sz w:val="18"/>
                <w:szCs w:val="18"/>
                <w:color w:val="auto"/>
              </w:rPr>
              <w:t>Chief Financial Officer of Blackstone Inc.</w:t>
            </w:r>
          </w:p>
        </w:tc>
      </w:tr>
      <w:tr>
        <w:trPr>
          <w:trHeight w:val="324"/>
        </w:trPr>
        <w:tc>
          <w:tcPr>
            <w:tcW w:w="2900" w:type="dxa"/>
            <w:vAlign w:val="bottom"/>
            <w:gridSpan w:val="3"/>
          </w:tcPr>
          <w:p>
            <w:pPr>
              <w:spacing w:after="0"/>
              <w:rPr>
                <w:sz w:val="20"/>
                <w:szCs w:val="20"/>
                <w:color w:val="auto"/>
              </w:rPr>
            </w:pPr>
            <w:r>
              <w:rPr>
                <w:rFonts w:ascii="Arial" w:cs="Arial" w:eastAsia="Arial" w:hAnsi="Arial"/>
                <w:sz w:val="18"/>
                <w:szCs w:val="18"/>
                <w:color w:val="auto"/>
              </w:rPr>
              <w:t>John G. Finley</w:t>
            </w:r>
          </w:p>
        </w:tc>
        <w:tc>
          <w:tcPr>
            <w:tcW w:w="8120" w:type="dxa"/>
            <w:vAlign w:val="bottom"/>
            <w:gridSpan w:val="2"/>
          </w:tcPr>
          <w:p>
            <w:pPr>
              <w:ind w:left="80"/>
              <w:spacing w:after="0"/>
              <w:rPr>
                <w:sz w:val="20"/>
                <w:szCs w:val="20"/>
                <w:color w:val="auto"/>
              </w:rPr>
            </w:pPr>
            <w:r>
              <w:rPr>
                <w:rFonts w:ascii="Arial" w:cs="Arial" w:eastAsia="Arial" w:hAnsi="Arial"/>
                <w:sz w:val="18"/>
                <w:szCs w:val="18"/>
                <w:color w:val="auto"/>
              </w:rPr>
              <w:t>Chief Legal Officer of Blackstone Inc.</w:t>
            </w:r>
          </w:p>
        </w:tc>
      </w:tr>
      <w:tr>
        <w:trPr>
          <w:trHeight w:val="499"/>
        </w:trPr>
        <w:tc>
          <w:tcPr>
            <w:tcW w:w="2900" w:type="dxa"/>
            <w:vAlign w:val="bottom"/>
            <w:gridSpan w:val="3"/>
          </w:tcPr>
          <w:p>
            <w:pPr>
              <w:spacing w:after="0"/>
              <w:rPr>
                <w:sz w:val="20"/>
                <w:szCs w:val="20"/>
                <w:color w:val="auto"/>
              </w:rPr>
            </w:pPr>
            <w:r>
              <w:rPr>
                <w:rFonts w:ascii="Arial" w:cs="Arial" w:eastAsia="Arial" w:hAnsi="Arial"/>
                <w:sz w:val="18"/>
                <w:szCs w:val="18"/>
                <w:b w:val="1"/>
                <w:bCs w:val="1"/>
                <w:color w:val="auto"/>
              </w:rPr>
              <w:t>DIRECTORS:</w:t>
            </w:r>
          </w:p>
        </w:tc>
        <w:tc>
          <w:tcPr>
            <w:tcW w:w="80" w:type="dxa"/>
            <w:vAlign w:val="bottom"/>
          </w:tcPr>
          <w:p>
            <w:pPr>
              <w:spacing w:after="0"/>
              <w:rPr>
                <w:sz w:val="24"/>
                <w:szCs w:val="24"/>
                <w:color w:val="auto"/>
              </w:rPr>
            </w:pPr>
          </w:p>
        </w:tc>
        <w:tc>
          <w:tcPr>
            <w:tcW w:w="8040" w:type="dxa"/>
            <w:vAlign w:val="bottom"/>
          </w:tcPr>
          <w:p>
            <w:pPr>
              <w:spacing w:after="0"/>
              <w:rPr>
                <w:sz w:val="24"/>
                <w:szCs w:val="24"/>
                <w:color w:val="auto"/>
              </w:rPr>
            </w:pPr>
          </w:p>
        </w:tc>
      </w:tr>
      <w:tr>
        <w:trPr>
          <w:trHeight w:val="419"/>
        </w:trPr>
        <w:tc>
          <w:tcPr>
            <w:tcW w:w="11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w:t>
            </w: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40" w:type="dxa"/>
            <w:vAlign w:val="bottom"/>
            <w:tcBorders>
              <w:bottom w:val="single" w:sz="8" w:color="auto"/>
            </w:tcBorders>
          </w:tcPr>
          <w:p>
            <w:pPr>
              <w:ind w:left="2620"/>
              <w:spacing w:after="0"/>
              <w:rPr>
                <w:sz w:val="20"/>
                <w:szCs w:val="20"/>
                <w:color w:val="auto"/>
              </w:rPr>
            </w:pPr>
            <w:r>
              <w:rPr>
                <w:rFonts w:ascii="Arial" w:cs="Arial" w:eastAsia="Arial" w:hAnsi="Arial"/>
                <w:sz w:val="14"/>
                <w:szCs w:val="14"/>
                <w:b w:val="1"/>
                <w:bCs w:val="1"/>
                <w:color w:val="auto"/>
              </w:rPr>
              <w:t>Present Principal Occupation or Employment</w:t>
            </w:r>
          </w:p>
        </w:tc>
      </w:tr>
      <w:tr>
        <w:trPr>
          <w:trHeight w:val="311"/>
        </w:trPr>
        <w:tc>
          <w:tcPr>
            <w:tcW w:w="2900" w:type="dxa"/>
            <w:vAlign w:val="bottom"/>
            <w:gridSpan w:val="3"/>
          </w:tcPr>
          <w:p>
            <w:pPr>
              <w:spacing w:after="0"/>
              <w:rPr>
                <w:sz w:val="20"/>
                <w:szCs w:val="20"/>
                <w:color w:val="auto"/>
              </w:rPr>
            </w:pPr>
            <w:r>
              <w:rPr>
                <w:rFonts w:ascii="Arial" w:cs="Arial" w:eastAsia="Arial" w:hAnsi="Arial"/>
                <w:sz w:val="18"/>
                <w:szCs w:val="18"/>
                <w:color w:val="auto"/>
              </w:rPr>
              <w:t>Stephen A. Schwarzman</w:t>
            </w:r>
          </w:p>
        </w:tc>
        <w:tc>
          <w:tcPr>
            <w:tcW w:w="8120" w:type="dxa"/>
            <w:vAlign w:val="bottom"/>
            <w:gridSpan w:val="2"/>
          </w:tcPr>
          <w:p>
            <w:pPr>
              <w:ind w:left="80"/>
              <w:spacing w:after="0"/>
              <w:rPr>
                <w:sz w:val="20"/>
                <w:szCs w:val="20"/>
                <w:color w:val="auto"/>
              </w:rPr>
            </w:pPr>
            <w:r>
              <w:rPr>
                <w:rFonts w:ascii="Arial" w:cs="Arial" w:eastAsia="Arial" w:hAnsi="Arial"/>
                <w:sz w:val="18"/>
                <w:szCs w:val="18"/>
                <w:color w:val="auto"/>
              </w:rPr>
              <w:t>Founder, Chairman and Chief Executive Officer of Blackstone Inc.</w:t>
            </w:r>
          </w:p>
        </w:tc>
      </w:tr>
      <w:tr>
        <w:trPr>
          <w:trHeight w:val="324"/>
        </w:trPr>
        <w:tc>
          <w:tcPr>
            <w:tcW w:w="2900" w:type="dxa"/>
            <w:vAlign w:val="bottom"/>
            <w:gridSpan w:val="3"/>
          </w:tcPr>
          <w:p>
            <w:pPr>
              <w:spacing w:after="0"/>
              <w:rPr>
                <w:sz w:val="20"/>
                <w:szCs w:val="20"/>
                <w:color w:val="auto"/>
              </w:rPr>
            </w:pPr>
            <w:r>
              <w:rPr>
                <w:rFonts w:ascii="Arial" w:cs="Arial" w:eastAsia="Arial" w:hAnsi="Arial"/>
                <w:sz w:val="18"/>
                <w:szCs w:val="18"/>
                <w:color w:val="auto"/>
              </w:rPr>
              <w:t>Jonathan D. Gray</w:t>
            </w:r>
          </w:p>
        </w:tc>
        <w:tc>
          <w:tcPr>
            <w:tcW w:w="8120" w:type="dxa"/>
            <w:vAlign w:val="bottom"/>
            <w:gridSpan w:val="2"/>
          </w:tcPr>
          <w:p>
            <w:pPr>
              <w:ind w:left="80"/>
              <w:spacing w:after="0"/>
              <w:rPr>
                <w:sz w:val="20"/>
                <w:szCs w:val="20"/>
                <w:color w:val="auto"/>
              </w:rPr>
            </w:pPr>
            <w:r>
              <w:rPr>
                <w:rFonts w:ascii="Arial" w:cs="Arial" w:eastAsia="Arial" w:hAnsi="Arial"/>
                <w:sz w:val="18"/>
                <w:szCs w:val="18"/>
                <w:color w:val="auto"/>
              </w:rPr>
              <w:t>President, Chief Operating Officer of Blackstone Inc.</w:t>
            </w:r>
          </w:p>
        </w:tc>
      </w:tr>
      <w:tr>
        <w:trPr>
          <w:trHeight w:val="324"/>
        </w:trPr>
        <w:tc>
          <w:tcPr>
            <w:tcW w:w="2900" w:type="dxa"/>
            <w:vAlign w:val="bottom"/>
            <w:gridSpan w:val="3"/>
          </w:tcPr>
          <w:p>
            <w:pPr>
              <w:spacing w:after="0"/>
              <w:rPr>
                <w:sz w:val="20"/>
                <w:szCs w:val="20"/>
                <w:color w:val="auto"/>
              </w:rPr>
            </w:pPr>
            <w:r>
              <w:rPr>
                <w:rFonts w:ascii="Arial" w:cs="Arial" w:eastAsia="Arial" w:hAnsi="Arial"/>
                <w:sz w:val="18"/>
                <w:szCs w:val="18"/>
                <w:color w:val="auto"/>
              </w:rPr>
              <w:t>Kelly A. Ayotte</w:t>
            </w:r>
          </w:p>
        </w:tc>
        <w:tc>
          <w:tcPr>
            <w:tcW w:w="8120" w:type="dxa"/>
            <w:vAlign w:val="bottom"/>
            <w:gridSpan w:val="2"/>
          </w:tcPr>
          <w:p>
            <w:pPr>
              <w:ind w:left="80"/>
              <w:spacing w:after="0"/>
              <w:rPr>
                <w:sz w:val="20"/>
                <w:szCs w:val="20"/>
                <w:color w:val="auto"/>
              </w:rPr>
            </w:pPr>
            <w:r>
              <w:rPr>
                <w:rFonts w:ascii="Arial" w:cs="Arial" w:eastAsia="Arial" w:hAnsi="Arial"/>
                <w:sz w:val="18"/>
                <w:szCs w:val="18"/>
                <w:color w:val="auto"/>
              </w:rPr>
              <w:t>Former United States Senator from New Hampshire</w:t>
            </w:r>
          </w:p>
        </w:tc>
      </w:tr>
      <w:tr>
        <w:trPr>
          <w:trHeight w:val="324"/>
        </w:trPr>
        <w:tc>
          <w:tcPr>
            <w:tcW w:w="2900" w:type="dxa"/>
            <w:vAlign w:val="bottom"/>
            <w:gridSpan w:val="3"/>
          </w:tcPr>
          <w:p>
            <w:pPr>
              <w:spacing w:after="0"/>
              <w:rPr>
                <w:sz w:val="20"/>
                <w:szCs w:val="20"/>
                <w:color w:val="auto"/>
              </w:rPr>
            </w:pPr>
            <w:r>
              <w:rPr>
                <w:rFonts w:ascii="Arial" w:cs="Arial" w:eastAsia="Arial" w:hAnsi="Arial"/>
                <w:sz w:val="18"/>
                <w:szCs w:val="18"/>
                <w:color w:val="auto"/>
              </w:rPr>
              <w:t>Joseph P. Baratta</w:t>
            </w:r>
          </w:p>
        </w:tc>
        <w:tc>
          <w:tcPr>
            <w:tcW w:w="8120" w:type="dxa"/>
            <w:vAlign w:val="bottom"/>
            <w:gridSpan w:val="2"/>
          </w:tcPr>
          <w:p>
            <w:pPr>
              <w:ind w:left="80"/>
              <w:spacing w:after="0"/>
              <w:rPr>
                <w:sz w:val="20"/>
                <w:szCs w:val="20"/>
                <w:color w:val="auto"/>
              </w:rPr>
            </w:pPr>
            <w:r>
              <w:rPr>
                <w:rFonts w:ascii="Arial" w:cs="Arial" w:eastAsia="Arial" w:hAnsi="Arial"/>
                <w:sz w:val="18"/>
                <w:szCs w:val="18"/>
                <w:color w:val="auto"/>
              </w:rPr>
              <w:t>Global Head of Private Equity at Blackstone Inc.</w:t>
            </w:r>
          </w:p>
        </w:tc>
      </w:tr>
      <w:tr>
        <w:trPr>
          <w:trHeight w:val="324"/>
        </w:trPr>
        <w:tc>
          <w:tcPr>
            <w:tcW w:w="2900" w:type="dxa"/>
            <w:vAlign w:val="bottom"/>
            <w:gridSpan w:val="3"/>
          </w:tcPr>
          <w:p>
            <w:pPr>
              <w:spacing w:after="0"/>
              <w:rPr>
                <w:sz w:val="20"/>
                <w:szCs w:val="20"/>
                <w:color w:val="auto"/>
              </w:rPr>
            </w:pPr>
            <w:r>
              <w:rPr>
                <w:rFonts w:ascii="Arial" w:cs="Arial" w:eastAsia="Arial" w:hAnsi="Arial"/>
                <w:sz w:val="18"/>
                <w:szCs w:val="18"/>
                <w:color w:val="auto"/>
              </w:rPr>
              <w:t>James W. Breyer</w:t>
            </w:r>
          </w:p>
        </w:tc>
        <w:tc>
          <w:tcPr>
            <w:tcW w:w="8120" w:type="dxa"/>
            <w:vAlign w:val="bottom"/>
            <w:gridSpan w:val="2"/>
          </w:tcPr>
          <w:p>
            <w:pPr>
              <w:ind w:left="80"/>
              <w:spacing w:after="0"/>
              <w:rPr>
                <w:sz w:val="20"/>
                <w:szCs w:val="20"/>
                <w:color w:val="auto"/>
              </w:rPr>
            </w:pPr>
            <w:r>
              <w:rPr>
                <w:rFonts w:ascii="Arial" w:cs="Arial" w:eastAsia="Arial" w:hAnsi="Arial"/>
                <w:sz w:val="18"/>
                <w:szCs w:val="18"/>
                <w:color w:val="auto"/>
              </w:rPr>
              <w:t>Founder and Chief Executive Officer of Breyer Capital</w:t>
            </w:r>
          </w:p>
        </w:tc>
      </w:tr>
      <w:tr>
        <w:trPr>
          <w:trHeight w:val="324"/>
        </w:trPr>
        <w:tc>
          <w:tcPr>
            <w:tcW w:w="2900" w:type="dxa"/>
            <w:vAlign w:val="bottom"/>
            <w:gridSpan w:val="3"/>
          </w:tcPr>
          <w:p>
            <w:pPr>
              <w:spacing w:after="0"/>
              <w:rPr>
                <w:sz w:val="20"/>
                <w:szCs w:val="20"/>
                <w:color w:val="auto"/>
              </w:rPr>
            </w:pPr>
            <w:r>
              <w:rPr>
                <w:rFonts w:ascii="Arial" w:cs="Arial" w:eastAsia="Arial" w:hAnsi="Arial"/>
                <w:sz w:val="18"/>
                <w:szCs w:val="18"/>
                <w:color w:val="auto"/>
              </w:rPr>
              <w:t>Reginald J. Brown</w:t>
            </w:r>
          </w:p>
        </w:tc>
        <w:tc>
          <w:tcPr>
            <w:tcW w:w="8120" w:type="dxa"/>
            <w:vAlign w:val="bottom"/>
            <w:gridSpan w:val="2"/>
          </w:tcPr>
          <w:p>
            <w:pPr>
              <w:ind w:left="80"/>
              <w:spacing w:after="0"/>
              <w:rPr>
                <w:sz w:val="20"/>
                <w:szCs w:val="20"/>
                <w:color w:val="auto"/>
              </w:rPr>
            </w:pPr>
            <w:r>
              <w:rPr>
                <w:rFonts w:ascii="Arial" w:cs="Arial" w:eastAsia="Arial" w:hAnsi="Arial"/>
                <w:sz w:val="18"/>
                <w:szCs w:val="18"/>
                <w:color w:val="auto"/>
              </w:rPr>
              <w:t>Partner for the law firm, Kirkland &amp; Ellis</w:t>
            </w:r>
          </w:p>
        </w:tc>
      </w:tr>
      <w:tr>
        <w:trPr>
          <w:trHeight w:val="310"/>
        </w:trPr>
        <w:tc>
          <w:tcPr>
            <w:tcW w:w="2900" w:type="dxa"/>
            <w:vAlign w:val="bottom"/>
            <w:gridSpan w:val="3"/>
          </w:tcPr>
          <w:p>
            <w:pPr>
              <w:spacing w:after="0"/>
              <w:rPr>
                <w:sz w:val="20"/>
                <w:szCs w:val="20"/>
                <w:color w:val="auto"/>
              </w:rPr>
            </w:pPr>
            <w:r>
              <w:rPr>
                <w:rFonts w:ascii="Arial" w:cs="Arial" w:eastAsia="Arial" w:hAnsi="Arial"/>
                <w:sz w:val="18"/>
                <w:szCs w:val="18"/>
                <w:color w:val="auto"/>
              </w:rPr>
              <w:t>Sir John Antony Hood</w:t>
            </w:r>
          </w:p>
        </w:tc>
        <w:tc>
          <w:tcPr>
            <w:tcW w:w="8120" w:type="dxa"/>
            <w:vAlign w:val="bottom"/>
            <w:gridSpan w:val="2"/>
          </w:tcPr>
          <w:p>
            <w:pPr>
              <w:ind w:left="80"/>
              <w:spacing w:after="0"/>
              <w:rPr>
                <w:sz w:val="20"/>
                <w:szCs w:val="20"/>
                <w:color w:val="auto"/>
              </w:rPr>
            </w:pPr>
            <w:r>
              <w:rPr>
                <w:rFonts w:ascii="Arial" w:cs="Arial" w:eastAsia="Arial" w:hAnsi="Arial"/>
                <w:sz w:val="18"/>
                <w:szCs w:val="18"/>
                <w:color w:val="auto"/>
                <w:w w:val="93"/>
              </w:rPr>
              <w:t>Former President and Chief Executive Officer of the Robertson Foundation and Former Chair of the Rhodes</w:t>
            </w:r>
          </w:p>
        </w:tc>
      </w:tr>
      <w:tr>
        <w:trPr>
          <w:trHeight w:val="230"/>
        </w:trPr>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120" w:type="dxa"/>
            <w:vAlign w:val="bottom"/>
            <w:gridSpan w:val="2"/>
          </w:tcPr>
          <w:p>
            <w:pPr>
              <w:ind w:left="80"/>
              <w:spacing w:after="0"/>
              <w:rPr>
                <w:sz w:val="20"/>
                <w:szCs w:val="20"/>
                <w:color w:val="auto"/>
              </w:rPr>
            </w:pPr>
            <w:r>
              <w:rPr>
                <w:rFonts w:ascii="Arial" w:cs="Arial" w:eastAsia="Arial" w:hAnsi="Arial"/>
                <w:sz w:val="18"/>
                <w:szCs w:val="18"/>
                <w:color w:val="auto"/>
              </w:rPr>
              <w:t>Trust</w:t>
            </w:r>
          </w:p>
        </w:tc>
      </w:tr>
      <w:tr>
        <w:trPr>
          <w:trHeight w:val="324"/>
        </w:trPr>
        <w:tc>
          <w:tcPr>
            <w:tcW w:w="2900" w:type="dxa"/>
            <w:vAlign w:val="bottom"/>
            <w:gridSpan w:val="3"/>
          </w:tcPr>
          <w:p>
            <w:pPr>
              <w:spacing w:after="0"/>
              <w:rPr>
                <w:sz w:val="20"/>
                <w:szCs w:val="20"/>
                <w:color w:val="auto"/>
              </w:rPr>
            </w:pPr>
            <w:r>
              <w:rPr>
                <w:rFonts w:ascii="Arial" w:cs="Arial" w:eastAsia="Arial" w:hAnsi="Arial"/>
                <w:sz w:val="18"/>
                <w:szCs w:val="18"/>
                <w:color w:val="auto"/>
              </w:rPr>
              <w:t>Rochelle B. Lazarus</w:t>
            </w:r>
          </w:p>
        </w:tc>
        <w:tc>
          <w:tcPr>
            <w:tcW w:w="8120" w:type="dxa"/>
            <w:vAlign w:val="bottom"/>
            <w:gridSpan w:val="2"/>
          </w:tcPr>
          <w:p>
            <w:pPr>
              <w:ind w:left="80"/>
              <w:spacing w:after="0"/>
              <w:rPr>
                <w:sz w:val="20"/>
                <w:szCs w:val="20"/>
                <w:color w:val="auto"/>
              </w:rPr>
            </w:pPr>
            <w:r>
              <w:rPr>
                <w:rFonts w:ascii="Arial" w:cs="Arial" w:eastAsia="Arial" w:hAnsi="Arial"/>
                <w:sz w:val="18"/>
                <w:szCs w:val="18"/>
                <w:color w:val="auto"/>
              </w:rPr>
              <w:t>Chairman Emeritus &amp; Former Chief Executive Officer, Ogilvy &amp; Mather Worldwide</w:t>
            </w:r>
          </w:p>
        </w:tc>
      </w:tr>
      <w:tr>
        <w:trPr>
          <w:trHeight w:val="324"/>
        </w:trPr>
        <w:tc>
          <w:tcPr>
            <w:tcW w:w="2900" w:type="dxa"/>
            <w:vAlign w:val="bottom"/>
            <w:gridSpan w:val="3"/>
          </w:tcPr>
          <w:p>
            <w:pPr>
              <w:spacing w:after="0"/>
              <w:rPr>
                <w:sz w:val="20"/>
                <w:szCs w:val="20"/>
                <w:color w:val="auto"/>
              </w:rPr>
            </w:pPr>
            <w:r>
              <w:rPr>
                <w:rFonts w:ascii="Arial" w:cs="Arial" w:eastAsia="Arial" w:hAnsi="Arial"/>
                <w:sz w:val="18"/>
                <w:szCs w:val="18"/>
                <w:color w:val="auto"/>
              </w:rPr>
              <w:t>Jay O. Light</w:t>
            </w:r>
          </w:p>
        </w:tc>
        <w:tc>
          <w:tcPr>
            <w:tcW w:w="8120" w:type="dxa"/>
            <w:vAlign w:val="bottom"/>
            <w:gridSpan w:val="2"/>
          </w:tcPr>
          <w:p>
            <w:pPr>
              <w:ind w:left="80"/>
              <w:spacing w:after="0"/>
              <w:rPr>
                <w:sz w:val="20"/>
                <w:szCs w:val="20"/>
                <w:color w:val="auto"/>
              </w:rPr>
            </w:pPr>
            <w:r>
              <w:rPr>
                <w:rFonts w:ascii="Arial" w:cs="Arial" w:eastAsia="Arial" w:hAnsi="Arial"/>
                <w:sz w:val="18"/>
                <w:szCs w:val="18"/>
                <w:color w:val="auto"/>
              </w:rPr>
              <w:t>Dean Emeritus, Harvard Business School</w:t>
            </w:r>
          </w:p>
        </w:tc>
      </w:tr>
      <w:tr>
        <w:trPr>
          <w:trHeight w:val="324"/>
        </w:trPr>
        <w:tc>
          <w:tcPr>
            <w:tcW w:w="2900" w:type="dxa"/>
            <w:vAlign w:val="bottom"/>
            <w:gridSpan w:val="3"/>
          </w:tcPr>
          <w:p>
            <w:pPr>
              <w:spacing w:after="0"/>
              <w:rPr>
                <w:sz w:val="20"/>
                <w:szCs w:val="20"/>
                <w:color w:val="auto"/>
              </w:rPr>
            </w:pPr>
            <w:r>
              <w:rPr>
                <w:rFonts w:ascii="Arial" w:cs="Arial" w:eastAsia="Arial" w:hAnsi="Arial"/>
                <w:sz w:val="18"/>
                <w:szCs w:val="18"/>
                <w:color w:val="auto"/>
                <w:w w:val="95"/>
              </w:rPr>
              <w:t>The Right Honourable Brian Mulroney</w:t>
            </w:r>
          </w:p>
        </w:tc>
        <w:tc>
          <w:tcPr>
            <w:tcW w:w="8120" w:type="dxa"/>
            <w:vAlign w:val="bottom"/>
            <w:gridSpan w:val="2"/>
          </w:tcPr>
          <w:p>
            <w:pPr>
              <w:ind w:left="80"/>
              <w:spacing w:after="0"/>
              <w:rPr>
                <w:sz w:val="20"/>
                <w:szCs w:val="20"/>
                <w:color w:val="auto"/>
              </w:rPr>
            </w:pPr>
            <w:r>
              <w:rPr>
                <w:rFonts w:ascii="Arial" w:cs="Arial" w:eastAsia="Arial" w:hAnsi="Arial"/>
                <w:sz w:val="18"/>
                <w:szCs w:val="18"/>
                <w:color w:val="auto"/>
              </w:rPr>
              <w:t>Senior Partner for the Montreal law firm, Norton Rose Fulbright Canada LLP</w:t>
            </w:r>
          </w:p>
        </w:tc>
      </w:tr>
      <w:tr>
        <w:trPr>
          <w:trHeight w:val="324"/>
        </w:trPr>
        <w:tc>
          <w:tcPr>
            <w:tcW w:w="2900" w:type="dxa"/>
            <w:vAlign w:val="bottom"/>
            <w:gridSpan w:val="3"/>
          </w:tcPr>
          <w:p>
            <w:pPr>
              <w:spacing w:after="0"/>
              <w:rPr>
                <w:sz w:val="20"/>
                <w:szCs w:val="20"/>
                <w:color w:val="auto"/>
              </w:rPr>
            </w:pPr>
            <w:r>
              <w:rPr>
                <w:rFonts w:ascii="Arial" w:cs="Arial" w:eastAsia="Arial" w:hAnsi="Arial"/>
                <w:sz w:val="18"/>
                <w:szCs w:val="18"/>
                <w:color w:val="auto"/>
              </w:rPr>
              <w:t>William G. Parrett</w:t>
            </w:r>
          </w:p>
        </w:tc>
        <w:tc>
          <w:tcPr>
            <w:tcW w:w="8120" w:type="dxa"/>
            <w:vAlign w:val="bottom"/>
            <w:gridSpan w:val="2"/>
          </w:tcPr>
          <w:p>
            <w:pPr>
              <w:ind w:left="80"/>
              <w:spacing w:after="0"/>
              <w:rPr>
                <w:sz w:val="20"/>
                <w:szCs w:val="20"/>
                <w:color w:val="auto"/>
              </w:rPr>
            </w:pPr>
            <w:r>
              <w:rPr>
                <w:rFonts w:ascii="Arial" w:cs="Arial" w:eastAsia="Arial" w:hAnsi="Arial"/>
                <w:sz w:val="18"/>
                <w:szCs w:val="18"/>
                <w:color w:val="auto"/>
              </w:rPr>
              <w:t>Retired CEO, Deloitte Touche Tohmatsu and retired Senior Partner, Deloitte (USA)</w:t>
            </w:r>
          </w:p>
        </w:tc>
      </w:tr>
      <w:tr>
        <w:trPr>
          <w:trHeight w:val="324"/>
        </w:trPr>
        <w:tc>
          <w:tcPr>
            <w:tcW w:w="2900" w:type="dxa"/>
            <w:vAlign w:val="bottom"/>
            <w:gridSpan w:val="3"/>
          </w:tcPr>
          <w:p>
            <w:pPr>
              <w:spacing w:after="0"/>
              <w:rPr>
                <w:sz w:val="20"/>
                <w:szCs w:val="20"/>
                <w:color w:val="auto"/>
              </w:rPr>
            </w:pPr>
            <w:r>
              <w:rPr>
                <w:rFonts w:ascii="Arial" w:cs="Arial" w:eastAsia="Arial" w:hAnsi="Arial"/>
                <w:sz w:val="18"/>
                <w:szCs w:val="18"/>
                <w:color w:val="auto"/>
              </w:rPr>
              <w:t>Ruth Porat</w:t>
            </w:r>
          </w:p>
        </w:tc>
        <w:tc>
          <w:tcPr>
            <w:tcW w:w="8120" w:type="dxa"/>
            <w:vAlign w:val="bottom"/>
            <w:gridSpan w:val="2"/>
          </w:tcPr>
          <w:p>
            <w:pPr>
              <w:ind w:left="80"/>
              <w:spacing w:after="0"/>
              <w:rPr>
                <w:sz w:val="20"/>
                <w:szCs w:val="20"/>
                <w:color w:val="auto"/>
              </w:rPr>
            </w:pPr>
            <w:r>
              <w:rPr>
                <w:rFonts w:ascii="Arial" w:cs="Arial" w:eastAsia="Arial" w:hAnsi="Arial"/>
                <w:sz w:val="18"/>
                <w:szCs w:val="18"/>
                <w:color w:val="auto"/>
              </w:rPr>
              <w:t>Chief Financial Officer of Alphabet Inc. and Google Inc.</w:t>
            </w:r>
          </w:p>
        </w:tc>
      </w:tr>
    </w:tbl>
    <w:p>
      <w:pPr>
        <w:spacing w:after="0" w:line="20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Except as set forth in this Schedule 13D, to the best knowledge of the Reporting Persons, none of the individuals listed above beneficially owns any shares of Class A Common Stock.</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BA5D23"/>
    <w:multiLevelType w:val="hybridMultilevel"/>
    <w:lvl w:ilvl="0">
      <w:lvlJc w:val="left"/>
      <w:lvlText w:val="%1"/>
      <w:numFmt w:val="decimal"/>
      <w:start w:val="345"/>
    </w:lvl>
  </w:abstractNum>
  <w:abstractNum w:abstractNumId="1">
    <w:nsid w:val="661E3F1E"/>
    <w:multiLevelType w:val="hybridMultilevel"/>
    <w:lvl w:ilvl="0">
      <w:lvlJc w:val="left"/>
      <w:lvlText w:val="*"/>
      <w:numFmt w:val="bullet"/>
      <w:start w:val="1"/>
    </w:lvl>
  </w:abstractNum>
  <w:abstractNum w:abstractNumId="2">
    <w:nsid w:val="5DC79EA8"/>
    <w:multiLevelType w:val="hybridMultilevel"/>
    <w:lvl w:ilvl="0">
      <w:lvlJc w:val="left"/>
      <w:lvlText w:val="1"/>
      <w:numFmt w:val="bullet"/>
      <w:start w:val="1"/>
    </w:lvl>
  </w:abstractNum>
  <w:abstractNum w:abstractNumId="3">
    <w:nsid w:val="540A471C"/>
    <w:multiLevelType w:val="hybridMultilevel"/>
    <w:lvl w:ilvl="0">
      <w:lvlJc w:val="left"/>
      <w:lvlText w:val="2"/>
      <w:numFmt w:val="bullet"/>
      <w:start w:val="1"/>
    </w:lvl>
  </w:abstractNum>
  <w:abstractNum w:abstractNumId="4">
    <w:nsid w:val="7BD3EE7B"/>
    <w:multiLevelType w:val="hybridMultilevel"/>
    <w:lvl w:ilvl="0">
      <w:lvlJc w:val="left"/>
      <w:lvlText w:val="3"/>
      <w:numFmt w:val="bullet"/>
      <w:start w:val="1"/>
    </w:lvl>
  </w:abstractNum>
  <w:abstractNum w:abstractNumId="5">
    <w:nsid w:val="51D9C564"/>
    <w:multiLevelType w:val="hybridMultilevel"/>
    <w:lvl w:ilvl="0">
      <w:lvlJc w:val="left"/>
      <w:lvlText w:val="4"/>
      <w:numFmt w:val="bullet"/>
      <w:start w:val="1"/>
    </w:lvl>
  </w:abstractNum>
  <w:abstractNum w:abstractNumId="6">
    <w:nsid w:val="613EFDC5"/>
    <w:multiLevelType w:val="hybridMultilevel"/>
    <w:lvl w:ilvl="0">
      <w:lvlJc w:val="left"/>
      <w:lvlText w:val="5"/>
      <w:numFmt w:val="bullet"/>
      <w:start w:val="1"/>
    </w:lvl>
  </w:abstractNum>
  <w:abstractNum w:abstractNumId="7">
    <w:nsid w:val="BF72B14"/>
    <w:multiLevelType w:val="hybridMultilevel"/>
    <w:lvl w:ilvl="0">
      <w:lvlJc w:val="left"/>
      <w:lvlText w:val="6"/>
      <w:numFmt w:val="bullet"/>
      <w:start w:val="1"/>
    </w:lvl>
  </w:abstractNum>
  <w:abstractNum w:abstractNumId="8">
    <w:nsid w:val="11447B73"/>
    <w:multiLevelType w:val="hybridMultilevel"/>
    <w:lvl w:ilvl="0">
      <w:lvlJc w:val="left"/>
      <w:lvlText w:val="%1"/>
      <w:numFmt w:val="decimal"/>
      <w:start w:val="11"/>
    </w:lvl>
  </w:abstractNum>
  <w:abstractNum w:abstractNumId="9">
    <w:nsid w:val="42963E5A"/>
    <w:multiLevelType w:val="hybridMultilevel"/>
    <w:lvl w:ilvl="0">
      <w:lvlJc w:val="left"/>
      <w:lvlText w:val="1"/>
      <w:numFmt w:val="bullet"/>
      <w:start w:val="1"/>
    </w:lvl>
  </w:abstractNum>
  <w:abstractNum w:abstractNumId="10">
    <w:nsid w:val="A0382C5"/>
    <w:multiLevelType w:val="hybridMultilevel"/>
    <w:lvl w:ilvl="0">
      <w:lvlJc w:val="left"/>
      <w:lvlText w:val="2"/>
      <w:numFmt w:val="bullet"/>
      <w:start w:val="1"/>
    </w:lvl>
  </w:abstractNum>
  <w:abstractNum w:abstractNumId="11">
    <w:nsid w:val="8F2B15E"/>
    <w:multiLevelType w:val="hybridMultilevel"/>
    <w:lvl w:ilvl="0">
      <w:lvlJc w:val="left"/>
      <w:lvlText w:val="3"/>
      <w:numFmt w:val="bullet"/>
      <w:start w:val="1"/>
    </w:lvl>
  </w:abstractNum>
  <w:abstractNum w:abstractNumId="12">
    <w:nsid w:val="1A32234B"/>
    <w:multiLevelType w:val="hybridMultilevel"/>
    <w:lvl w:ilvl="0">
      <w:lvlJc w:val="left"/>
      <w:lvlText w:val="4"/>
      <w:numFmt w:val="bullet"/>
      <w:start w:val="1"/>
    </w:lvl>
  </w:abstractNum>
  <w:abstractNum w:abstractNumId="13">
    <w:nsid w:val="3B0FD379"/>
    <w:multiLevelType w:val="hybridMultilevel"/>
    <w:lvl w:ilvl="0">
      <w:lvlJc w:val="left"/>
      <w:lvlText w:val="5"/>
      <w:numFmt w:val="bullet"/>
      <w:start w:val="1"/>
    </w:lvl>
  </w:abstractNum>
  <w:abstractNum w:abstractNumId="14">
    <w:nsid w:val="68EB2F63"/>
    <w:multiLevelType w:val="hybridMultilevel"/>
    <w:lvl w:ilvl="0">
      <w:lvlJc w:val="left"/>
      <w:lvlText w:val="6"/>
      <w:numFmt w:val="bullet"/>
      <w:start w:val="1"/>
    </w:lvl>
  </w:abstractNum>
  <w:abstractNum w:abstractNumId="15">
    <w:nsid w:val="4962813B"/>
    <w:multiLevelType w:val="hybridMultilevel"/>
    <w:lvl w:ilvl="0">
      <w:lvlJc w:val="left"/>
      <w:lvlText w:val="%1"/>
      <w:numFmt w:val="decimal"/>
      <w:start w:val="11"/>
    </w:lvl>
  </w:abstractNum>
  <w:abstractNum w:abstractNumId="16">
    <w:nsid w:val="60B6DF70"/>
    <w:multiLevelType w:val="hybridMultilevel"/>
    <w:lvl w:ilvl="0">
      <w:lvlJc w:val="left"/>
      <w:lvlText w:val="1"/>
      <w:numFmt w:val="bullet"/>
      <w:start w:val="1"/>
    </w:lvl>
  </w:abstractNum>
  <w:abstractNum w:abstractNumId="17">
    <w:nsid w:val="6A5EE64"/>
    <w:multiLevelType w:val="hybridMultilevel"/>
    <w:lvl w:ilvl="0">
      <w:lvlJc w:val="left"/>
      <w:lvlText w:val="2"/>
      <w:numFmt w:val="bullet"/>
      <w:start w:val="1"/>
    </w:lvl>
  </w:abstractNum>
  <w:abstractNum w:abstractNumId="18">
    <w:nsid w:val="14330624"/>
    <w:multiLevelType w:val="hybridMultilevel"/>
    <w:lvl w:ilvl="0">
      <w:lvlJc w:val="left"/>
      <w:lvlText w:val="3"/>
      <w:numFmt w:val="bullet"/>
      <w:start w:val="1"/>
    </w:lvl>
  </w:abstractNum>
  <w:abstractNum w:abstractNumId="19">
    <w:nsid w:val="7FFFCA11"/>
    <w:multiLevelType w:val="hybridMultilevel"/>
    <w:lvl w:ilvl="0">
      <w:lvlJc w:val="left"/>
      <w:lvlText w:val="4"/>
      <w:numFmt w:val="bullet"/>
      <w:start w:val="1"/>
    </w:lvl>
  </w:abstractNum>
  <w:abstractNum w:abstractNumId="20">
    <w:nsid w:val="1A27709E"/>
    <w:multiLevelType w:val="hybridMultilevel"/>
    <w:lvl w:ilvl="0">
      <w:lvlJc w:val="left"/>
      <w:lvlText w:val="5"/>
      <w:numFmt w:val="bullet"/>
      <w:start w:val="1"/>
    </w:lvl>
  </w:abstractNum>
  <w:abstractNum w:abstractNumId="21">
    <w:nsid w:val="71EA1109"/>
    <w:multiLevelType w:val="hybridMultilevel"/>
    <w:lvl w:ilvl="0">
      <w:lvlJc w:val="left"/>
      <w:lvlText w:val="6"/>
      <w:numFmt w:val="bullet"/>
      <w:start w:val="1"/>
    </w:lvl>
  </w:abstractNum>
  <w:abstractNum w:abstractNumId="22">
    <w:nsid w:val="100F59DC"/>
    <w:multiLevelType w:val="hybridMultilevel"/>
    <w:lvl w:ilvl="0">
      <w:lvlJc w:val="left"/>
      <w:lvlText w:val="%1"/>
      <w:numFmt w:val="decimal"/>
      <w:start w:val="11"/>
    </w:lvl>
  </w:abstractNum>
  <w:abstractNum w:abstractNumId="23">
    <w:nsid w:val="7FB7E0AA"/>
    <w:multiLevelType w:val="hybridMultilevel"/>
    <w:lvl w:ilvl="0">
      <w:lvlJc w:val="left"/>
      <w:lvlText w:val="1"/>
      <w:numFmt w:val="bullet"/>
      <w:start w:val="1"/>
    </w:lvl>
  </w:abstractNum>
  <w:abstractNum w:abstractNumId="24">
    <w:nsid w:val="6EB5BD4"/>
    <w:multiLevelType w:val="hybridMultilevel"/>
    <w:lvl w:ilvl="0">
      <w:lvlJc w:val="left"/>
      <w:lvlText w:val="2"/>
      <w:numFmt w:val="bullet"/>
      <w:start w:val="1"/>
    </w:lvl>
  </w:abstractNum>
  <w:abstractNum w:abstractNumId="25">
    <w:nsid w:val="6F6DD9AC"/>
    <w:multiLevelType w:val="hybridMultilevel"/>
    <w:lvl w:ilvl="0">
      <w:lvlJc w:val="left"/>
      <w:lvlText w:val="3"/>
      <w:numFmt w:val="bullet"/>
      <w:start w:val="1"/>
    </w:lvl>
  </w:abstractNum>
  <w:abstractNum w:abstractNumId="26">
    <w:nsid w:val="94211F2"/>
    <w:multiLevelType w:val="hybridMultilevel"/>
    <w:lvl w:ilvl="0">
      <w:lvlJc w:val="left"/>
      <w:lvlText w:val="4"/>
      <w:numFmt w:val="bullet"/>
      <w:start w:val="1"/>
    </w:lvl>
  </w:abstractNum>
  <w:abstractNum w:abstractNumId="27">
    <w:nsid w:val="885E1B"/>
    <w:multiLevelType w:val="hybridMultilevel"/>
    <w:lvl w:ilvl="0">
      <w:lvlJc w:val="left"/>
      <w:lvlText w:val="5"/>
      <w:numFmt w:val="bullet"/>
      <w:start w:val="1"/>
    </w:lvl>
  </w:abstractNum>
  <w:abstractNum w:abstractNumId="28">
    <w:nsid w:val="76272110"/>
    <w:multiLevelType w:val="hybridMultilevel"/>
    <w:lvl w:ilvl="0">
      <w:lvlJc w:val="left"/>
      <w:lvlText w:val="6"/>
      <w:numFmt w:val="bullet"/>
      <w:start w:val="1"/>
    </w:lvl>
  </w:abstractNum>
  <w:abstractNum w:abstractNumId="29">
    <w:nsid w:val="4C04A8AF"/>
    <w:multiLevelType w:val="hybridMultilevel"/>
    <w:lvl w:ilvl="0">
      <w:lvlJc w:val="left"/>
      <w:lvlText w:val="%1"/>
      <w:numFmt w:val="decimal"/>
      <w:start w:val="11"/>
    </w:lvl>
  </w:abstractNum>
  <w:abstractNum w:abstractNumId="30">
    <w:nsid w:val="1716703B"/>
    <w:multiLevelType w:val="hybridMultilevel"/>
    <w:lvl w:ilvl="0">
      <w:lvlJc w:val="left"/>
      <w:lvlText w:val="1"/>
      <w:numFmt w:val="bullet"/>
      <w:start w:val="1"/>
    </w:lvl>
  </w:abstractNum>
  <w:abstractNum w:abstractNumId="31">
    <w:nsid w:val="14E17E33"/>
    <w:multiLevelType w:val="hybridMultilevel"/>
    <w:lvl w:ilvl="0">
      <w:lvlJc w:val="left"/>
      <w:lvlText w:val="2"/>
      <w:numFmt w:val="bullet"/>
      <w:start w:val="1"/>
    </w:lvl>
  </w:abstractNum>
  <w:abstractNum w:abstractNumId="32">
    <w:nsid w:val="3222E7CD"/>
    <w:multiLevelType w:val="hybridMultilevel"/>
    <w:lvl w:ilvl="0">
      <w:lvlJc w:val="left"/>
      <w:lvlText w:val="3"/>
      <w:numFmt w:val="bullet"/>
      <w:start w:val="1"/>
    </w:lvl>
  </w:abstractNum>
  <w:abstractNum w:abstractNumId="33">
    <w:nsid w:val="74DE0EE3"/>
    <w:multiLevelType w:val="hybridMultilevel"/>
    <w:lvl w:ilvl="0">
      <w:lvlJc w:val="left"/>
      <w:lvlText w:val="4"/>
      <w:numFmt w:val="bullet"/>
      <w:start w:val="1"/>
    </w:lvl>
  </w:abstractNum>
  <w:abstractNum w:abstractNumId="34">
    <w:nsid w:val="68EBC550"/>
    <w:multiLevelType w:val="hybridMultilevel"/>
    <w:lvl w:ilvl="0">
      <w:lvlJc w:val="left"/>
      <w:lvlText w:val="5"/>
      <w:numFmt w:val="bullet"/>
      <w:start w:val="1"/>
    </w:lvl>
  </w:abstractNum>
  <w:abstractNum w:abstractNumId="35">
    <w:nsid w:val="2DF6D648"/>
    <w:multiLevelType w:val="hybridMultilevel"/>
    <w:lvl w:ilvl="0">
      <w:lvlJc w:val="left"/>
      <w:lvlText w:val="6"/>
      <w:numFmt w:val="bullet"/>
      <w:start w:val="1"/>
    </w:lvl>
  </w:abstractNum>
  <w:abstractNum w:abstractNumId="36">
    <w:nsid w:val="46B7D447"/>
    <w:multiLevelType w:val="hybridMultilevel"/>
    <w:lvl w:ilvl="0">
      <w:lvlJc w:val="left"/>
      <w:lvlText w:val="%1"/>
      <w:numFmt w:val="decimal"/>
      <w:start w:val="11"/>
    </w:lvl>
  </w:abstractNum>
  <w:abstractNum w:abstractNumId="37">
    <w:nsid w:val="4A2AC315"/>
    <w:multiLevelType w:val="hybridMultilevel"/>
    <w:lvl w:ilvl="0">
      <w:lvlJc w:val="left"/>
      <w:lvlText w:val="1"/>
      <w:numFmt w:val="bullet"/>
      <w:start w:val="1"/>
    </w:lvl>
  </w:abstractNum>
  <w:abstractNum w:abstractNumId="38">
    <w:nsid w:val="39EE015C"/>
    <w:multiLevelType w:val="hybridMultilevel"/>
    <w:lvl w:ilvl="0">
      <w:lvlJc w:val="left"/>
      <w:lvlText w:val="2"/>
      <w:numFmt w:val="bullet"/>
      <w:start w:val="1"/>
    </w:lvl>
  </w:abstractNum>
  <w:abstractNum w:abstractNumId="39">
    <w:nsid w:val="57FC4FBB"/>
    <w:multiLevelType w:val="hybridMultilevel"/>
    <w:lvl w:ilvl="0">
      <w:lvlJc w:val="left"/>
      <w:lvlText w:val="3"/>
      <w:numFmt w:val="bullet"/>
      <w:start w:val="1"/>
    </w:lvl>
  </w:abstractNum>
  <w:abstractNum w:abstractNumId="40">
    <w:nsid w:val="CC1016F"/>
    <w:multiLevelType w:val="hybridMultilevel"/>
    <w:lvl w:ilvl="0">
      <w:lvlJc w:val="left"/>
      <w:lvlText w:val="4"/>
      <w:numFmt w:val="bullet"/>
      <w:start w:val="1"/>
    </w:lvl>
  </w:abstractNum>
  <w:abstractNum w:abstractNumId="41">
    <w:nsid w:val="43F18422"/>
    <w:multiLevelType w:val="hybridMultilevel"/>
    <w:lvl w:ilvl="0">
      <w:lvlJc w:val="left"/>
      <w:lvlText w:val="5"/>
      <w:numFmt w:val="bullet"/>
      <w:start w:val="1"/>
    </w:lvl>
  </w:abstractNum>
  <w:abstractNum w:abstractNumId="42">
    <w:nsid w:val="60EF0119"/>
    <w:multiLevelType w:val="hybridMultilevel"/>
    <w:lvl w:ilvl="0">
      <w:lvlJc w:val="left"/>
      <w:lvlText w:val="6"/>
      <w:numFmt w:val="bullet"/>
      <w:start w:val="1"/>
    </w:lvl>
  </w:abstractNum>
  <w:abstractNum w:abstractNumId="43">
    <w:nsid w:val="26F324BA"/>
    <w:multiLevelType w:val="hybridMultilevel"/>
    <w:lvl w:ilvl="0">
      <w:lvlJc w:val="left"/>
      <w:lvlText w:val="%1"/>
      <w:numFmt w:val="decimal"/>
      <w:start w:val="11"/>
    </w:lvl>
  </w:abstractNum>
  <w:abstractNum w:abstractNumId="44">
    <w:nsid w:val="7F01579B"/>
    <w:multiLevelType w:val="hybridMultilevel"/>
    <w:lvl w:ilvl="0">
      <w:lvlJc w:val="left"/>
      <w:lvlText w:val="1"/>
      <w:numFmt w:val="bullet"/>
      <w:start w:val="1"/>
    </w:lvl>
  </w:abstractNum>
  <w:abstractNum w:abstractNumId="45">
    <w:nsid w:val="49DA307D"/>
    <w:multiLevelType w:val="hybridMultilevel"/>
    <w:lvl w:ilvl="0">
      <w:lvlJc w:val="left"/>
      <w:lvlText w:val="2"/>
      <w:numFmt w:val="bullet"/>
      <w:start w:val="1"/>
    </w:lvl>
  </w:abstractNum>
  <w:abstractNum w:abstractNumId="46">
    <w:nsid w:val="7055A5F5"/>
    <w:multiLevelType w:val="hybridMultilevel"/>
    <w:lvl w:ilvl="0">
      <w:lvlJc w:val="left"/>
      <w:lvlText w:val="3"/>
      <w:numFmt w:val="bullet"/>
      <w:start w:val="1"/>
    </w:lvl>
  </w:abstractNum>
  <w:abstractNum w:abstractNumId="47">
    <w:nsid w:val="5FB8370B"/>
    <w:multiLevelType w:val="hybridMultilevel"/>
    <w:lvl w:ilvl="0">
      <w:lvlJc w:val="left"/>
      <w:lvlText w:val="4"/>
      <w:numFmt w:val="bullet"/>
      <w:start w:val="1"/>
    </w:lvl>
  </w:abstractNum>
  <w:abstractNum w:abstractNumId="48">
    <w:nsid w:val="50801EE1"/>
    <w:multiLevelType w:val="hybridMultilevel"/>
    <w:lvl w:ilvl="0">
      <w:lvlJc w:val="left"/>
      <w:lvlText w:val="5"/>
      <w:numFmt w:val="bullet"/>
      <w:start w:val="1"/>
    </w:lvl>
  </w:abstractNum>
  <w:abstractNum w:abstractNumId="49">
    <w:nsid w:val="488AC1A"/>
    <w:multiLevelType w:val="hybridMultilevel"/>
    <w:lvl w:ilvl="0">
      <w:lvlJc w:val="left"/>
      <w:lvlText w:val="6"/>
      <w:numFmt w:val="bullet"/>
      <w:start w:val="1"/>
    </w:lvl>
  </w:abstractNum>
  <w:abstractNum w:abstractNumId="50">
    <w:nsid w:val="5FB8011C"/>
    <w:multiLevelType w:val="hybridMultilevel"/>
    <w:lvl w:ilvl="0">
      <w:lvlJc w:val="left"/>
      <w:lvlText w:val="%1"/>
      <w:numFmt w:val="decimal"/>
      <w:start w:val="11"/>
    </w:lvl>
  </w:abstractNum>
  <w:abstractNum w:abstractNumId="51">
    <w:nsid w:val="6AA78F7F"/>
    <w:multiLevelType w:val="hybridMultilevel"/>
    <w:lvl w:ilvl="0">
      <w:lvlJc w:val="left"/>
      <w:lvlText w:val="1"/>
      <w:numFmt w:val="bullet"/>
      <w:start w:val="1"/>
    </w:lvl>
  </w:abstractNum>
  <w:abstractNum w:abstractNumId="52">
    <w:nsid w:val="7672BD23"/>
    <w:multiLevelType w:val="hybridMultilevel"/>
    <w:lvl w:ilvl="0">
      <w:lvlJc w:val="left"/>
      <w:lvlText w:val="2"/>
      <w:numFmt w:val="bullet"/>
      <w:start w:val="1"/>
    </w:lvl>
  </w:abstractNum>
  <w:abstractNum w:abstractNumId="53">
    <w:nsid w:val="6FC75AF8"/>
    <w:multiLevelType w:val="hybridMultilevel"/>
    <w:lvl w:ilvl="0">
      <w:lvlJc w:val="left"/>
      <w:lvlText w:val="3"/>
      <w:numFmt w:val="bullet"/>
      <w:start w:val="1"/>
    </w:lvl>
  </w:abstractNum>
  <w:abstractNum w:abstractNumId="54">
    <w:nsid w:val="6A5F7029"/>
    <w:multiLevelType w:val="hybridMultilevel"/>
    <w:lvl w:ilvl="0">
      <w:lvlJc w:val="left"/>
      <w:lvlText w:val="4"/>
      <w:numFmt w:val="bullet"/>
      <w:start w:val="1"/>
    </w:lvl>
  </w:abstractNum>
  <w:abstractNum w:abstractNumId="55">
    <w:nsid w:val="7D5E18F8"/>
    <w:multiLevelType w:val="hybridMultilevel"/>
    <w:lvl w:ilvl="0">
      <w:lvlJc w:val="left"/>
      <w:lvlText w:val="5"/>
      <w:numFmt w:val="bullet"/>
      <w:start w:val="1"/>
    </w:lvl>
  </w:abstractNum>
  <w:abstractNum w:abstractNumId="56">
    <w:nsid w:val="5F3534A4"/>
    <w:multiLevelType w:val="hybridMultilevel"/>
    <w:lvl w:ilvl="0">
      <w:lvlJc w:val="left"/>
      <w:lvlText w:val="6"/>
      <w:numFmt w:val="bullet"/>
      <w:start w:val="1"/>
    </w:lvl>
  </w:abstractNum>
  <w:abstractNum w:abstractNumId="57">
    <w:nsid w:val="73A1821B"/>
    <w:multiLevelType w:val="hybridMultilevel"/>
    <w:lvl w:ilvl="0">
      <w:lvlJc w:val="left"/>
      <w:lvlText w:val="%1"/>
      <w:numFmt w:val="decimal"/>
      <w:start w:val="11"/>
    </w:lvl>
  </w:abstractNum>
  <w:abstractNum w:abstractNumId="58">
    <w:nsid w:val="7DE67713"/>
    <w:multiLevelType w:val="hybridMultilevel"/>
    <w:lvl w:ilvl="0">
      <w:lvlJc w:val="left"/>
      <w:lvlText w:val="1"/>
      <w:numFmt w:val="bullet"/>
      <w:start w:val="1"/>
    </w:lvl>
  </w:abstractNum>
  <w:abstractNum w:abstractNumId="59">
    <w:nsid w:val="555C55B5"/>
    <w:multiLevelType w:val="hybridMultilevel"/>
    <w:lvl w:ilvl="0">
      <w:lvlJc w:val="left"/>
      <w:lvlText w:val="2"/>
      <w:numFmt w:val="bullet"/>
      <w:start w:val="1"/>
    </w:lvl>
  </w:abstractNum>
  <w:abstractNum w:abstractNumId="60">
    <w:nsid w:val="3FA62ACA"/>
    <w:multiLevelType w:val="hybridMultilevel"/>
    <w:lvl w:ilvl="0">
      <w:lvlJc w:val="left"/>
      <w:lvlText w:val="3"/>
      <w:numFmt w:val="bullet"/>
      <w:start w:val="1"/>
    </w:lvl>
  </w:abstractNum>
  <w:abstractNum w:abstractNumId="61">
    <w:nsid w:val="14FCE74E"/>
    <w:multiLevelType w:val="hybridMultilevel"/>
    <w:lvl w:ilvl="0">
      <w:lvlJc w:val="left"/>
      <w:lvlText w:val="4"/>
      <w:numFmt w:val="bullet"/>
      <w:start w:val="1"/>
    </w:lvl>
  </w:abstractNum>
  <w:abstractNum w:abstractNumId="62">
    <w:nsid w:val="6A3DD3E8"/>
    <w:multiLevelType w:val="hybridMultilevel"/>
    <w:lvl w:ilvl="0">
      <w:lvlJc w:val="left"/>
      <w:lvlText w:val="5"/>
      <w:numFmt w:val="bullet"/>
      <w:start w:val="1"/>
    </w:lvl>
  </w:abstractNum>
  <w:abstractNum w:abstractNumId="63">
    <w:nsid w:val="71C91298"/>
    <w:multiLevelType w:val="hybridMultilevel"/>
    <w:lvl w:ilvl="0">
      <w:lvlJc w:val="left"/>
      <w:lvlText w:val="6"/>
      <w:numFmt w:val="bullet"/>
      <w:start w:val="1"/>
    </w:lvl>
  </w:abstractNum>
  <w:abstractNum w:abstractNumId="64">
    <w:nsid w:val="9DAF632"/>
    <w:multiLevelType w:val="hybridMultilevel"/>
    <w:lvl w:ilvl="0">
      <w:lvlJc w:val="left"/>
      <w:lvlText w:val="%1"/>
      <w:numFmt w:val="decimal"/>
      <w:start w:val="11"/>
    </w:lvl>
  </w:abstractNum>
  <w:abstractNum w:abstractNumId="65">
    <w:nsid w:val="53299938"/>
    <w:multiLevelType w:val="hybridMultilevel"/>
    <w:lvl w:ilvl="0">
      <w:lvlJc w:val="left"/>
      <w:lvlText w:val="1"/>
      <w:numFmt w:val="bullet"/>
      <w:start w:val="1"/>
    </w:lvl>
  </w:abstractNum>
  <w:abstractNum w:abstractNumId="66">
    <w:nsid w:val="1FBFE8E0"/>
    <w:multiLevelType w:val="hybridMultilevel"/>
    <w:lvl w:ilvl="0">
      <w:lvlJc w:val="left"/>
      <w:lvlText w:val="2"/>
      <w:numFmt w:val="bullet"/>
      <w:start w:val="1"/>
    </w:lvl>
  </w:abstractNum>
  <w:abstractNum w:abstractNumId="67">
    <w:nsid w:val="5092CA79"/>
    <w:multiLevelType w:val="hybridMultilevel"/>
    <w:lvl w:ilvl="0">
      <w:lvlJc w:val="left"/>
      <w:lvlText w:val="3"/>
      <w:numFmt w:val="bullet"/>
      <w:start w:val="1"/>
    </w:lvl>
  </w:abstractNum>
  <w:abstractNum w:abstractNumId="68">
    <w:nsid w:val="1D545C4D"/>
    <w:multiLevelType w:val="hybridMultilevel"/>
    <w:lvl w:ilvl="0">
      <w:lvlJc w:val="left"/>
      <w:lvlText w:val="4"/>
      <w:numFmt w:val="bullet"/>
      <w:start w:val="1"/>
    </w:lvl>
  </w:abstractNum>
  <w:abstractNum w:abstractNumId="69">
    <w:nsid w:val="59ADEA3D"/>
    <w:multiLevelType w:val="hybridMultilevel"/>
    <w:lvl w:ilvl="0">
      <w:lvlJc w:val="left"/>
      <w:lvlText w:val="5"/>
      <w:numFmt w:val="bullet"/>
      <w:start w:val="1"/>
    </w:lvl>
  </w:abstractNum>
  <w:abstractNum w:abstractNumId="70">
    <w:nsid w:val="288F1A34"/>
    <w:multiLevelType w:val="hybridMultilevel"/>
    <w:lvl w:ilvl="0">
      <w:lvlJc w:val="left"/>
      <w:lvlText w:val="6"/>
      <w:numFmt w:val="bullet"/>
      <w:start w:val="1"/>
    </w:lvl>
  </w:abstractNum>
  <w:abstractNum w:abstractNumId="71">
    <w:nsid w:val="2A155DBC"/>
    <w:multiLevelType w:val="hybridMultilevel"/>
    <w:lvl w:ilvl="0">
      <w:lvlJc w:val="left"/>
      <w:lvlText w:val="%1"/>
      <w:numFmt w:val="decimal"/>
      <w:start w:val="11"/>
    </w:lvl>
  </w:abstractNum>
  <w:abstractNum w:abstractNumId="72">
    <w:nsid w:val="1D9F6E5F"/>
    <w:multiLevelType w:val="hybridMultilevel"/>
    <w:lvl w:ilvl="0">
      <w:lvlJc w:val="left"/>
      <w:lvlText w:val="1"/>
      <w:numFmt w:val="bullet"/>
      <w:start w:val="1"/>
    </w:lvl>
  </w:abstractNum>
  <w:abstractNum w:abstractNumId="73">
    <w:nsid w:val="97E1B4E"/>
    <w:multiLevelType w:val="hybridMultilevel"/>
    <w:lvl w:ilvl="0">
      <w:lvlJc w:val="left"/>
      <w:lvlText w:val="2"/>
      <w:numFmt w:val="bullet"/>
      <w:start w:val="1"/>
    </w:lvl>
  </w:abstractNum>
  <w:abstractNum w:abstractNumId="74">
    <w:nsid w:val="51088277"/>
    <w:multiLevelType w:val="hybridMultilevel"/>
    <w:lvl w:ilvl="0">
      <w:lvlJc w:val="left"/>
      <w:lvlText w:val="3"/>
      <w:numFmt w:val="bullet"/>
      <w:start w:val="1"/>
    </w:lvl>
  </w:abstractNum>
  <w:abstractNum w:abstractNumId="75">
    <w:nsid w:val="1CA0C5FA"/>
    <w:multiLevelType w:val="hybridMultilevel"/>
    <w:lvl w:ilvl="0">
      <w:lvlJc w:val="left"/>
      <w:lvlText w:val="4"/>
      <w:numFmt w:val="bullet"/>
      <w:start w:val="1"/>
    </w:lvl>
  </w:abstractNum>
  <w:abstractNum w:abstractNumId="76">
    <w:nsid w:val="53584BCB"/>
    <w:multiLevelType w:val="hybridMultilevel"/>
    <w:lvl w:ilvl="0">
      <w:lvlJc w:val="left"/>
      <w:lvlText w:val="5"/>
      <w:numFmt w:val="bullet"/>
      <w:start w:val="1"/>
    </w:lvl>
  </w:abstractNum>
  <w:abstractNum w:abstractNumId="77">
    <w:nsid w:val="415E286C"/>
    <w:multiLevelType w:val="hybridMultilevel"/>
    <w:lvl w:ilvl="0">
      <w:lvlJc w:val="left"/>
      <w:lvlText w:val="6"/>
      <w:numFmt w:val="bullet"/>
      <w:start w:val="1"/>
    </w:lvl>
  </w:abstractNum>
  <w:abstractNum w:abstractNumId="78">
    <w:nsid w:val="7C58FD05"/>
    <w:multiLevelType w:val="hybridMultilevel"/>
    <w:lvl w:ilvl="0">
      <w:lvlJc w:val="left"/>
      <w:lvlText w:val="%1"/>
      <w:numFmt w:val="decimal"/>
      <w:start w:val="11"/>
    </w:lvl>
  </w:abstractNum>
  <w:abstractNum w:abstractNumId="79">
    <w:nsid w:val="23D86AAC"/>
    <w:multiLevelType w:val="hybridMultilevel"/>
    <w:lvl w:ilvl="0">
      <w:lvlJc w:val="left"/>
      <w:lvlText w:val="1"/>
      <w:numFmt w:val="bullet"/>
      <w:start w:val="1"/>
    </w:lvl>
  </w:abstractNum>
  <w:abstractNum w:abstractNumId="80">
    <w:nsid w:val="45E6D486"/>
    <w:multiLevelType w:val="hybridMultilevel"/>
    <w:lvl w:ilvl="0">
      <w:lvlJc w:val="left"/>
      <w:lvlText w:val="2"/>
      <w:numFmt w:val="bullet"/>
      <w:start w:val="1"/>
    </w:lvl>
  </w:abstractNum>
  <w:abstractNum w:abstractNumId="81">
    <w:nsid w:val="5C10FE21"/>
    <w:multiLevelType w:val="hybridMultilevel"/>
    <w:lvl w:ilvl="0">
      <w:lvlJc w:val="left"/>
      <w:lvlText w:val="3"/>
      <w:numFmt w:val="bullet"/>
      <w:start w:val="1"/>
    </w:lvl>
  </w:abstractNum>
  <w:abstractNum w:abstractNumId="82">
    <w:nsid w:val="E7FFA2B"/>
    <w:multiLevelType w:val="hybridMultilevel"/>
    <w:lvl w:ilvl="0">
      <w:lvlJc w:val="left"/>
      <w:lvlText w:val="4"/>
      <w:numFmt w:val="bullet"/>
      <w:start w:val="1"/>
    </w:lvl>
  </w:abstractNum>
  <w:abstractNum w:abstractNumId="83">
    <w:nsid w:val="3C5991AA"/>
    <w:multiLevelType w:val="hybridMultilevel"/>
    <w:lvl w:ilvl="0">
      <w:lvlJc w:val="left"/>
      <w:lvlText w:val="5"/>
      <w:numFmt w:val="bullet"/>
      <w:start w:val="1"/>
    </w:lvl>
  </w:abstractNum>
  <w:abstractNum w:abstractNumId="84">
    <w:nsid w:val="4BD8591A"/>
    <w:multiLevelType w:val="hybridMultilevel"/>
    <w:lvl w:ilvl="0">
      <w:lvlJc w:val="left"/>
      <w:lvlText w:val="6"/>
      <w:numFmt w:val="bullet"/>
      <w:start w:val="1"/>
    </w:lvl>
  </w:abstractNum>
  <w:abstractNum w:abstractNumId="85">
    <w:nsid w:val="78DF6A55"/>
    <w:multiLevelType w:val="hybridMultilevel"/>
    <w:lvl w:ilvl="0">
      <w:lvlJc w:val="left"/>
      <w:lvlText w:val="%1"/>
      <w:numFmt w:val="decimal"/>
      <w:start w:val="11"/>
    </w:lvl>
  </w:abstractNum>
  <w:abstractNum w:abstractNumId="86">
    <w:nsid w:val="39B7AAA2"/>
    <w:multiLevelType w:val="hybridMultilevel"/>
    <w:lvl w:ilvl="0">
      <w:lvlJc w:val="left"/>
      <w:lvlText w:val="1"/>
      <w:numFmt w:val="bullet"/>
      <w:start w:val="1"/>
    </w:lvl>
  </w:abstractNum>
  <w:abstractNum w:abstractNumId="87">
    <w:nsid w:val="2B0D8DBE"/>
    <w:multiLevelType w:val="hybridMultilevel"/>
    <w:lvl w:ilvl="0">
      <w:lvlJc w:val="left"/>
      <w:lvlText w:val="2"/>
      <w:numFmt w:val="bullet"/>
      <w:start w:val="1"/>
    </w:lvl>
  </w:abstractNum>
  <w:abstractNum w:abstractNumId="88">
    <w:nsid w:val="6C80EC70"/>
    <w:multiLevelType w:val="hybridMultilevel"/>
    <w:lvl w:ilvl="0">
      <w:lvlJc w:val="left"/>
      <w:lvlText w:val="3"/>
      <w:numFmt w:val="bullet"/>
      <w:start w:val="1"/>
    </w:lvl>
  </w:abstractNum>
  <w:abstractNum w:abstractNumId="89">
    <w:nsid w:val="379E21B5"/>
    <w:multiLevelType w:val="hybridMultilevel"/>
    <w:lvl w:ilvl="0">
      <w:lvlJc w:val="left"/>
      <w:lvlText w:val="4"/>
      <w:numFmt w:val="bullet"/>
      <w:start w:val="1"/>
    </w:lvl>
  </w:abstractNum>
  <w:abstractNum w:abstractNumId="90">
    <w:nsid w:val="69E373"/>
    <w:multiLevelType w:val="hybridMultilevel"/>
    <w:lvl w:ilvl="0">
      <w:lvlJc w:val="left"/>
      <w:lvlText w:val="5"/>
      <w:numFmt w:val="bullet"/>
      <w:start w:val="1"/>
    </w:lvl>
  </w:abstractNum>
  <w:abstractNum w:abstractNumId="91">
    <w:nsid w:val="2C27173B"/>
    <w:multiLevelType w:val="hybridMultilevel"/>
    <w:lvl w:ilvl="0">
      <w:lvlJc w:val="left"/>
      <w:lvlText w:val="6"/>
      <w:numFmt w:val="bullet"/>
      <w:start w:val="1"/>
    </w:lvl>
  </w:abstractNum>
  <w:abstractNum w:abstractNumId="92">
    <w:nsid w:val="4C9B0904"/>
    <w:multiLevelType w:val="hybridMultilevel"/>
    <w:lvl w:ilvl="0">
      <w:lvlJc w:val="left"/>
      <w:lvlText w:val="%1"/>
      <w:numFmt w:val="decimal"/>
      <w:start w:val="11"/>
    </w:lvl>
  </w:abstractNum>
  <w:abstractNum w:abstractNumId="93">
    <w:nsid w:val="6AA7B75C"/>
    <w:multiLevelType w:val="hybridMultilevel"/>
    <w:lvl w:ilvl="0">
      <w:lvlJc w:val="left"/>
      <w:lvlText w:val="1"/>
      <w:numFmt w:val="bullet"/>
      <w:start w:val="1"/>
    </w:lvl>
  </w:abstractNum>
  <w:abstractNum w:abstractNumId="94">
    <w:nsid w:val="1DF029D3"/>
    <w:multiLevelType w:val="hybridMultilevel"/>
    <w:lvl w:ilvl="0">
      <w:lvlJc w:val="left"/>
      <w:lvlText w:val="2"/>
      <w:numFmt w:val="bullet"/>
      <w:start w:val="1"/>
    </w:lvl>
  </w:abstractNum>
  <w:abstractNum w:abstractNumId="95">
    <w:nsid w:val="5675FF36"/>
    <w:multiLevelType w:val="hybridMultilevel"/>
    <w:lvl w:ilvl="0">
      <w:lvlJc w:val="left"/>
      <w:lvlText w:val="3"/>
      <w:numFmt w:val="bullet"/>
      <w:start w:val="1"/>
    </w:lvl>
  </w:abstractNum>
  <w:abstractNum w:abstractNumId="96">
    <w:nsid w:val="3DD15094"/>
    <w:multiLevelType w:val="hybridMultilevel"/>
    <w:lvl w:ilvl="0">
      <w:lvlJc w:val="left"/>
      <w:lvlText w:val="4"/>
      <w:numFmt w:val="bullet"/>
      <w:start w:val="1"/>
    </w:lvl>
  </w:abstractNum>
  <w:abstractNum w:abstractNumId="97">
    <w:nsid w:val="3DB012B3"/>
    <w:multiLevelType w:val="hybridMultilevel"/>
    <w:lvl w:ilvl="0">
      <w:lvlJc w:val="left"/>
      <w:lvlText w:val="5"/>
      <w:numFmt w:val="bullet"/>
      <w:start w:val="1"/>
    </w:lvl>
  </w:abstractNum>
  <w:abstractNum w:abstractNumId="98">
    <w:nsid w:val="2708C9AF"/>
    <w:multiLevelType w:val="hybridMultilevel"/>
    <w:lvl w:ilvl="0">
      <w:lvlJc w:val="left"/>
      <w:lvlText w:val="6"/>
      <w:numFmt w:val="bullet"/>
      <w:start w:val="1"/>
    </w:lvl>
  </w:abstractNum>
  <w:abstractNum w:abstractNumId="99">
    <w:nsid w:val="5B25ACE2"/>
    <w:multiLevelType w:val="hybridMultilevel"/>
    <w:lvl w:ilvl="0">
      <w:lvlJc w:val="left"/>
      <w:lvlText w:val="%1"/>
      <w:numFmt w:val="decimal"/>
      <w:start w:val="11"/>
    </w:lvl>
  </w:abstractNum>
  <w:abstractNum w:abstractNumId="100">
    <w:nsid w:val="175DFCF0"/>
    <w:multiLevelType w:val="hybridMultilevel"/>
    <w:lvl w:ilvl="0">
      <w:lvlJc w:val="left"/>
      <w:lvlText w:val="1"/>
      <w:numFmt w:val="bullet"/>
      <w:start w:val="1"/>
    </w:lvl>
  </w:abstractNum>
  <w:abstractNum w:abstractNumId="101">
    <w:nsid w:val="4F97E3E4"/>
    <w:multiLevelType w:val="hybridMultilevel"/>
    <w:lvl w:ilvl="0">
      <w:lvlJc w:val="left"/>
      <w:lvlText w:val="2"/>
      <w:numFmt w:val="bullet"/>
      <w:start w:val="1"/>
    </w:lvl>
  </w:abstractNum>
  <w:abstractNum w:abstractNumId="102">
    <w:nsid w:val="53B0A9E"/>
    <w:multiLevelType w:val="hybridMultilevel"/>
    <w:lvl w:ilvl="0">
      <w:lvlJc w:val="left"/>
      <w:lvlText w:val="3"/>
      <w:numFmt w:val="bullet"/>
      <w:start w:val="1"/>
    </w:lvl>
  </w:abstractNum>
  <w:abstractNum w:abstractNumId="103">
    <w:nsid w:val="34FD6B4F"/>
    <w:multiLevelType w:val="hybridMultilevel"/>
    <w:lvl w:ilvl="0">
      <w:lvlJc w:val="left"/>
      <w:lvlText w:val="4"/>
      <w:numFmt w:val="bullet"/>
      <w:start w:val="1"/>
    </w:lvl>
  </w:abstractNum>
  <w:abstractNum w:abstractNumId="104">
    <w:nsid w:val="5915FF32"/>
    <w:multiLevelType w:val="hybridMultilevel"/>
    <w:lvl w:ilvl="0">
      <w:lvlJc w:val="left"/>
      <w:lvlText w:val="5"/>
      <w:numFmt w:val="bullet"/>
      <w:start w:val="1"/>
    </w:lvl>
  </w:abstractNum>
  <w:abstractNum w:abstractNumId="105">
    <w:nsid w:val="56438D15"/>
    <w:multiLevelType w:val="hybridMultilevel"/>
    <w:lvl w:ilvl="0">
      <w:lvlJc w:val="left"/>
      <w:lvlText w:val="6"/>
      <w:numFmt w:val="bullet"/>
      <w:start w:val="1"/>
    </w:lvl>
  </w:abstractNum>
  <w:abstractNum w:abstractNumId="106">
    <w:nsid w:val="519E3149"/>
    <w:multiLevelType w:val="hybridMultilevel"/>
    <w:lvl w:ilvl="0">
      <w:lvlJc w:val="left"/>
      <w:lvlText w:val="%1"/>
      <w:numFmt w:val="decimal"/>
      <w:start w:val="11"/>
    </w:lvl>
  </w:abstractNum>
  <w:abstractNum w:abstractNumId="107">
    <w:nsid w:val="2C6E4AFD"/>
    <w:multiLevelType w:val="hybridMultilevel"/>
    <w:lvl w:ilvl="0">
      <w:lvlJc w:val="left"/>
      <w:lvlText w:val="1"/>
      <w:numFmt w:val="bullet"/>
      <w:start w:val="1"/>
    </w:lvl>
  </w:abstractNum>
  <w:abstractNum w:abstractNumId="108">
    <w:nsid w:val="17A1B582"/>
    <w:multiLevelType w:val="hybridMultilevel"/>
    <w:lvl w:ilvl="0">
      <w:lvlJc w:val="left"/>
      <w:lvlText w:val="2"/>
      <w:numFmt w:val="bullet"/>
      <w:start w:val="1"/>
    </w:lvl>
  </w:abstractNum>
  <w:abstractNum w:abstractNumId="109">
    <w:nsid w:val="4DF72E4E"/>
    <w:multiLevelType w:val="hybridMultilevel"/>
    <w:lvl w:ilvl="0">
      <w:lvlJc w:val="left"/>
      <w:lvlText w:val="3"/>
      <w:numFmt w:val="bullet"/>
      <w:start w:val="1"/>
    </w:lvl>
  </w:abstractNum>
  <w:abstractNum w:abstractNumId="110">
    <w:nsid w:val="5046B5A9"/>
    <w:multiLevelType w:val="hybridMultilevel"/>
    <w:lvl w:ilvl="0">
      <w:lvlJc w:val="left"/>
      <w:lvlText w:val="4"/>
      <w:numFmt w:val="bullet"/>
      <w:start w:val="1"/>
    </w:lvl>
  </w:abstractNum>
  <w:abstractNum w:abstractNumId="111">
    <w:nsid w:val="5D888A08"/>
    <w:multiLevelType w:val="hybridMultilevel"/>
    <w:lvl w:ilvl="0">
      <w:lvlJc w:val="left"/>
      <w:lvlText w:val="5"/>
      <w:numFmt w:val="bullet"/>
      <w:start w:val="1"/>
    </w:lvl>
  </w:abstractNum>
  <w:abstractNum w:abstractNumId="112">
    <w:nsid w:val="2A082C70"/>
    <w:multiLevelType w:val="hybridMultilevel"/>
    <w:lvl w:ilvl="0">
      <w:lvlJc w:val="left"/>
      <w:lvlText w:val="6"/>
      <w:numFmt w:val="bullet"/>
      <w:start w:val="1"/>
    </w:lvl>
  </w:abstractNum>
  <w:abstractNum w:abstractNumId="113">
    <w:nsid w:val="5EC6AFD4"/>
    <w:multiLevelType w:val="hybridMultilevel"/>
    <w:lvl w:ilvl="0">
      <w:lvlJc w:val="left"/>
      <w:lvlText w:val="%1"/>
      <w:numFmt w:val="decimal"/>
      <w:start w:val="11"/>
    </w:lvl>
  </w:abstractNum>
  <w:abstractNum w:abstractNumId="114">
    <w:nsid w:val="19E21BB2"/>
    <w:multiLevelType w:val="hybridMultilevel"/>
    <w:lvl w:ilvl="0">
      <w:lvlJc w:val="left"/>
      <w:lvlText w:val="1"/>
      <w:numFmt w:val="bullet"/>
      <w:start w:val="1"/>
    </w:lvl>
  </w:abstractNum>
  <w:abstractNum w:abstractNumId="115">
    <w:nsid w:val="75E0858A"/>
    <w:multiLevelType w:val="hybridMultilevel"/>
    <w:lvl w:ilvl="0">
      <w:lvlJc w:val="left"/>
      <w:lvlText w:val="2"/>
      <w:numFmt w:val="bullet"/>
      <w:start w:val="1"/>
    </w:lvl>
  </w:abstractNum>
  <w:abstractNum w:abstractNumId="116">
    <w:nsid w:val="57A61A29"/>
    <w:multiLevelType w:val="hybridMultilevel"/>
    <w:lvl w:ilvl="0">
      <w:lvlJc w:val="left"/>
      <w:lvlText w:val="3"/>
      <w:numFmt w:val="bullet"/>
      <w:start w:val="1"/>
    </w:lvl>
  </w:abstractNum>
  <w:abstractNum w:abstractNumId="117">
    <w:nsid w:val="5399C654"/>
    <w:multiLevelType w:val="hybridMultilevel"/>
    <w:lvl w:ilvl="0">
      <w:lvlJc w:val="left"/>
      <w:lvlText w:val="4"/>
      <w:numFmt w:val="bullet"/>
      <w:start w:val="1"/>
    </w:lvl>
  </w:abstractNum>
  <w:abstractNum w:abstractNumId="118">
    <w:nsid w:val="20EE1348"/>
    <w:multiLevelType w:val="hybridMultilevel"/>
    <w:lvl w:ilvl="0">
      <w:lvlJc w:val="left"/>
      <w:lvlText w:val="5"/>
      <w:numFmt w:val="bullet"/>
      <w:start w:val="1"/>
    </w:lvl>
  </w:abstractNum>
  <w:abstractNum w:abstractNumId="119">
    <w:nsid w:val="4427069A"/>
    <w:multiLevelType w:val="hybridMultilevel"/>
    <w:lvl w:ilvl="0">
      <w:lvlJc w:val="left"/>
      <w:lvlText w:val="6"/>
      <w:numFmt w:val="bullet"/>
      <w:start w:val="1"/>
    </w:lvl>
  </w:abstractNum>
  <w:abstractNum w:abstractNumId="120">
    <w:nsid w:val="B37E80A"/>
    <w:multiLevelType w:val="hybridMultilevel"/>
    <w:lvl w:ilvl="0">
      <w:lvlJc w:val="left"/>
      <w:lvlText w:val="%1"/>
      <w:numFmt w:val="decimal"/>
      <w:start w:val="11"/>
    </w:lvl>
  </w:abstractNum>
  <w:abstractNum w:abstractNumId="121">
    <w:nsid w:val="2157F6BC"/>
    <w:multiLevelType w:val="hybridMultilevel"/>
    <w:lvl w:ilvl="0">
      <w:lvlJc w:val="left"/>
      <w:lvlText w:val="1"/>
      <w:numFmt w:val="bullet"/>
      <w:start w:val="1"/>
    </w:lvl>
  </w:abstractNum>
  <w:abstractNum w:abstractNumId="122">
    <w:nsid w:val="704E1DD5"/>
    <w:multiLevelType w:val="hybridMultilevel"/>
    <w:lvl w:ilvl="0">
      <w:lvlJc w:val="left"/>
      <w:lvlText w:val="2"/>
      <w:numFmt w:val="bullet"/>
      <w:start w:val="1"/>
    </w:lvl>
  </w:abstractNum>
  <w:abstractNum w:abstractNumId="123">
    <w:nsid w:val="57D2F10E"/>
    <w:multiLevelType w:val="hybridMultilevel"/>
    <w:lvl w:ilvl="0">
      <w:lvlJc w:val="left"/>
      <w:lvlText w:val="3"/>
      <w:numFmt w:val="bullet"/>
      <w:start w:val="1"/>
    </w:lvl>
  </w:abstractNum>
  <w:abstractNum w:abstractNumId="124">
    <w:nsid w:val="BFFAE18"/>
    <w:multiLevelType w:val="hybridMultilevel"/>
    <w:lvl w:ilvl="0">
      <w:lvlJc w:val="left"/>
      <w:lvlText w:val="4"/>
      <w:numFmt w:val="bullet"/>
      <w:start w:val="1"/>
    </w:lvl>
  </w:abstractNum>
  <w:abstractNum w:abstractNumId="125">
    <w:nsid w:val="E3E47A8"/>
    <w:multiLevelType w:val="hybridMultilevel"/>
    <w:lvl w:ilvl="0">
      <w:lvlJc w:val="left"/>
      <w:lvlText w:val="5"/>
      <w:numFmt w:val="bullet"/>
      <w:start w:val="1"/>
    </w:lvl>
  </w:abstractNum>
  <w:abstractNum w:abstractNumId="126">
    <w:nsid w:val="2E48F044"/>
    <w:multiLevelType w:val="hybridMultilevel"/>
    <w:lvl w:ilvl="0">
      <w:lvlJc w:val="left"/>
      <w:lvlText w:val="6"/>
      <w:numFmt w:val="bullet"/>
      <w:start w:val="1"/>
    </w:lvl>
  </w:abstractNum>
  <w:abstractNum w:abstractNumId="127">
    <w:nsid w:val="49D0FEAC"/>
    <w:multiLevelType w:val="hybridMultilevel"/>
    <w:lvl w:ilvl="0">
      <w:lvlJc w:val="left"/>
      <w:lvlText w:val="%1"/>
      <w:numFmt w:val="decimal"/>
      <w:start w:val="11"/>
    </w:lvl>
  </w:abstractNum>
  <w:abstractNum w:abstractNumId="128">
    <w:nsid w:val="4BEE5A5B"/>
    <w:multiLevelType w:val="hybridMultilevel"/>
    <w:lvl w:ilvl="0">
      <w:lvlJc w:val="left"/>
      <w:lvlText w:val="1"/>
      <w:numFmt w:val="bullet"/>
      <w:start w:val="1"/>
    </w:lvl>
  </w:abstractNum>
  <w:abstractNum w:abstractNumId="129">
    <w:nsid w:val="5551B9F3"/>
    <w:multiLevelType w:val="hybridMultilevel"/>
    <w:lvl w:ilvl="0">
      <w:lvlJc w:val="left"/>
      <w:lvlText w:val="2"/>
      <w:numFmt w:val="bullet"/>
      <w:start w:val="1"/>
    </w:lvl>
  </w:abstractNum>
  <w:abstractNum w:abstractNumId="130">
    <w:nsid w:val="24F6AB8E"/>
    <w:multiLevelType w:val="hybridMultilevel"/>
    <w:lvl w:ilvl="0">
      <w:lvlJc w:val="left"/>
      <w:lvlText w:val="3"/>
      <w:numFmt w:val="bullet"/>
      <w:start w:val="1"/>
    </w:lvl>
  </w:abstractNum>
  <w:abstractNum w:abstractNumId="131">
    <w:nsid w:val="634C574C"/>
    <w:multiLevelType w:val="hybridMultilevel"/>
    <w:lvl w:ilvl="0">
      <w:lvlJc w:val="left"/>
      <w:lvlText w:val="4"/>
      <w:numFmt w:val="bullet"/>
      <w:start w:val="1"/>
    </w:lvl>
  </w:abstractNum>
  <w:abstractNum w:abstractNumId="132">
    <w:nsid w:val="24E99DD7"/>
    <w:multiLevelType w:val="hybridMultilevel"/>
    <w:lvl w:ilvl="0">
      <w:lvlJc w:val="left"/>
      <w:lvlText w:val="5"/>
      <w:numFmt w:val="bullet"/>
      <w:start w:val="1"/>
    </w:lvl>
  </w:abstractNum>
  <w:abstractNum w:abstractNumId="133">
    <w:nsid w:val="2A31B62D"/>
    <w:multiLevelType w:val="hybridMultilevel"/>
    <w:lvl w:ilvl="0">
      <w:lvlJc w:val="left"/>
      <w:lvlText w:val="6"/>
      <w:numFmt w:val="bullet"/>
      <w:start w:val="1"/>
    </w:lvl>
  </w:abstractNum>
  <w:abstractNum w:abstractNumId="134">
    <w:nsid w:val="1849C29B"/>
    <w:multiLevelType w:val="hybridMultilevel"/>
    <w:lvl w:ilvl="0">
      <w:lvlJc w:val="left"/>
      <w:lvlText w:val="%1"/>
      <w:numFmt w:val="decimal"/>
      <w:start w:val="11"/>
    </w:lvl>
  </w:abstractNum>
  <w:abstractNum w:abstractNumId="135">
    <w:nsid w:val="7DFF9D09"/>
    <w:multiLevelType w:val="hybridMultilevel"/>
    <w:lvl w:ilvl="0">
      <w:lvlJc w:val="left"/>
      <w:lvlText w:val="1"/>
      <w:numFmt w:val="bullet"/>
      <w:start w:val="1"/>
    </w:lvl>
  </w:abstractNum>
  <w:abstractNum w:abstractNumId="136">
    <w:nsid w:val="754342"/>
    <w:multiLevelType w:val="hybridMultilevel"/>
    <w:lvl w:ilvl="0">
      <w:lvlJc w:val="left"/>
      <w:lvlText w:val="2"/>
      <w:numFmt w:val="bullet"/>
      <w:start w:val="1"/>
    </w:lvl>
  </w:abstractNum>
  <w:abstractNum w:abstractNumId="137">
    <w:nsid w:val="69E7F3E5"/>
    <w:multiLevelType w:val="hybridMultilevel"/>
    <w:lvl w:ilvl="0">
      <w:lvlJc w:val="left"/>
      <w:lvlText w:val="3"/>
      <w:numFmt w:val="bullet"/>
      <w:start w:val="1"/>
    </w:lvl>
  </w:abstractNum>
  <w:abstractNum w:abstractNumId="138">
    <w:nsid w:val="2A6DE806"/>
    <w:multiLevelType w:val="hybridMultilevel"/>
    <w:lvl w:ilvl="0">
      <w:lvlJc w:val="left"/>
      <w:lvlText w:val="4"/>
      <w:numFmt w:val="bullet"/>
      <w:start w:val="1"/>
    </w:lvl>
  </w:abstractNum>
  <w:abstractNum w:abstractNumId="139">
    <w:nsid w:val="1816F8C4"/>
    <w:multiLevelType w:val="hybridMultilevel"/>
    <w:lvl w:ilvl="0">
      <w:lvlJc w:val="left"/>
      <w:lvlText w:val="5"/>
      <w:numFmt w:val="bullet"/>
      <w:start w:val="1"/>
    </w:lvl>
  </w:abstractNum>
  <w:abstractNum w:abstractNumId="140">
    <w:nsid w:val="37DF2233"/>
    <w:multiLevelType w:val="hybridMultilevel"/>
    <w:lvl w:ilvl="0">
      <w:lvlJc w:val="left"/>
      <w:lvlText w:val="6"/>
      <w:numFmt w:val="bullet"/>
      <w:start w:val="1"/>
    </w:lvl>
  </w:abstractNum>
  <w:abstractNum w:abstractNumId="141">
    <w:nsid w:val="7AB49DAF"/>
    <w:multiLevelType w:val="hybridMultilevel"/>
    <w:lvl w:ilvl="0">
      <w:lvlJc w:val="left"/>
      <w:lvlText w:val="%1"/>
      <w:numFmt w:val="decimal"/>
      <w:start w:val="11"/>
    </w:lvl>
  </w:abstractNum>
  <w:abstractNum w:abstractNumId="142">
    <w:nsid w:val="759F82CD"/>
    <w:multiLevelType w:val="hybridMultilevel"/>
    <w:lvl w:ilvl="0">
      <w:lvlJc w:val="left"/>
      <w:lvlText w:val="(%1)"/>
      <w:numFmt w:val="lowerLetter"/>
      <w:start w:val="1"/>
    </w:lvl>
  </w:abstractNum>
  <w:abstractNum w:abstractNumId="143">
    <w:nsid w:val="61E74EA3"/>
    <w:multiLevelType w:val="hybridMultilevel"/>
    <w:lvl w:ilvl="0">
      <w:lvlJc w:val="left"/>
      <w:lvlText w:val="(%1)"/>
      <w:numFmt w:val="lowerRoman"/>
      <w:start w:val="1"/>
    </w:lvl>
  </w:abstractNum>
  <w:abstractNum w:abstractNumId="144">
    <w:nsid w:val="597B4D84"/>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2022-05-03T16:40:39Z</dcterms:created>
  <dcterms:modified xsi:type="dcterms:W3CDTF">2022-05-03T16:40:39Z</dcterms:modified>
</cp:coreProperties>
</file>