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May 2, 2022</w:t>
      </w:r>
    </w:p>
    <w:p>
      <w:pPr>
        <w:ind w:left="95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93980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126365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Sema4 Holdings Corp.</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94615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3" w:lineRule="exact"/>
        <w:rPr>
          <w:sz w:val="24"/>
          <w:szCs w:val="24"/>
          <w:color w:val="auto"/>
        </w:rPr>
      </w:pPr>
    </w:p>
    <w:tbl>
      <w:tblPr>
        <w:tblLayout w:type="fixed"/>
        <w:tblInd w:w="900" w:type="dxa"/>
        <w:tblCellMar>
          <w:top w:w="0" w:type="dxa"/>
          <w:left w:w="0" w:type="dxa"/>
          <w:bottom w:w="0" w:type="dxa"/>
          <w:right w:w="0" w:type="dxa"/>
        </w:tblCellMar>
      </w:tblPr>
      <w:tr>
        <w:trPr>
          <w:trHeight w:val="186"/>
        </w:trPr>
        <w:tc>
          <w:tcPr>
            <w:tcW w:w="2860" w:type="dxa"/>
            <w:vAlign w:val="bottom"/>
          </w:tcPr>
          <w:p>
            <w:pPr>
              <w:jc w:val="center"/>
              <w:ind w:right="848"/>
              <w:spacing w:after="0"/>
              <w:rPr>
                <w:sz w:val="20"/>
                <w:szCs w:val="20"/>
                <w:color w:val="auto"/>
              </w:rPr>
            </w:pPr>
            <w:r>
              <w:rPr>
                <w:rFonts w:ascii="Arial" w:cs="Arial" w:eastAsia="Arial" w:hAnsi="Arial"/>
                <w:sz w:val="14"/>
                <w:szCs w:val="14"/>
                <w:b w:val="1"/>
                <w:bCs w:val="1"/>
                <w:color w:val="auto"/>
                <w:w w:val="94"/>
              </w:rPr>
              <w:t>Delaware</w:t>
            </w:r>
          </w:p>
        </w:tc>
        <w:tc>
          <w:tcPr>
            <w:tcW w:w="382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8000</w:t>
            </w:r>
          </w:p>
        </w:tc>
        <w:tc>
          <w:tcPr>
            <w:tcW w:w="2500" w:type="dxa"/>
            <w:vAlign w:val="bottom"/>
          </w:tcPr>
          <w:p>
            <w:pPr>
              <w:jc w:val="center"/>
              <w:ind w:left="1008"/>
              <w:spacing w:after="0"/>
              <w:rPr>
                <w:sz w:val="20"/>
                <w:szCs w:val="20"/>
                <w:color w:val="auto"/>
              </w:rPr>
            </w:pPr>
            <w:r>
              <w:rPr>
                <w:rFonts w:ascii="Arial" w:cs="Arial" w:eastAsia="Arial" w:hAnsi="Arial"/>
                <w:sz w:val="14"/>
                <w:szCs w:val="14"/>
                <w:b w:val="1"/>
                <w:bCs w:val="1"/>
                <w:color w:val="auto"/>
                <w:w w:val="93"/>
              </w:rPr>
              <w:t>85-1966622</w:t>
            </w:r>
          </w:p>
        </w:tc>
      </w:tr>
      <w:tr>
        <w:trPr>
          <w:trHeight w:val="147"/>
        </w:trPr>
        <w:tc>
          <w:tcPr>
            <w:tcW w:w="2860" w:type="dxa"/>
            <w:vAlign w:val="bottom"/>
          </w:tcPr>
          <w:p>
            <w:pPr>
              <w:jc w:val="center"/>
              <w:ind w:right="848"/>
              <w:spacing w:after="0" w:line="147" w:lineRule="exact"/>
              <w:rPr>
                <w:sz w:val="20"/>
                <w:szCs w:val="20"/>
                <w:color w:val="auto"/>
              </w:rPr>
            </w:pPr>
            <w:r>
              <w:rPr>
                <w:rFonts w:ascii="Arial" w:cs="Arial" w:eastAsia="Arial" w:hAnsi="Arial"/>
                <w:sz w:val="14"/>
                <w:szCs w:val="14"/>
                <w:b w:val="1"/>
                <w:bCs w:val="1"/>
                <w:color w:val="auto"/>
                <w:w w:val="93"/>
              </w:rPr>
              <w:t>(State or Other Jurisdiction of</w:t>
            </w:r>
          </w:p>
        </w:tc>
        <w:tc>
          <w:tcPr>
            <w:tcW w:w="382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w w:val="96"/>
              </w:rPr>
              <w:t>(Primary Standard Industrial</w:t>
            </w:r>
          </w:p>
        </w:tc>
        <w:tc>
          <w:tcPr>
            <w:tcW w:w="2500" w:type="dxa"/>
            <w:vAlign w:val="bottom"/>
          </w:tcPr>
          <w:p>
            <w:pPr>
              <w:jc w:val="center"/>
              <w:ind w:left="988"/>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60" w:type="dxa"/>
            <w:vAlign w:val="bottom"/>
          </w:tcPr>
          <w:p>
            <w:pPr>
              <w:jc w:val="center"/>
              <w:ind w:right="848"/>
              <w:spacing w:after="0"/>
              <w:rPr>
                <w:sz w:val="20"/>
                <w:szCs w:val="20"/>
                <w:color w:val="auto"/>
              </w:rPr>
            </w:pPr>
            <w:r>
              <w:rPr>
                <w:rFonts w:ascii="Arial" w:cs="Arial" w:eastAsia="Arial" w:hAnsi="Arial"/>
                <w:sz w:val="14"/>
                <w:szCs w:val="14"/>
                <w:b w:val="1"/>
                <w:bCs w:val="1"/>
                <w:color w:val="auto"/>
                <w:w w:val="95"/>
              </w:rPr>
              <w:t>Incorporation or Organization)</w:t>
            </w:r>
          </w:p>
        </w:tc>
        <w:tc>
          <w:tcPr>
            <w:tcW w:w="382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1008"/>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Ludlow Street, North Tower, 8th Floor</w:t>
      </w:r>
    </w:p>
    <w:p>
      <w:pPr>
        <w:jc w:val="center"/>
        <w:spacing w:after="0" w:line="221" w:lineRule="auto"/>
        <w:rPr>
          <w:sz w:val="20"/>
          <w:szCs w:val="20"/>
          <w:color w:val="auto"/>
        </w:rPr>
      </w:pPr>
      <w:r>
        <w:rPr>
          <w:rFonts w:ascii="Arial" w:cs="Arial" w:eastAsia="Arial" w:hAnsi="Arial"/>
          <w:sz w:val="18"/>
          <w:szCs w:val="18"/>
          <w:b w:val="1"/>
          <w:bCs w:val="1"/>
          <w:color w:val="auto"/>
        </w:rPr>
        <w:t>Stamford, Connecticut 06902</w:t>
      </w:r>
    </w:p>
    <w:p>
      <w:pPr>
        <w:jc w:val="center"/>
        <w:spacing w:after="0" w:line="219" w:lineRule="auto"/>
        <w:rPr>
          <w:sz w:val="20"/>
          <w:szCs w:val="20"/>
          <w:color w:val="auto"/>
        </w:rPr>
      </w:pPr>
      <w:r>
        <w:rPr>
          <w:rFonts w:ascii="Arial" w:cs="Arial" w:eastAsia="Arial" w:hAnsi="Arial"/>
          <w:sz w:val="18"/>
          <w:szCs w:val="18"/>
          <w:b w:val="1"/>
          <w:bCs w:val="1"/>
          <w:color w:val="auto"/>
        </w:rPr>
        <w:t>(800) 298-6470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81915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39"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Katherine Stueland</w:t>
      </w:r>
    </w:p>
    <w:p>
      <w:pPr>
        <w:spacing w:after="0" w:line="11"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Chief Executive Officer</w:t>
      </w:r>
    </w:p>
    <w:p>
      <w:pPr>
        <w:ind w:left="3980"/>
        <w:spacing w:after="0" w:line="219" w:lineRule="auto"/>
        <w:rPr>
          <w:sz w:val="20"/>
          <w:szCs w:val="20"/>
          <w:color w:val="auto"/>
        </w:rPr>
      </w:pPr>
      <w:r>
        <w:rPr>
          <w:rFonts w:ascii="Arial" w:cs="Arial" w:eastAsia="Arial" w:hAnsi="Arial"/>
          <w:sz w:val="18"/>
          <w:szCs w:val="18"/>
          <w:b w:val="1"/>
          <w:bCs w:val="1"/>
          <w:color w:val="auto"/>
        </w:rPr>
        <w:t>333 Ludlow Street, North Tower, 8th Floor</w:t>
      </w:r>
    </w:p>
    <w:p>
      <w:pPr>
        <w:jc w:val="center"/>
        <w:spacing w:after="0" w:line="219" w:lineRule="auto"/>
        <w:rPr>
          <w:sz w:val="20"/>
          <w:szCs w:val="20"/>
          <w:color w:val="auto"/>
        </w:rPr>
      </w:pPr>
      <w:r>
        <w:rPr>
          <w:rFonts w:ascii="Arial" w:cs="Arial" w:eastAsia="Arial" w:hAnsi="Arial"/>
          <w:sz w:val="18"/>
          <w:szCs w:val="18"/>
          <w:b w:val="1"/>
          <w:bCs w:val="1"/>
          <w:color w:val="auto"/>
        </w:rPr>
        <w:t>Stamford, Connecticut 06902</w:t>
      </w:r>
    </w:p>
    <w:p>
      <w:pPr>
        <w:jc w:val="center"/>
        <w:spacing w:after="0" w:line="219" w:lineRule="auto"/>
        <w:rPr>
          <w:sz w:val="20"/>
          <w:szCs w:val="20"/>
          <w:color w:val="auto"/>
        </w:rPr>
      </w:pPr>
      <w:r>
        <w:rPr>
          <w:rFonts w:ascii="Arial" w:cs="Arial" w:eastAsia="Arial" w:hAnsi="Arial"/>
          <w:sz w:val="18"/>
          <w:szCs w:val="18"/>
          <w:b w:val="1"/>
          <w:bCs w:val="1"/>
          <w:color w:val="auto"/>
        </w:rPr>
        <w:t>(800) 298-6470</w:t>
      </w: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81915</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39" w:lineRule="exact"/>
        <w:rPr>
          <w:sz w:val="24"/>
          <w:szCs w:val="24"/>
          <w:color w:val="auto"/>
        </w:rPr>
      </w:pPr>
    </w:p>
    <w:tbl>
      <w:tblPr>
        <w:tblLayout w:type="fixed"/>
        <w:tblInd w:w="176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5500" w:type="dxa"/>
            <w:vAlign w:val="bottom"/>
          </w:tcPr>
          <w:p>
            <w:pPr>
              <w:ind w:left="680"/>
              <w:spacing w:after="0"/>
              <w:rPr>
                <w:sz w:val="20"/>
                <w:szCs w:val="20"/>
                <w:color w:val="auto"/>
              </w:rPr>
            </w:pPr>
            <w:r>
              <w:rPr>
                <w:rFonts w:ascii="Arial" w:cs="Arial" w:eastAsia="Arial" w:hAnsi="Arial"/>
                <w:sz w:val="18"/>
                <w:szCs w:val="18"/>
                <w:b w:val="1"/>
                <w:bCs w:val="1"/>
                <w:color w:val="auto"/>
              </w:rPr>
              <w:t>Copies to:</w:t>
            </w:r>
          </w:p>
        </w:tc>
      </w:tr>
      <w:tr>
        <w:trPr>
          <w:trHeight w:val="265"/>
        </w:trPr>
        <w:tc>
          <w:tcPr>
            <w:tcW w:w="2800" w:type="dxa"/>
            <w:vAlign w:val="bottom"/>
          </w:tcPr>
          <w:p>
            <w:pPr>
              <w:jc w:val="center"/>
              <w:ind w:right="590"/>
              <w:spacing w:after="0"/>
              <w:rPr>
                <w:sz w:val="20"/>
                <w:szCs w:val="20"/>
                <w:color w:val="auto"/>
              </w:rPr>
            </w:pPr>
            <w:r>
              <w:rPr>
                <w:rFonts w:ascii="Arial" w:cs="Arial" w:eastAsia="Arial" w:hAnsi="Arial"/>
                <w:sz w:val="18"/>
                <w:szCs w:val="18"/>
                <w:b w:val="1"/>
                <w:bCs w:val="1"/>
                <w:color w:val="auto"/>
                <w:w w:val="93"/>
              </w:rPr>
              <w:t>Ethan Skerry</w:t>
            </w:r>
          </w:p>
        </w:tc>
        <w:tc>
          <w:tcPr>
            <w:tcW w:w="5500" w:type="dxa"/>
            <w:vAlign w:val="bottom"/>
          </w:tcPr>
          <w:p>
            <w:pPr>
              <w:jc w:val="center"/>
              <w:ind w:left="2150"/>
              <w:spacing w:after="0"/>
              <w:rPr>
                <w:sz w:val="20"/>
                <w:szCs w:val="20"/>
                <w:color w:val="auto"/>
              </w:rPr>
            </w:pPr>
            <w:r>
              <w:rPr>
                <w:rFonts w:ascii="Arial" w:cs="Arial" w:eastAsia="Arial" w:hAnsi="Arial"/>
                <w:sz w:val="18"/>
                <w:szCs w:val="18"/>
                <w:b w:val="1"/>
                <w:bCs w:val="1"/>
                <w:color w:val="auto"/>
                <w:w w:val="94"/>
              </w:rPr>
              <w:t>Daniel Clark</w:t>
            </w:r>
          </w:p>
        </w:tc>
      </w:tr>
      <w:tr>
        <w:trPr>
          <w:trHeight w:val="216"/>
        </w:trPr>
        <w:tc>
          <w:tcPr>
            <w:tcW w:w="2800" w:type="dxa"/>
            <w:vAlign w:val="bottom"/>
          </w:tcPr>
          <w:p>
            <w:pPr>
              <w:jc w:val="center"/>
              <w:ind w:right="610"/>
              <w:spacing w:after="0"/>
              <w:rPr>
                <w:sz w:val="20"/>
                <w:szCs w:val="20"/>
                <w:color w:val="auto"/>
              </w:rPr>
            </w:pPr>
            <w:r>
              <w:rPr>
                <w:rFonts w:ascii="Arial" w:cs="Arial" w:eastAsia="Arial" w:hAnsi="Arial"/>
                <w:sz w:val="18"/>
                <w:szCs w:val="18"/>
                <w:b w:val="1"/>
                <w:bCs w:val="1"/>
                <w:color w:val="auto"/>
                <w:w w:val="92"/>
              </w:rPr>
              <w:t>Per B. Chilstrom</w:t>
            </w:r>
          </w:p>
        </w:tc>
        <w:tc>
          <w:tcPr>
            <w:tcW w:w="5500" w:type="dxa"/>
            <w:vAlign w:val="bottom"/>
          </w:tcPr>
          <w:p>
            <w:pPr>
              <w:jc w:val="center"/>
              <w:ind w:left="2150"/>
              <w:spacing w:after="0"/>
              <w:rPr>
                <w:sz w:val="20"/>
                <w:szCs w:val="20"/>
                <w:color w:val="auto"/>
              </w:rPr>
            </w:pPr>
            <w:r>
              <w:rPr>
                <w:rFonts w:ascii="Arial" w:cs="Arial" w:eastAsia="Arial" w:hAnsi="Arial"/>
                <w:sz w:val="18"/>
                <w:szCs w:val="18"/>
                <w:b w:val="1"/>
                <w:bCs w:val="1"/>
                <w:color w:val="auto"/>
                <w:w w:val="90"/>
              </w:rPr>
              <w:t>General Counsel</w:t>
            </w:r>
          </w:p>
        </w:tc>
      </w:tr>
      <w:tr>
        <w:trPr>
          <w:trHeight w:val="216"/>
        </w:trPr>
        <w:tc>
          <w:tcPr>
            <w:tcW w:w="2800" w:type="dxa"/>
            <w:vAlign w:val="bottom"/>
          </w:tcPr>
          <w:p>
            <w:pPr>
              <w:jc w:val="center"/>
              <w:ind w:right="610"/>
              <w:spacing w:after="0"/>
              <w:rPr>
                <w:sz w:val="20"/>
                <w:szCs w:val="20"/>
                <w:color w:val="auto"/>
              </w:rPr>
            </w:pPr>
            <w:r>
              <w:rPr>
                <w:rFonts w:ascii="Arial" w:cs="Arial" w:eastAsia="Arial" w:hAnsi="Arial"/>
                <w:sz w:val="18"/>
                <w:szCs w:val="18"/>
                <w:b w:val="1"/>
                <w:bCs w:val="1"/>
                <w:color w:val="auto"/>
                <w:w w:val="94"/>
              </w:rPr>
              <w:t>Fenwick &amp; West LLP</w:t>
            </w:r>
          </w:p>
        </w:tc>
        <w:tc>
          <w:tcPr>
            <w:tcW w:w="5500" w:type="dxa"/>
            <w:vAlign w:val="bottom"/>
          </w:tcPr>
          <w:p>
            <w:pPr>
              <w:jc w:val="center"/>
              <w:ind w:left="2150"/>
              <w:spacing w:after="0"/>
              <w:rPr>
                <w:sz w:val="20"/>
                <w:szCs w:val="20"/>
                <w:color w:val="auto"/>
              </w:rPr>
            </w:pPr>
            <w:r>
              <w:rPr>
                <w:rFonts w:ascii="Arial" w:cs="Arial" w:eastAsia="Arial" w:hAnsi="Arial"/>
                <w:sz w:val="18"/>
                <w:szCs w:val="18"/>
                <w:b w:val="1"/>
                <w:bCs w:val="1"/>
                <w:color w:val="auto"/>
                <w:w w:val="90"/>
              </w:rPr>
              <w:t>Sema4 Holdings Corp.</w:t>
            </w:r>
          </w:p>
        </w:tc>
      </w:tr>
      <w:tr>
        <w:trPr>
          <w:trHeight w:val="216"/>
        </w:trPr>
        <w:tc>
          <w:tcPr>
            <w:tcW w:w="2800" w:type="dxa"/>
            <w:vAlign w:val="bottom"/>
          </w:tcPr>
          <w:p>
            <w:pPr>
              <w:jc w:val="center"/>
              <w:ind w:right="610"/>
              <w:spacing w:after="0"/>
              <w:rPr>
                <w:sz w:val="20"/>
                <w:szCs w:val="20"/>
                <w:color w:val="auto"/>
              </w:rPr>
            </w:pPr>
            <w:r>
              <w:rPr>
                <w:rFonts w:ascii="Arial" w:cs="Arial" w:eastAsia="Arial" w:hAnsi="Arial"/>
                <w:sz w:val="18"/>
                <w:szCs w:val="18"/>
                <w:b w:val="1"/>
                <w:bCs w:val="1"/>
                <w:color w:val="auto"/>
                <w:w w:val="90"/>
              </w:rPr>
              <w:t>902 Broadway</w:t>
            </w:r>
          </w:p>
        </w:tc>
        <w:tc>
          <w:tcPr>
            <w:tcW w:w="5500" w:type="dxa"/>
            <w:vAlign w:val="bottom"/>
          </w:tcPr>
          <w:p>
            <w:pPr>
              <w:jc w:val="center"/>
              <w:ind w:left="2150"/>
              <w:spacing w:after="0"/>
              <w:rPr>
                <w:sz w:val="20"/>
                <w:szCs w:val="20"/>
                <w:color w:val="auto"/>
              </w:rPr>
            </w:pPr>
            <w:r>
              <w:rPr>
                <w:rFonts w:ascii="Arial" w:cs="Arial" w:eastAsia="Arial" w:hAnsi="Arial"/>
                <w:sz w:val="18"/>
                <w:szCs w:val="18"/>
                <w:b w:val="1"/>
                <w:bCs w:val="1"/>
                <w:color w:val="auto"/>
                <w:w w:val="91"/>
              </w:rPr>
              <w:t>333 Ludlow Street, North Tower, 8th Floor</w:t>
            </w:r>
          </w:p>
        </w:tc>
      </w:tr>
      <w:tr>
        <w:trPr>
          <w:trHeight w:val="216"/>
        </w:trPr>
        <w:tc>
          <w:tcPr>
            <w:tcW w:w="2800" w:type="dxa"/>
            <w:vAlign w:val="bottom"/>
          </w:tcPr>
          <w:p>
            <w:pPr>
              <w:jc w:val="center"/>
              <w:ind w:right="590"/>
              <w:spacing w:after="0"/>
              <w:rPr>
                <w:sz w:val="20"/>
                <w:szCs w:val="20"/>
                <w:color w:val="auto"/>
              </w:rPr>
            </w:pPr>
            <w:r>
              <w:rPr>
                <w:rFonts w:ascii="Arial" w:cs="Arial" w:eastAsia="Arial" w:hAnsi="Arial"/>
                <w:sz w:val="18"/>
                <w:szCs w:val="18"/>
                <w:b w:val="1"/>
                <w:bCs w:val="1"/>
                <w:color w:val="auto"/>
                <w:w w:val="92"/>
              </w:rPr>
              <w:t>New York, New York 10010</w:t>
            </w:r>
          </w:p>
        </w:tc>
        <w:tc>
          <w:tcPr>
            <w:tcW w:w="5500" w:type="dxa"/>
            <w:vAlign w:val="bottom"/>
          </w:tcPr>
          <w:p>
            <w:pPr>
              <w:jc w:val="center"/>
              <w:ind w:left="2170"/>
              <w:spacing w:after="0"/>
              <w:rPr>
                <w:sz w:val="20"/>
                <w:szCs w:val="20"/>
                <w:color w:val="auto"/>
              </w:rPr>
            </w:pPr>
            <w:r>
              <w:rPr>
                <w:rFonts w:ascii="Arial" w:cs="Arial" w:eastAsia="Arial" w:hAnsi="Arial"/>
                <w:sz w:val="18"/>
                <w:szCs w:val="18"/>
                <w:b w:val="1"/>
                <w:bCs w:val="1"/>
                <w:color w:val="auto"/>
                <w:w w:val="90"/>
              </w:rPr>
              <w:t>Stamford, Connecticut 06902</w:t>
            </w:r>
          </w:p>
        </w:tc>
      </w:tr>
      <w:tr>
        <w:trPr>
          <w:trHeight w:val="234"/>
        </w:trPr>
        <w:tc>
          <w:tcPr>
            <w:tcW w:w="2800" w:type="dxa"/>
            <w:vAlign w:val="bottom"/>
          </w:tcPr>
          <w:p>
            <w:pPr>
              <w:jc w:val="center"/>
              <w:ind w:right="590"/>
              <w:spacing w:after="0"/>
              <w:rPr>
                <w:sz w:val="20"/>
                <w:szCs w:val="20"/>
                <w:color w:val="auto"/>
              </w:rPr>
            </w:pPr>
            <w:r>
              <w:rPr>
                <w:rFonts w:ascii="Arial" w:cs="Arial" w:eastAsia="Arial" w:hAnsi="Arial"/>
                <w:sz w:val="18"/>
                <w:szCs w:val="18"/>
                <w:b w:val="1"/>
                <w:bCs w:val="1"/>
                <w:color w:val="auto"/>
                <w:w w:val="90"/>
              </w:rPr>
              <w:t>(212) 430-2600</w:t>
            </w:r>
          </w:p>
        </w:tc>
        <w:tc>
          <w:tcPr>
            <w:tcW w:w="5500" w:type="dxa"/>
            <w:vAlign w:val="bottom"/>
          </w:tcPr>
          <w:p>
            <w:pPr>
              <w:jc w:val="center"/>
              <w:ind w:left="2150"/>
              <w:spacing w:after="0"/>
              <w:rPr>
                <w:sz w:val="20"/>
                <w:szCs w:val="20"/>
                <w:color w:val="auto"/>
              </w:rPr>
            </w:pPr>
            <w:r>
              <w:rPr>
                <w:rFonts w:ascii="Arial" w:cs="Arial" w:eastAsia="Arial" w:hAnsi="Arial"/>
                <w:sz w:val="18"/>
                <w:szCs w:val="18"/>
                <w:b w:val="1"/>
                <w:bCs w:val="1"/>
                <w:color w:val="auto"/>
                <w:w w:val="92"/>
              </w:rPr>
              <w:t>(800) 298-6470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128905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0" w:lineRule="exact"/>
        <w:rPr>
          <w:sz w:val="24"/>
          <w:szCs w:val="24"/>
          <w:color w:val="auto"/>
        </w:rPr>
      </w:pPr>
    </w:p>
    <w:p>
      <w:pPr>
        <w:spacing w:after="0"/>
        <w:rPr>
          <w:sz w:val="20"/>
          <w:szCs w:val="20"/>
          <w:color w:val="auto"/>
        </w:rPr>
      </w:pPr>
      <w:r>
        <w:rPr>
          <w:rFonts w:ascii="Arial" w:cs="Arial" w:eastAsia="Arial" w:hAnsi="Arial"/>
          <w:sz w:val="14"/>
          <w:szCs w:val="14"/>
          <w:color w:val="auto"/>
        </w:rPr>
        <w:t>Approximate date of commencement of proposed sale to the public: From time to time after the effective date of this registration statement.</w:t>
      </w:r>
    </w:p>
    <w:p>
      <w:pPr>
        <w:spacing w:after="0" w:line="42" w:lineRule="exact"/>
        <w:rPr>
          <w:sz w:val="24"/>
          <w:szCs w:val="24"/>
          <w:color w:val="auto"/>
        </w:rPr>
      </w:pPr>
    </w:p>
    <w:p>
      <w:pPr>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 x</w:t>
      </w:r>
    </w:p>
    <w:p>
      <w:pPr>
        <w:spacing w:after="0" w:line="53" w:lineRule="exact"/>
        <w:rPr>
          <w:sz w:val="24"/>
          <w:szCs w:val="24"/>
          <w:color w:val="auto"/>
        </w:rPr>
      </w:pPr>
    </w:p>
    <w:p>
      <w:pPr>
        <w:jc w:val="both"/>
        <w:ind w:right="20"/>
        <w:spacing w:after="0" w:line="25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2"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2"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2"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7" w:lineRule="exact"/>
        <w:rPr>
          <w:sz w:val="24"/>
          <w:szCs w:val="24"/>
          <w:color w:val="auto"/>
        </w:rPr>
      </w:pPr>
    </w:p>
    <w:tbl>
      <w:tblPr>
        <w:tblLayout w:type="fixed"/>
        <w:tblInd w:w="20" w:type="dxa"/>
        <w:tblCellMar>
          <w:top w:w="0" w:type="dxa"/>
          <w:left w:w="0" w:type="dxa"/>
          <w:bottom w:w="0" w:type="dxa"/>
          <w:right w:w="0" w:type="dxa"/>
        </w:tblCellMar>
      </w:tblPr>
      <w:tr>
        <w:trPr>
          <w:trHeight w:val="182"/>
        </w:trPr>
        <w:tc>
          <w:tcPr>
            <w:tcW w:w="18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20" w:type="dxa"/>
            <w:vAlign w:val="bottom"/>
          </w:tcPr>
          <w:p>
            <w:pPr>
              <w:ind w:left="580"/>
              <w:spacing w:after="0"/>
              <w:rPr>
                <w:sz w:val="20"/>
                <w:szCs w:val="20"/>
                <w:color w:val="auto"/>
              </w:rPr>
            </w:pPr>
            <w:r>
              <w:rPr>
                <w:rFonts w:ascii="Arial" w:cs="Arial" w:eastAsia="Arial" w:hAnsi="Arial"/>
                <w:sz w:val="14"/>
                <w:szCs w:val="14"/>
                <w:color w:val="auto"/>
              </w:rPr>
              <w:t>o</w:t>
            </w:r>
          </w:p>
        </w:tc>
        <w:tc>
          <w:tcPr>
            <w:tcW w:w="4920" w:type="dxa"/>
            <w:vAlign w:val="bottom"/>
          </w:tcPr>
          <w:p>
            <w:pPr>
              <w:ind w:left="2900"/>
              <w:spacing w:after="0"/>
              <w:rPr>
                <w:sz w:val="20"/>
                <w:szCs w:val="20"/>
                <w:color w:val="auto"/>
              </w:rPr>
            </w:pPr>
            <w:r>
              <w:rPr>
                <w:rFonts w:ascii="Arial" w:cs="Arial" w:eastAsia="Arial" w:hAnsi="Arial"/>
                <w:sz w:val="14"/>
                <w:szCs w:val="14"/>
                <w:color w:val="auto"/>
              </w:rPr>
              <w:t>Accelerated filer</w:t>
            </w:r>
          </w:p>
        </w:tc>
        <w:tc>
          <w:tcPr>
            <w:tcW w:w="560" w:type="dxa"/>
            <w:vAlign w:val="bottom"/>
          </w:tcPr>
          <w:p>
            <w:pPr>
              <w:ind w:left="440"/>
              <w:spacing w:after="0"/>
              <w:rPr>
                <w:sz w:val="20"/>
                <w:szCs w:val="20"/>
                <w:color w:val="auto"/>
              </w:rPr>
            </w:pPr>
            <w:r>
              <w:rPr>
                <w:rFonts w:ascii="Arial" w:cs="Arial" w:eastAsia="Arial" w:hAnsi="Arial"/>
                <w:sz w:val="14"/>
                <w:szCs w:val="14"/>
                <w:color w:val="auto"/>
              </w:rPr>
              <w:t>o</w:t>
            </w:r>
          </w:p>
        </w:tc>
      </w:tr>
      <w:tr>
        <w:trPr>
          <w:trHeight w:val="222"/>
        </w:trPr>
        <w:tc>
          <w:tcPr>
            <w:tcW w:w="18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920" w:type="dxa"/>
            <w:vAlign w:val="bottom"/>
          </w:tcPr>
          <w:p>
            <w:pPr>
              <w:ind w:left="2900"/>
              <w:spacing w:after="0"/>
              <w:rPr>
                <w:sz w:val="20"/>
                <w:szCs w:val="20"/>
                <w:color w:val="auto"/>
              </w:rPr>
            </w:pPr>
            <w:r>
              <w:rPr>
                <w:rFonts w:ascii="Arial" w:cs="Arial" w:eastAsia="Arial" w:hAnsi="Arial"/>
                <w:sz w:val="14"/>
                <w:szCs w:val="14"/>
                <w:color w:val="auto"/>
              </w:rPr>
              <w:t>Smaller reporting company</w:t>
            </w:r>
          </w:p>
        </w:tc>
        <w:tc>
          <w:tcPr>
            <w:tcW w:w="5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8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920" w:type="dxa"/>
            <w:vAlign w:val="bottom"/>
          </w:tcPr>
          <w:p>
            <w:pPr>
              <w:ind w:left="2900"/>
              <w:spacing w:after="0"/>
              <w:rPr>
                <w:sz w:val="20"/>
                <w:szCs w:val="20"/>
                <w:color w:val="auto"/>
              </w:rPr>
            </w:pPr>
            <w:r>
              <w:rPr>
                <w:rFonts w:ascii="Arial" w:cs="Arial" w:eastAsia="Arial" w:hAnsi="Arial"/>
                <w:sz w:val="14"/>
                <w:szCs w:val="14"/>
                <w:color w:val="auto"/>
              </w:rPr>
              <w:t>Emerging growth company</w:t>
            </w:r>
          </w:p>
        </w:tc>
        <w:tc>
          <w:tcPr>
            <w:tcW w:w="5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66"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57" w:lineRule="exact"/>
        <w:rPr>
          <w:sz w:val="24"/>
          <w:szCs w:val="24"/>
          <w:color w:val="auto"/>
        </w:rPr>
      </w:pPr>
    </w:p>
    <w:p>
      <w:pPr>
        <w:jc w:val="both"/>
        <w:spacing w:after="0" w:line="223"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1" w:name="page2"/>
    <w:bookmarkEnd w:id="1"/>
    <w:p>
      <w:pPr>
        <w:jc w:val="both"/>
        <w:spacing w:after="0" w:line="289" w:lineRule="auto"/>
        <w:rPr>
          <w:sz w:val="20"/>
          <w:szCs w:val="20"/>
          <w:color w:val="auto"/>
        </w:rPr>
      </w:pPr>
      <w:r>
        <w:rPr>
          <w:rFonts w:ascii="Arial" w:cs="Arial" w:eastAsia="Arial" w:hAnsi="Arial"/>
          <w:sz w:val="17"/>
          <w:szCs w:val="17"/>
          <w:b w:val="1"/>
          <w:bCs w:val="1"/>
          <w:color w:val="F1665F"/>
        </w:rPr>
        <w:t>The information in this preliminary prospectus is not complete and may be changed. The securities may not be sold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1665F"/>
        </w:rPr>
        <w:t>SUBJECT TO COMPLETION, DATED MAY 2,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120015</wp:posOffset>
            </wp:positionV>
            <wp:extent cx="1928495" cy="5911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8495"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Sema4 Holdings Corp.</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160,864,198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53975</wp:posOffset>
            </wp:positionV>
            <wp:extent cx="1517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prospectus relates to the offer and sale from time to time by the selling stockholders named in this prospectus (the “Selling Stockholders”) of up to 160,864,198 shares of our Class A common stock, par value $0.0001 per share (“Class A common stock”), consisting of (i) up to 80,000,000 shares of our Class A common stock (the “Stock Consideration Shares”) issued to OPKO Health, Inc. (“OPKO”) as a portion of the consideration for the Acquisition (as defined below), (ii) up to 30,864,198 shares of our Class A common stock (the “Milestone Shares”) that may be issuable to OPKO in connection with the achievement of certain revenue-based milestones for each of the fiscal years ending December 31, 2022 and December 31, 2023 and (iii) up to 50,000,000 shares of our Class A common stock (the “PIPE Shares”) issued in a private placement pursuant to subscription agreements each entered into on January 14, 2022 (the “PIPE Investment”).</w:t>
      </w:r>
    </w:p>
    <w:p>
      <w:pPr>
        <w:spacing w:after="0" w:line="14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April 29, 2022, we consummated the transactions contemplated by that certain Agreement and Plan of Merger, dated as of January 14, 2022 (as amended, the “Merger Agreement”), by and among us and our wholly-owned subsidiaries, Orion Merger Sub I, Inc. (“Merger Sub I”) and Orion Merger Sub II, LLC (“Merger Sub II” and, together with Merger Sub I, “Merger Subs”), and GeneDx, Inc., a New Jersey corporation and wholly-owned subsidiary of OPKO (“GeneDx”), GeneDx Holding 2, Inc., which held 100% of GeneDx at the Effective Time (as defined below) (“Holdco2”), and OPKO. Pursuant to the terms of the Merger Agreement, we acquired GeneDx through the merger of Merger Sub I with and into Holdco2 (the “First Merger”), with Holdco2 as the surviving corporation in the First Merger. Immediately after the consummation of the First Merger, as part of the same overall transaction, Holdco2, as the surviving corporation in the First Merger, merged with and into Merger Sub II (the “Second Merger” and, together with the First Merger, the “Mergers”), with Merger Sub II as the surviving company. After giving effect to the Mergers and the other transactions contemplated by the Merger Agreement, GeneDx was converted into a Delaware limited liability company and became our wholly-owned indirect subsidiary. At the closing of the Acquisition, we paid OPKO $150 million of Cash Consideration (as defined herein) and issued to OPKO the Stock Consideration Shares. Concurrently with the closing, we also consummated the PIPE Investment, issuing the PIPE Shares for aggregate gross proceeds of $200 million. We have filed the registration statement to which this prospectus relates to satisfy certain registration rights obligations we have to the Selling Stockholders in respect of the Stock Consideration Shares, the Milestone Shares and the PIPE Shares.</w:t>
      </w:r>
    </w:p>
    <w:p>
      <w:pPr>
        <w:spacing w:after="0" w:line="132" w:lineRule="exact"/>
        <w:rPr>
          <w:sz w:val="20"/>
          <w:szCs w:val="20"/>
          <w:color w:val="auto"/>
        </w:rPr>
      </w:pPr>
    </w:p>
    <w:p>
      <w:pPr>
        <w:jc w:val="both"/>
        <w:spacing w:after="0" w:line="257" w:lineRule="auto"/>
        <w:rPr>
          <w:rFonts w:ascii="Arial" w:cs="Arial" w:eastAsia="Arial" w:hAnsi="Arial"/>
          <w:sz w:val="18"/>
          <w:szCs w:val="18"/>
          <w:i w:val="1"/>
          <w:iCs w:val="1"/>
          <w:color w:val="0000FF"/>
        </w:rPr>
      </w:pPr>
      <w:r>
        <w:rPr>
          <w:rFonts w:ascii="Arial" w:cs="Arial" w:eastAsia="Arial" w:hAnsi="Arial"/>
          <w:sz w:val="18"/>
          <w:szCs w:val="18"/>
          <w:color w:val="auto"/>
        </w:rPr>
        <w:t xml:space="preserve">The Selling Stockholders may offer, sell or distribute all or a portion of the securities hereby registered publicly or through private transactions at prevailing market prices or at negotiated prices. We will not receive any of the proceeds from such sales of the shares of our Class A common stock. We will bear all costs, expenses and fees in connection with the registration of these securities, including with regard to compliance with state securities or “blue sky” laws. </w:t>
      </w:r>
      <w:hyperlink w:anchor="page169">
        <w:r>
          <w:rPr>
            <w:rFonts w:ascii="Arial" w:cs="Arial" w:eastAsia="Arial" w:hAnsi="Arial"/>
            <w:sz w:val="18"/>
            <w:szCs w:val="18"/>
            <w:color w:val="auto"/>
          </w:rPr>
          <w:t>The Selling Stockholders will bear all commissions and discounts, if any, attributable to their sale of shares of our Class A common stock. See “</w:t>
        </w:r>
        <w:r>
          <w:rPr>
            <w:rFonts w:ascii="Arial" w:cs="Arial" w:eastAsia="Arial" w:hAnsi="Arial"/>
            <w:sz w:val="18"/>
            <w:szCs w:val="18"/>
            <w:i w:val="1"/>
            <w:iCs w:val="1"/>
            <w:u w:val="single" w:color="auto"/>
            <w:color w:val="0000FF"/>
          </w:rPr>
          <w:t>Plan of</w:t>
        </w:r>
      </w:hyperlink>
      <w:r>
        <w:rPr>
          <w:rFonts w:ascii="Arial" w:cs="Arial" w:eastAsia="Arial" w:hAnsi="Arial"/>
          <w:sz w:val="18"/>
          <w:szCs w:val="18"/>
          <w:color w:val="auto"/>
        </w:rPr>
        <w:t xml:space="preserve"> </w:t>
      </w:r>
      <w:hyperlink w:anchor="page169">
        <w:r>
          <w:rPr>
            <w:rFonts w:ascii="Arial" w:cs="Arial" w:eastAsia="Arial" w:hAnsi="Arial"/>
            <w:sz w:val="18"/>
            <w:szCs w:val="18"/>
            <w:i w:val="1"/>
            <w:iCs w:val="1"/>
            <w:u w:val="single" w:color="auto"/>
            <w:color w:val="0000FF"/>
          </w:rPr>
          <w:t>Distribution</w:t>
        </w:r>
        <w:r>
          <w:rPr>
            <w:rFonts w:ascii="Arial" w:cs="Arial" w:eastAsia="Arial" w:hAnsi="Arial"/>
            <w:sz w:val="18"/>
            <w:szCs w:val="18"/>
            <w:color w:val="000000"/>
          </w:rPr>
          <w:t>” beginning on page</w:t>
        </w:r>
        <w:r>
          <w:rPr>
            <w:rFonts w:ascii="Arial" w:cs="Arial" w:eastAsia="Arial" w:hAnsi="Arial"/>
            <w:sz w:val="18"/>
            <w:szCs w:val="18"/>
            <w:i w:val="1"/>
            <w:iCs w:val="1"/>
            <w:color w:val="0000FF"/>
          </w:rPr>
          <w:t xml:space="preserve"> </w:t>
        </w:r>
        <w:r>
          <w:rPr>
            <w:rFonts w:ascii="Arial" w:cs="Arial" w:eastAsia="Arial" w:hAnsi="Arial"/>
            <w:sz w:val="18"/>
            <w:szCs w:val="18"/>
            <w:b w:val="1"/>
            <w:bCs w:val="1"/>
            <w:u w:val="single" w:color="auto"/>
            <w:color w:val="0000FF"/>
          </w:rPr>
          <w:t>159</w:t>
        </w:r>
        <w:r>
          <w:rPr>
            <w:rFonts w:ascii="Arial" w:cs="Arial" w:eastAsia="Arial" w:hAnsi="Arial"/>
            <w:sz w:val="18"/>
            <w:szCs w:val="18"/>
            <w:i w:val="1"/>
            <w:iCs w:val="1"/>
            <w:color w:val="0000FF"/>
          </w:rPr>
          <w:t xml:space="preserve"> </w:t>
        </w:r>
        <w:r>
          <w:rPr>
            <w:rFonts w:ascii="Arial" w:cs="Arial" w:eastAsia="Arial" w:hAnsi="Arial"/>
            <w:sz w:val="18"/>
            <w:szCs w:val="18"/>
            <w:color w:val="000000"/>
          </w:rPr>
          <w:t>of this prospectus.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972820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both"/>
        <w:spacing w:after="0" w:line="263" w:lineRule="auto"/>
        <w:rPr>
          <w:sz w:val="20"/>
          <w:szCs w:val="20"/>
          <w:color w:val="auto"/>
        </w:rPr>
      </w:pPr>
      <w:r>
        <w:rPr>
          <w:rFonts w:ascii="Arial" w:cs="Arial" w:eastAsia="Arial" w:hAnsi="Arial"/>
          <w:sz w:val="18"/>
          <w:szCs w:val="18"/>
          <w:color w:val="auto"/>
        </w:rPr>
        <w:t>Our Class A common stock and public warrants are listed on the Nasdaq Global Select Market (the “Nasdaq”) under the symbol “SMFR” and “SMFRW,” respectively. On April 29, 2022, the last reported sales price of our Class A common stock was $2.15 per share and the last reported sales price of our public warrants was $0.40 per warrant.</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and, as such, have elected to comply with certain reduced disclosure and regulatory requirements.</w:t>
      </w:r>
    </w:p>
    <w:p>
      <w:pPr>
        <w:spacing w:after="0" w:line="116" w:lineRule="exact"/>
        <w:rPr>
          <w:sz w:val="20"/>
          <w:szCs w:val="20"/>
          <w:color w:val="auto"/>
        </w:rPr>
      </w:pPr>
    </w:p>
    <w:p>
      <w:pPr>
        <w:jc w:val="both"/>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our securities involves risks. See the section entitled “</w:t>
      </w:r>
      <w:hyperlink w:anchor="page18">
        <w:r>
          <w:rPr>
            <w:rFonts w:ascii="Arial" w:cs="Arial" w:eastAsia="Arial" w:hAnsi="Arial"/>
            <w:sz w:val="18"/>
            <w:szCs w:val="18"/>
            <w:b w:val="1"/>
            <w:bCs w:val="1"/>
            <w:i w:val="1"/>
            <w:iCs w:val="1"/>
            <w:u w:val="single" w:color="auto"/>
            <w:color w:val="0000FF"/>
          </w:rPr>
          <w:t>Risk Factors</w:t>
        </w:r>
      </w:hyperlink>
      <w:r>
        <w:rPr>
          <w:rFonts w:ascii="Arial" w:cs="Arial" w:eastAsia="Arial" w:hAnsi="Arial"/>
          <w:sz w:val="18"/>
          <w:szCs w:val="18"/>
          <w:b w:val="1"/>
          <w:bCs w:val="1"/>
          <w:i w:val="1"/>
          <w:iCs w:val="1"/>
          <w:color w:val="auto"/>
        </w:rPr>
        <w:t xml:space="preserve">” beginning on page </w:t>
      </w:r>
      <w:hyperlink w:anchor="page18">
        <w:r>
          <w:rPr>
            <w:rFonts w:ascii="Arial" w:cs="Arial" w:eastAsia="Arial" w:hAnsi="Arial"/>
            <w:sz w:val="18"/>
            <w:szCs w:val="18"/>
            <w:b w:val="1"/>
            <w:bCs w:val="1"/>
            <w:i w:val="1"/>
            <w:iCs w:val="1"/>
            <w:u w:val="single" w:color="auto"/>
            <w:color w:val="0000FF"/>
          </w:rPr>
          <w:t>8</w:t>
        </w:r>
        <w:r>
          <w:rPr>
            <w:rFonts w:ascii="Arial" w:cs="Arial" w:eastAsia="Arial" w:hAnsi="Arial"/>
            <w:sz w:val="18"/>
            <w:szCs w:val="18"/>
            <w:b w:val="1"/>
            <w:bCs w:val="1"/>
            <w:i w:val="1"/>
            <w:iCs w:val="1"/>
            <w:u w:val="single" w:color="auto"/>
            <w:color w:val="auto"/>
          </w:rPr>
          <w:t xml:space="preserve"> </w:t>
        </w:r>
      </w:hyperlink>
      <w:r>
        <w:rPr>
          <w:rFonts w:ascii="Arial" w:cs="Arial" w:eastAsia="Arial" w:hAnsi="Arial"/>
          <w:sz w:val="18"/>
          <w:szCs w:val="18"/>
          <w:b w:val="1"/>
          <w:bCs w:val="1"/>
          <w:i w:val="1"/>
          <w:iCs w:val="1"/>
          <w:color w:val="auto"/>
        </w:rPr>
        <w:t>of this prospectus to read about factors you should consider before buying our securities.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registration statement to which this prospectus relates registers the resale of a substantial number of shares of our Class A common stock by the Selling Stockholders. Sales in the public market of a large number of shares, or the perception in the market that the holders of a large number of shares intend to sell shares, could reduce the market price of our Class A common stock.</w:t>
      </w:r>
    </w:p>
    <w:p>
      <w:pPr>
        <w:spacing w:after="0" w:line="12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ind w:left="3880"/>
              <w:spacing w:after="0"/>
              <w:rPr>
                <w:sz w:val="20"/>
                <w:szCs w:val="20"/>
                <w:color w:val="auto"/>
              </w:rPr>
            </w:pPr>
            <w:r>
              <w:rPr>
                <w:rFonts w:ascii="Arial" w:cs="Arial" w:eastAsia="Arial" w:hAnsi="Arial"/>
                <w:sz w:val="18"/>
                <w:szCs w:val="18"/>
                <w:b w:val="1"/>
                <w:bCs w:val="1"/>
                <w:color w:val="auto"/>
              </w:rPr>
              <w:t>The date of this prospectus is</w:t>
            </w:r>
          </w:p>
        </w:tc>
        <w:tc>
          <w:tcPr>
            <w:tcW w:w="4720" w:type="dxa"/>
            <w:vAlign w:val="bottom"/>
          </w:tcPr>
          <w:p>
            <w:pPr>
              <w:jc w:val="right"/>
              <w:ind w:right="3790"/>
              <w:spacing w:after="0"/>
              <w:rPr>
                <w:sz w:val="20"/>
                <w:szCs w:val="20"/>
                <w:color w:val="auto"/>
              </w:rPr>
            </w:pPr>
            <w:r>
              <w:rPr>
                <w:rFonts w:ascii="Arial" w:cs="Arial" w:eastAsia="Arial" w:hAnsi="Arial"/>
                <w:sz w:val="18"/>
                <w:szCs w:val="18"/>
                <w:b w:val="1"/>
                <w:bCs w:val="1"/>
                <w:color w:val="auto"/>
              </w:rPr>
              <w:t>, 2022</w:t>
            </w:r>
          </w:p>
        </w:tc>
      </w:tr>
      <w:tr>
        <w:trPr>
          <w:trHeight w:val="1573"/>
        </w:trPr>
        <w:tc>
          <w:tcPr>
            <w:tcW w:w="652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40" w:type="dxa"/>
            <w:vAlign w:val="bottom"/>
            <w:gridSpan w:val="2"/>
          </w:tcPr>
          <w:p>
            <w:pPr>
              <w:ind w:left="260"/>
              <w:spacing w:after="0"/>
              <w:rPr>
                <w:sz w:val="20"/>
                <w:szCs w:val="20"/>
                <w:color w:val="auto"/>
              </w:rPr>
            </w:pPr>
            <w:r>
              <w:rPr>
                <w:rFonts w:ascii="Arial" w:cs="Arial" w:eastAsia="Arial" w:hAnsi="Arial"/>
                <w:sz w:val="18"/>
                <w:szCs w:val="18"/>
                <w:b w:val="1"/>
                <w:bCs w:val="1"/>
                <w:color w:val="auto"/>
              </w:rPr>
              <w:t>TABLE OF CONTENTS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04"/>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6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9"/>
              </w:rPr>
              <w:t>Page</w:t>
            </w:r>
          </w:p>
        </w:tc>
      </w:tr>
      <w:tr>
        <w:trPr>
          <w:trHeight w:val="201"/>
        </w:trPr>
        <w:tc>
          <w:tcPr>
            <w:tcW w:w="20" w:type="dxa"/>
            <w:vAlign w:val="bottom"/>
          </w:tcPr>
          <w:p>
            <w:pPr>
              <w:spacing w:after="0"/>
              <w:rPr>
                <w:sz w:val="17"/>
                <w:szCs w:val="17"/>
                <w:color w:val="auto"/>
              </w:rPr>
            </w:pPr>
          </w:p>
        </w:tc>
        <w:tc>
          <w:tcPr>
            <w:tcW w:w="10620" w:type="dxa"/>
            <w:vAlign w:val="bottom"/>
            <w:gridSpan w:val="19"/>
          </w:tcPr>
          <w:p>
            <w:pPr>
              <w:spacing w:after="0" w:line="201" w:lineRule="exact"/>
              <w:rPr>
                <w:rFonts w:ascii="Arial" w:cs="Arial" w:eastAsia="Arial" w:hAnsi="Arial"/>
                <w:sz w:val="18"/>
                <w:szCs w:val="18"/>
                <w:color w:val="0000FF"/>
              </w:rPr>
            </w:pPr>
            <w:hyperlink w:anchor="page4">
              <w:r>
                <w:rPr>
                  <w:rFonts w:ascii="Arial" w:cs="Arial" w:eastAsia="Arial" w:hAnsi="Arial"/>
                  <w:sz w:val="18"/>
                  <w:szCs w:val="18"/>
                  <w:color w:val="0000FF"/>
                </w:rPr>
                <w:t>About This Prospectus</w:t>
              </w:r>
            </w:hyperlink>
          </w:p>
        </w:tc>
        <w:tc>
          <w:tcPr>
            <w:tcW w:w="120" w:type="dxa"/>
            <w:vAlign w:val="bottom"/>
          </w:tcPr>
          <w:p>
            <w:pPr>
              <w:spacing w:after="0"/>
              <w:rPr>
                <w:sz w:val="17"/>
                <w:szCs w:val="17"/>
                <w:color w:val="auto"/>
              </w:rPr>
            </w:pPr>
          </w:p>
        </w:tc>
        <w:tc>
          <w:tcPr>
            <w:tcW w:w="480" w:type="dxa"/>
            <w:vAlign w:val="bottom"/>
            <w:gridSpan w:val="5"/>
          </w:tcPr>
          <w:p>
            <w:pPr>
              <w:jc w:val="center"/>
              <w:ind w:right="380"/>
              <w:spacing w:after="0" w:line="201" w:lineRule="exact"/>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w:t>
              </w:r>
            </w:hyperlink>
          </w:p>
        </w:tc>
      </w:tr>
      <w:tr>
        <w:trPr>
          <w:trHeight w:val="209"/>
        </w:trPr>
        <w:tc>
          <w:tcPr>
            <w:tcW w:w="20" w:type="dxa"/>
            <w:vAlign w:val="bottom"/>
          </w:tcPr>
          <w:p>
            <w:pPr>
              <w:spacing w:after="0"/>
              <w:rPr>
                <w:sz w:val="18"/>
                <w:szCs w:val="18"/>
                <w:color w:val="auto"/>
              </w:rPr>
            </w:pPr>
          </w:p>
        </w:tc>
        <w:tc>
          <w:tcPr>
            <w:tcW w:w="150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1"/>
              </w:rPr>
            </w:pPr>
            <w:hyperlink w:anchor="page5">
              <w:r>
                <w:rPr>
                  <w:rFonts w:ascii="Arial" w:cs="Arial" w:eastAsia="Arial" w:hAnsi="Arial"/>
                  <w:sz w:val="18"/>
                  <w:szCs w:val="18"/>
                  <w:color w:val="0000FF"/>
                  <w:w w:val="91"/>
                </w:rPr>
                <w:t>Selected Definitions</w:t>
              </w:r>
            </w:hyperlink>
          </w:p>
        </w:tc>
        <w:tc>
          <w:tcPr>
            <w:tcW w:w="140" w:type="dxa"/>
            <w:vAlign w:val="bottom"/>
            <w:tcBorders>
              <w:top w:val="single" w:sz="8" w:color="0000FF"/>
            </w:tcBorders>
            <w:gridSpan w:val="2"/>
          </w:tcPr>
          <w:p>
            <w:pPr>
              <w:spacing w:after="0"/>
              <w:rPr>
                <w:sz w:val="18"/>
                <w:szCs w:val="18"/>
                <w:color w:val="auto"/>
              </w:rPr>
            </w:pPr>
          </w:p>
        </w:tc>
        <w:tc>
          <w:tcPr>
            <w:tcW w:w="8980" w:type="dxa"/>
            <w:vAlign w:val="bottom"/>
            <w:gridSpan w:val="11"/>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0000FF"/>
            </w:tcBorders>
            <w:gridSpan w:val="2"/>
          </w:tcPr>
          <w:p>
            <w:pPr>
              <w:jc w:val="center"/>
              <w:ind w:right="40"/>
              <w:spacing w:after="0"/>
              <w:rPr>
                <w:rFonts w:ascii="Arial" w:cs="Arial" w:eastAsia="Arial" w:hAnsi="Arial"/>
                <w:sz w:val="18"/>
                <w:szCs w:val="18"/>
                <w:color w:val="0000FF"/>
              </w:rPr>
            </w:pPr>
            <w:hyperlink w:anchor="page5">
              <w:r>
                <w:rPr>
                  <w:rFonts w:ascii="Arial" w:cs="Arial" w:eastAsia="Arial" w:hAnsi="Arial"/>
                  <w:sz w:val="18"/>
                  <w:szCs w:val="18"/>
                  <w:color w:val="0000FF"/>
                </w:rPr>
                <w:t>ii</w:t>
              </w:r>
            </w:hyperlink>
          </w:p>
        </w:tc>
        <w:tc>
          <w:tcPr>
            <w:tcW w:w="340" w:type="dxa"/>
            <w:vAlign w:val="bottom"/>
            <w:gridSpan w:val="3"/>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86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8">
              <w:r>
                <w:rPr>
                  <w:rFonts w:ascii="Arial" w:cs="Arial" w:eastAsia="Arial" w:hAnsi="Arial"/>
                  <w:sz w:val="18"/>
                  <w:szCs w:val="18"/>
                  <w:color w:val="0000FF"/>
                  <w:w w:val="91"/>
                </w:rPr>
                <w:t>Market and Industry Data</w:t>
              </w:r>
            </w:hyperlink>
          </w:p>
        </w:tc>
        <w:tc>
          <w:tcPr>
            <w:tcW w:w="8760" w:type="dxa"/>
            <w:vAlign w:val="bottom"/>
            <w:gridSpan w:val="9"/>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rPr>
            </w:pPr>
            <w:hyperlink w:anchor="page8">
              <w:r>
                <w:rPr>
                  <w:rFonts w:ascii="Arial" w:cs="Arial" w:eastAsia="Arial" w:hAnsi="Arial"/>
                  <w:sz w:val="18"/>
                  <w:szCs w:val="18"/>
                  <w:color w:val="0000FF"/>
                </w:rPr>
                <w:t>v</w:t>
              </w:r>
            </w:hyperlink>
          </w:p>
        </w:tc>
        <w:tc>
          <w:tcPr>
            <w:tcW w:w="380" w:type="dxa"/>
            <w:vAlign w:val="bottom"/>
            <w:gridSpan w:val="4"/>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160" w:type="dxa"/>
            <w:vAlign w:val="bottom"/>
            <w:tcBorders>
              <w:bottom w:val="single" w:sz="8" w:color="0000FF"/>
            </w:tcBorders>
            <w:gridSpan w:val="16"/>
          </w:tcPr>
          <w:p>
            <w:pPr>
              <w:spacing w:after="0"/>
              <w:rPr>
                <w:rFonts w:ascii="Arial" w:cs="Arial" w:eastAsia="Arial" w:hAnsi="Arial"/>
                <w:sz w:val="18"/>
                <w:szCs w:val="18"/>
                <w:color w:val="0000FF"/>
                <w:w w:val="91"/>
              </w:rPr>
            </w:pPr>
            <w:hyperlink w:anchor="page9">
              <w:r>
                <w:rPr>
                  <w:rFonts w:ascii="Arial" w:cs="Arial" w:eastAsia="Arial" w:hAnsi="Arial"/>
                  <w:sz w:val="18"/>
                  <w:szCs w:val="18"/>
                  <w:color w:val="0000FF"/>
                  <w:w w:val="91"/>
                </w:rPr>
                <w:t>Cautionary Note Regarding Forward-Looking Statements</w:t>
              </w:r>
            </w:hyperlink>
          </w:p>
        </w:tc>
        <w:tc>
          <w:tcPr>
            <w:tcW w:w="646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0000FF"/>
            </w:tcBorders>
            <w:gridSpan w:val="2"/>
          </w:tcPr>
          <w:p>
            <w:pPr>
              <w:jc w:val="center"/>
              <w:ind w:right="20"/>
              <w:spacing w:after="0"/>
              <w:rPr>
                <w:rFonts w:ascii="Arial" w:cs="Arial" w:eastAsia="Arial" w:hAnsi="Arial"/>
                <w:sz w:val="18"/>
                <w:szCs w:val="18"/>
                <w:color w:val="0000FF"/>
                <w:w w:val="91"/>
              </w:rPr>
            </w:pPr>
            <w:hyperlink w:anchor="page9">
              <w:r>
                <w:rPr>
                  <w:rFonts w:ascii="Arial" w:cs="Arial" w:eastAsia="Arial" w:hAnsi="Arial"/>
                  <w:sz w:val="18"/>
                  <w:szCs w:val="18"/>
                  <w:color w:val="0000FF"/>
                  <w:w w:val="91"/>
                </w:rPr>
                <w:t>vi</w:t>
              </w:r>
            </w:hyperlink>
          </w:p>
        </w:tc>
        <w:tc>
          <w:tcPr>
            <w:tcW w:w="340" w:type="dxa"/>
            <w:vAlign w:val="bottom"/>
            <w:gridSpan w:val="3"/>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54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11">
              <w:r>
                <w:rPr>
                  <w:rFonts w:ascii="Arial" w:cs="Arial" w:eastAsia="Arial" w:hAnsi="Arial"/>
                  <w:sz w:val="18"/>
                  <w:szCs w:val="18"/>
                  <w:color w:val="0000FF"/>
                  <w:w w:val="88"/>
                </w:rPr>
                <w:t>Prospectus Summary</w:t>
              </w:r>
            </w:hyperlink>
          </w:p>
        </w:tc>
        <w:tc>
          <w:tcPr>
            <w:tcW w:w="9080" w:type="dxa"/>
            <w:vAlign w:val="bottom"/>
            <w:gridSpan w:val="1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11">
              <w:r>
                <w:rPr>
                  <w:rFonts w:ascii="Arial" w:cs="Arial" w:eastAsia="Arial" w:hAnsi="Arial"/>
                  <w:sz w:val="18"/>
                  <w:szCs w:val="18"/>
                  <w:color w:val="0000FF"/>
                  <w:w w:val="99"/>
                </w:rPr>
                <w:t>1</w:t>
              </w:r>
            </w:hyperlink>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4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Risk Factors</w:t>
              </w:r>
            </w:hyperlink>
          </w:p>
        </w:tc>
        <w:tc>
          <w:tcPr>
            <w:tcW w:w="9680" w:type="dxa"/>
            <w:vAlign w:val="bottom"/>
            <w:gridSpan w:val="16"/>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18">
              <w:r>
                <w:rPr>
                  <w:rFonts w:ascii="Arial" w:cs="Arial" w:eastAsia="Arial" w:hAnsi="Arial"/>
                  <w:sz w:val="18"/>
                  <w:szCs w:val="18"/>
                  <w:color w:val="0000FF"/>
                  <w:w w:val="99"/>
                </w:rPr>
                <w:t>8</w:t>
              </w:r>
            </w:hyperlink>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180" w:type="dxa"/>
            <w:vAlign w:val="bottom"/>
            <w:gridSpan w:val="4"/>
          </w:tcPr>
          <w:p>
            <w:pPr>
              <w:spacing w:after="0"/>
              <w:rPr>
                <w:rFonts w:ascii="Arial" w:cs="Arial" w:eastAsia="Arial" w:hAnsi="Arial"/>
                <w:sz w:val="18"/>
                <w:szCs w:val="18"/>
                <w:color w:val="0000FF"/>
                <w:w w:val="87"/>
              </w:rPr>
            </w:pPr>
            <w:hyperlink w:anchor="page68">
              <w:r>
                <w:rPr>
                  <w:rFonts w:ascii="Arial" w:cs="Arial" w:eastAsia="Arial" w:hAnsi="Arial"/>
                  <w:sz w:val="18"/>
                  <w:szCs w:val="18"/>
                  <w:color w:val="0000FF"/>
                  <w:w w:val="87"/>
                </w:rPr>
                <w:t>Use of Proceeds</w:t>
              </w:r>
            </w:hyperlink>
          </w:p>
        </w:tc>
        <w:tc>
          <w:tcPr>
            <w:tcW w:w="9440" w:type="dxa"/>
            <w:vAlign w:val="bottom"/>
            <w:gridSpan w:val="15"/>
          </w:tcPr>
          <w:p>
            <w:pPr>
              <w:spacing w:after="0"/>
              <w:rPr>
                <w:sz w:val="18"/>
                <w:szCs w:val="18"/>
                <w:color w:val="auto"/>
              </w:rPr>
            </w:pPr>
          </w:p>
        </w:tc>
        <w:tc>
          <w:tcPr>
            <w:tcW w:w="260" w:type="dxa"/>
            <w:vAlign w:val="bottom"/>
            <w:gridSpan w:val="3"/>
          </w:tcPr>
          <w:p>
            <w:pPr>
              <w:jc w:val="center"/>
              <w:spacing w:after="0"/>
              <w:rPr>
                <w:rFonts w:ascii="Arial" w:cs="Arial" w:eastAsia="Arial" w:hAnsi="Arial"/>
                <w:sz w:val="18"/>
                <w:szCs w:val="18"/>
                <w:color w:val="0000FF"/>
                <w:w w:val="89"/>
              </w:rPr>
            </w:pPr>
            <w:hyperlink w:anchor="page68">
              <w:r>
                <w:rPr>
                  <w:rFonts w:ascii="Arial" w:cs="Arial" w:eastAsia="Arial" w:hAnsi="Arial"/>
                  <w:sz w:val="18"/>
                  <w:szCs w:val="18"/>
                  <w:color w:val="0000FF"/>
                  <w:w w:val="89"/>
                </w:rPr>
                <w:t>58</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gridSpan w:val="17"/>
          </w:tcPr>
          <w:p>
            <w:pPr>
              <w:spacing w:after="0"/>
              <w:rPr>
                <w:rFonts w:ascii="Arial" w:cs="Arial" w:eastAsia="Arial" w:hAnsi="Arial"/>
                <w:sz w:val="18"/>
                <w:szCs w:val="18"/>
                <w:color w:val="0000FF"/>
                <w:w w:val="93"/>
              </w:rPr>
            </w:pPr>
            <w:hyperlink w:anchor="page69">
              <w:r>
                <w:rPr>
                  <w:rFonts w:ascii="Arial" w:cs="Arial" w:eastAsia="Arial" w:hAnsi="Arial"/>
                  <w:sz w:val="18"/>
                  <w:szCs w:val="18"/>
                  <w:color w:val="0000FF"/>
                  <w:w w:val="93"/>
                </w:rPr>
                <w:t>Market Information for Common Stock and Dividend Policy</w:t>
              </w:r>
            </w:hyperlink>
          </w:p>
        </w:tc>
        <w:tc>
          <w:tcPr>
            <w:tcW w:w="6240" w:type="dxa"/>
            <w:vAlign w:val="bottom"/>
            <w:gridSpan w:val="2"/>
          </w:tcPr>
          <w:p>
            <w:pPr>
              <w:spacing w:after="0"/>
              <w:rPr>
                <w:sz w:val="18"/>
                <w:szCs w:val="18"/>
                <w:color w:val="auto"/>
              </w:rPr>
            </w:pPr>
          </w:p>
        </w:tc>
        <w:tc>
          <w:tcPr>
            <w:tcW w:w="260" w:type="dxa"/>
            <w:vAlign w:val="bottom"/>
            <w:gridSpan w:val="3"/>
          </w:tcPr>
          <w:p>
            <w:pPr>
              <w:jc w:val="center"/>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59</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gridSpan w:val="15"/>
          </w:tcPr>
          <w:p>
            <w:pPr>
              <w:spacing w:after="0"/>
              <w:rPr>
                <w:rFonts w:ascii="Arial" w:cs="Arial" w:eastAsia="Arial" w:hAnsi="Arial"/>
                <w:sz w:val="18"/>
                <w:szCs w:val="18"/>
                <w:color w:val="0000FF"/>
                <w:w w:val="90"/>
              </w:rPr>
            </w:pPr>
            <w:hyperlink w:anchor="page70">
              <w:r>
                <w:rPr>
                  <w:rFonts w:ascii="Arial" w:cs="Arial" w:eastAsia="Arial" w:hAnsi="Arial"/>
                  <w:sz w:val="18"/>
                  <w:szCs w:val="18"/>
                  <w:color w:val="0000FF"/>
                  <w:w w:val="90"/>
                </w:rPr>
                <w:t>Unaudited Pro Forma Combined Financial Information</w:t>
              </w:r>
            </w:hyperlink>
          </w:p>
        </w:tc>
        <w:tc>
          <w:tcPr>
            <w:tcW w:w="440" w:type="dxa"/>
            <w:vAlign w:val="bottom"/>
            <w:gridSpan w:val="2"/>
          </w:tcPr>
          <w:p>
            <w:pPr>
              <w:spacing w:after="0"/>
              <w:rPr>
                <w:sz w:val="18"/>
                <w:szCs w:val="18"/>
                <w:color w:val="auto"/>
              </w:rPr>
            </w:pPr>
          </w:p>
        </w:tc>
        <w:tc>
          <w:tcPr>
            <w:tcW w:w="6240" w:type="dxa"/>
            <w:vAlign w:val="bottom"/>
            <w:gridSpan w:val="2"/>
          </w:tcPr>
          <w:p>
            <w:pPr>
              <w:spacing w:after="0"/>
              <w:rPr>
                <w:sz w:val="18"/>
                <w:szCs w:val="18"/>
                <w:color w:val="auto"/>
              </w:rPr>
            </w:pPr>
          </w:p>
        </w:tc>
        <w:tc>
          <w:tcPr>
            <w:tcW w:w="260" w:type="dxa"/>
            <w:vAlign w:val="bottom"/>
            <w:gridSpan w:val="3"/>
          </w:tcPr>
          <w:p>
            <w:pPr>
              <w:jc w:val="center"/>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60</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520" w:type="dxa"/>
            <w:vAlign w:val="bottom"/>
            <w:tcBorders>
              <w:left w:val="single" w:sz="8" w:color="0000FF"/>
            </w:tcBorders>
            <w:gridSpan w:val="3"/>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20" w:type="dxa"/>
            <w:vAlign w:val="bottom"/>
            <w:gridSpan w:val="19"/>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Management’s Discussion and Analysis of Financial Condition and Results of Operations</w:t>
              </w:r>
            </w:hyperlink>
          </w:p>
        </w:tc>
        <w:tc>
          <w:tcPr>
            <w:tcW w:w="260" w:type="dxa"/>
            <w:vAlign w:val="bottom"/>
            <w:gridSpan w:val="3"/>
          </w:tcPr>
          <w:p>
            <w:pPr>
              <w:jc w:val="center"/>
              <w:spacing w:after="0"/>
              <w:rPr>
                <w:rFonts w:ascii="Arial" w:cs="Arial" w:eastAsia="Arial" w:hAnsi="Arial"/>
                <w:sz w:val="18"/>
                <w:szCs w:val="18"/>
                <w:color w:val="0000FF"/>
                <w:w w:val="89"/>
              </w:rPr>
            </w:pPr>
            <w:hyperlink w:anchor="page79">
              <w:r>
                <w:rPr>
                  <w:rFonts w:ascii="Arial" w:cs="Arial" w:eastAsia="Arial" w:hAnsi="Arial"/>
                  <w:sz w:val="18"/>
                  <w:szCs w:val="18"/>
                  <w:color w:val="0000FF"/>
                  <w:w w:val="89"/>
                </w:rPr>
                <w:t>69</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gridSpan w:val="18"/>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Business</w:t>
              </w:r>
            </w:hyperlink>
          </w:p>
        </w:tc>
        <w:tc>
          <w:tcPr>
            <w:tcW w:w="4160" w:type="dxa"/>
            <w:vAlign w:val="bottom"/>
          </w:tcPr>
          <w:p>
            <w:pPr>
              <w:spacing w:after="0"/>
              <w:rPr>
                <w:sz w:val="18"/>
                <w:szCs w:val="18"/>
                <w:color w:val="auto"/>
              </w:rPr>
            </w:pPr>
          </w:p>
        </w:tc>
        <w:tc>
          <w:tcPr>
            <w:tcW w:w="260" w:type="dxa"/>
            <w:vAlign w:val="bottom"/>
            <w:gridSpan w:val="3"/>
          </w:tcPr>
          <w:p>
            <w:pPr>
              <w:jc w:val="center"/>
              <w:spacing w:after="0"/>
              <w:rPr>
                <w:rFonts w:ascii="Arial" w:cs="Arial" w:eastAsia="Arial" w:hAnsi="Arial"/>
                <w:sz w:val="18"/>
                <w:szCs w:val="18"/>
                <w:color w:val="0000FF"/>
                <w:w w:val="89"/>
              </w:rPr>
            </w:pPr>
            <w:hyperlink w:anchor="page103">
              <w:r>
                <w:rPr>
                  <w:rFonts w:ascii="Arial" w:cs="Arial" w:eastAsia="Arial" w:hAnsi="Arial"/>
                  <w:sz w:val="18"/>
                  <w:szCs w:val="18"/>
                  <w:color w:val="0000FF"/>
                  <w:w w:val="89"/>
                </w:rPr>
                <w:t>93</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80" w:type="dxa"/>
            <w:vAlign w:val="bottom"/>
            <w:gridSpan w:val="4"/>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20" w:type="dxa"/>
            <w:vAlign w:val="bottom"/>
            <w:gridSpan w:val="19"/>
          </w:tcPr>
          <w:p>
            <w:pPr>
              <w:spacing w:after="0"/>
              <w:rPr>
                <w:rFonts w:ascii="Arial" w:cs="Arial" w:eastAsia="Arial" w:hAnsi="Arial"/>
                <w:sz w:val="18"/>
                <w:szCs w:val="18"/>
                <w:color w:val="0000FF"/>
              </w:rPr>
            </w:pPr>
            <w:hyperlink w:anchor="page129">
              <w:r>
                <w:rPr>
                  <w:rFonts w:ascii="Arial" w:cs="Arial" w:eastAsia="Arial" w:hAnsi="Arial"/>
                  <w:sz w:val="18"/>
                  <w:szCs w:val="18"/>
                  <w:color w:val="0000FF"/>
                </w:rPr>
                <w:t>Management</w:t>
              </w:r>
            </w:hyperlink>
          </w:p>
        </w:tc>
        <w:tc>
          <w:tcPr>
            <w:tcW w:w="320" w:type="dxa"/>
            <w:vAlign w:val="bottom"/>
            <w:gridSpan w:val="4"/>
          </w:tcPr>
          <w:p>
            <w:pPr>
              <w:jc w:val="center"/>
              <w:spacing w:after="0"/>
              <w:rPr>
                <w:rFonts w:ascii="Arial" w:cs="Arial" w:eastAsia="Arial" w:hAnsi="Arial"/>
                <w:sz w:val="18"/>
                <w:szCs w:val="18"/>
                <w:color w:val="0000FF"/>
                <w:w w:val="86"/>
              </w:rPr>
            </w:pPr>
            <w:hyperlink w:anchor="page129">
              <w:r>
                <w:rPr>
                  <w:rFonts w:ascii="Arial" w:cs="Arial" w:eastAsia="Arial" w:hAnsi="Arial"/>
                  <w:sz w:val="18"/>
                  <w:szCs w:val="18"/>
                  <w:color w:val="0000FF"/>
                  <w:w w:val="86"/>
                </w:rPr>
                <w:t>119</w:t>
              </w:r>
            </w:hyperlink>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20" w:type="dxa"/>
            <w:vAlign w:val="bottom"/>
            <w:gridSpan w:val="19"/>
          </w:tcPr>
          <w:p>
            <w:pPr>
              <w:spacing w:after="0"/>
              <w:rPr>
                <w:rFonts w:ascii="Arial" w:cs="Arial" w:eastAsia="Arial" w:hAnsi="Arial"/>
                <w:sz w:val="18"/>
                <w:szCs w:val="18"/>
                <w:color w:val="0000FF"/>
              </w:rPr>
            </w:pPr>
            <w:hyperlink w:anchor="page138">
              <w:r>
                <w:rPr>
                  <w:rFonts w:ascii="Arial" w:cs="Arial" w:eastAsia="Arial" w:hAnsi="Arial"/>
                  <w:sz w:val="18"/>
                  <w:szCs w:val="18"/>
                  <w:color w:val="0000FF"/>
                </w:rPr>
                <w:t>Executive Compensation</w:t>
              </w:r>
            </w:hyperlink>
          </w:p>
        </w:tc>
        <w:tc>
          <w:tcPr>
            <w:tcW w:w="340" w:type="dxa"/>
            <w:vAlign w:val="bottom"/>
            <w:gridSpan w:val="5"/>
          </w:tcPr>
          <w:p>
            <w:pPr>
              <w:jc w:val="center"/>
              <w:spacing w:after="0"/>
              <w:rPr>
                <w:rFonts w:ascii="Arial" w:cs="Arial" w:eastAsia="Arial" w:hAnsi="Arial"/>
                <w:sz w:val="18"/>
                <w:szCs w:val="18"/>
                <w:color w:val="0000FF"/>
                <w:w w:val="86"/>
              </w:rPr>
            </w:pPr>
            <w:hyperlink w:anchor="page138">
              <w:r>
                <w:rPr>
                  <w:rFonts w:ascii="Arial" w:cs="Arial" w:eastAsia="Arial" w:hAnsi="Arial"/>
                  <w:sz w:val="18"/>
                  <w:szCs w:val="18"/>
                  <w:color w:val="0000FF"/>
                  <w:w w:val="86"/>
                </w:rPr>
                <w:t>128</w:t>
              </w:r>
            </w:hyperlink>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20" w:type="dxa"/>
            <w:vAlign w:val="bottom"/>
            <w:gridSpan w:val="19"/>
          </w:tcPr>
          <w:p>
            <w:pPr>
              <w:spacing w:after="0"/>
              <w:rPr>
                <w:rFonts w:ascii="Arial" w:cs="Arial" w:eastAsia="Arial" w:hAnsi="Arial"/>
                <w:sz w:val="18"/>
                <w:szCs w:val="18"/>
                <w:color w:val="0000FF"/>
              </w:rPr>
            </w:pPr>
            <w:hyperlink w:anchor="page149">
              <w:r>
                <w:rPr>
                  <w:rFonts w:ascii="Arial" w:cs="Arial" w:eastAsia="Arial" w:hAnsi="Arial"/>
                  <w:sz w:val="18"/>
                  <w:szCs w:val="18"/>
                  <w:color w:val="0000FF"/>
                </w:rPr>
                <w:t>Certain Relationships and Related Party Transactions</w:t>
              </w:r>
            </w:hyperlink>
          </w:p>
        </w:tc>
        <w:tc>
          <w:tcPr>
            <w:tcW w:w="340" w:type="dxa"/>
            <w:vAlign w:val="bottom"/>
            <w:gridSpan w:val="5"/>
          </w:tcPr>
          <w:p>
            <w:pPr>
              <w:jc w:val="center"/>
              <w:spacing w:after="0"/>
              <w:rPr>
                <w:rFonts w:ascii="Arial" w:cs="Arial" w:eastAsia="Arial" w:hAnsi="Arial"/>
                <w:sz w:val="18"/>
                <w:szCs w:val="18"/>
                <w:color w:val="0000FF"/>
                <w:w w:val="86"/>
              </w:rPr>
            </w:pPr>
            <w:hyperlink w:anchor="page149">
              <w:r>
                <w:rPr>
                  <w:rFonts w:ascii="Arial" w:cs="Arial" w:eastAsia="Arial" w:hAnsi="Arial"/>
                  <w:sz w:val="18"/>
                  <w:szCs w:val="18"/>
                  <w:color w:val="0000FF"/>
                  <w:w w:val="86"/>
                </w:rPr>
                <w:t>139</w:t>
              </w:r>
            </w:hyperlink>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gridSpan w:val="14"/>
          </w:tcPr>
          <w:p>
            <w:pPr>
              <w:spacing w:after="0"/>
              <w:rPr>
                <w:rFonts w:ascii="Arial" w:cs="Arial" w:eastAsia="Arial" w:hAnsi="Arial"/>
                <w:sz w:val="18"/>
                <w:szCs w:val="18"/>
                <w:color w:val="0000FF"/>
              </w:rPr>
            </w:pPr>
            <w:hyperlink w:anchor="page156">
              <w:r>
                <w:rPr>
                  <w:rFonts w:ascii="Arial" w:cs="Arial" w:eastAsia="Arial" w:hAnsi="Arial"/>
                  <w:sz w:val="18"/>
                  <w:szCs w:val="18"/>
                  <w:color w:val="0000FF"/>
                </w:rPr>
                <w:t>Principal Securityholders</w:t>
              </w:r>
            </w:hyperlink>
          </w:p>
        </w:tc>
        <w:tc>
          <w:tcPr>
            <w:tcW w:w="6780" w:type="dxa"/>
            <w:vAlign w:val="bottom"/>
            <w:gridSpan w:val="5"/>
          </w:tcPr>
          <w:p>
            <w:pPr>
              <w:spacing w:after="0"/>
              <w:rPr>
                <w:sz w:val="18"/>
                <w:szCs w:val="18"/>
                <w:color w:val="auto"/>
              </w:rPr>
            </w:pPr>
          </w:p>
        </w:tc>
        <w:tc>
          <w:tcPr>
            <w:tcW w:w="340" w:type="dxa"/>
            <w:vAlign w:val="bottom"/>
            <w:gridSpan w:val="5"/>
          </w:tcPr>
          <w:p>
            <w:pPr>
              <w:jc w:val="center"/>
              <w:spacing w:after="0"/>
              <w:rPr>
                <w:rFonts w:ascii="Arial" w:cs="Arial" w:eastAsia="Arial" w:hAnsi="Arial"/>
                <w:sz w:val="18"/>
                <w:szCs w:val="18"/>
                <w:color w:val="0000FF"/>
                <w:w w:val="86"/>
              </w:rPr>
            </w:pPr>
            <w:hyperlink w:anchor="page156">
              <w:r>
                <w:rPr>
                  <w:rFonts w:ascii="Arial" w:cs="Arial" w:eastAsia="Arial" w:hAnsi="Arial"/>
                  <w:sz w:val="18"/>
                  <w:szCs w:val="18"/>
                  <w:color w:val="0000FF"/>
                  <w:w w:val="86"/>
                </w:rPr>
                <w:t>146</w:t>
              </w:r>
            </w:hyperlink>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800" w:type="dxa"/>
            <w:vAlign w:val="bottom"/>
            <w:gridSpan w:val="9"/>
          </w:tcPr>
          <w:p>
            <w:pPr>
              <w:spacing w:after="0"/>
              <w:rPr>
                <w:rFonts w:ascii="Arial" w:cs="Arial" w:eastAsia="Arial" w:hAnsi="Arial"/>
                <w:sz w:val="18"/>
                <w:szCs w:val="18"/>
                <w:color w:val="0000FF"/>
                <w:w w:val="90"/>
              </w:rPr>
            </w:pPr>
            <w:hyperlink w:anchor="page159">
              <w:r>
                <w:rPr>
                  <w:rFonts w:ascii="Arial" w:cs="Arial" w:eastAsia="Arial" w:hAnsi="Arial"/>
                  <w:sz w:val="18"/>
                  <w:szCs w:val="18"/>
                  <w:color w:val="0000FF"/>
                  <w:w w:val="90"/>
                </w:rPr>
                <w:t>Description of Securities</w:t>
              </w:r>
            </w:hyperlink>
          </w:p>
        </w:tc>
        <w:tc>
          <w:tcPr>
            <w:tcW w:w="8820" w:type="dxa"/>
            <w:vAlign w:val="bottom"/>
            <w:gridSpan w:val="10"/>
          </w:tcPr>
          <w:p>
            <w:pPr>
              <w:spacing w:after="0"/>
              <w:rPr>
                <w:sz w:val="18"/>
                <w:szCs w:val="18"/>
                <w:color w:val="auto"/>
              </w:rPr>
            </w:pPr>
          </w:p>
        </w:tc>
        <w:tc>
          <w:tcPr>
            <w:tcW w:w="340" w:type="dxa"/>
            <w:vAlign w:val="bottom"/>
            <w:gridSpan w:val="5"/>
          </w:tcPr>
          <w:p>
            <w:pPr>
              <w:jc w:val="center"/>
              <w:spacing w:after="0"/>
              <w:rPr>
                <w:rFonts w:ascii="Arial" w:cs="Arial" w:eastAsia="Arial" w:hAnsi="Arial"/>
                <w:sz w:val="18"/>
                <w:szCs w:val="18"/>
                <w:color w:val="0000FF"/>
                <w:w w:val="86"/>
              </w:rPr>
            </w:pPr>
            <w:hyperlink w:anchor="page159">
              <w:r>
                <w:rPr>
                  <w:rFonts w:ascii="Arial" w:cs="Arial" w:eastAsia="Arial" w:hAnsi="Arial"/>
                  <w:sz w:val="18"/>
                  <w:szCs w:val="18"/>
                  <w:color w:val="0000FF"/>
                  <w:w w:val="86"/>
                </w:rPr>
                <w:t>149</w:t>
              </w:r>
            </w:hyperlink>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gridSpan w:val="9"/>
          </w:tcPr>
          <w:p>
            <w:pPr>
              <w:spacing w:after="0"/>
              <w:rPr>
                <w:rFonts w:ascii="Arial" w:cs="Arial" w:eastAsia="Arial" w:hAnsi="Arial"/>
                <w:sz w:val="18"/>
                <w:szCs w:val="18"/>
                <w:color w:val="0000FF"/>
              </w:rPr>
            </w:pPr>
            <w:hyperlink w:anchor="page166">
              <w:r>
                <w:rPr>
                  <w:rFonts w:ascii="Arial" w:cs="Arial" w:eastAsia="Arial" w:hAnsi="Arial"/>
                  <w:sz w:val="18"/>
                  <w:szCs w:val="18"/>
                  <w:color w:val="0000FF"/>
                </w:rPr>
                <w:t>Selling Stockholders</w:t>
              </w:r>
            </w:hyperlink>
          </w:p>
        </w:tc>
        <w:tc>
          <w:tcPr>
            <w:tcW w:w="8820" w:type="dxa"/>
            <w:vAlign w:val="bottom"/>
            <w:gridSpan w:val="10"/>
          </w:tcPr>
          <w:p>
            <w:pPr>
              <w:spacing w:after="0"/>
              <w:rPr>
                <w:sz w:val="18"/>
                <w:szCs w:val="18"/>
                <w:color w:val="auto"/>
              </w:rPr>
            </w:pPr>
          </w:p>
        </w:tc>
        <w:tc>
          <w:tcPr>
            <w:tcW w:w="340" w:type="dxa"/>
            <w:vAlign w:val="bottom"/>
            <w:gridSpan w:val="5"/>
          </w:tcPr>
          <w:p>
            <w:pPr>
              <w:jc w:val="center"/>
              <w:spacing w:after="0"/>
              <w:rPr>
                <w:rFonts w:ascii="Arial" w:cs="Arial" w:eastAsia="Arial" w:hAnsi="Arial"/>
                <w:sz w:val="18"/>
                <w:szCs w:val="18"/>
                <w:color w:val="0000FF"/>
                <w:w w:val="86"/>
              </w:rPr>
            </w:pPr>
            <w:hyperlink w:anchor="page166">
              <w:r>
                <w:rPr>
                  <w:rFonts w:ascii="Arial" w:cs="Arial" w:eastAsia="Arial" w:hAnsi="Arial"/>
                  <w:sz w:val="18"/>
                  <w:szCs w:val="18"/>
                  <w:color w:val="0000FF"/>
                  <w:w w:val="86"/>
                </w:rPr>
                <w:t>156</w:t>
              </w:r>
            </w:hyperlink>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20" w:type="dxa"/>
            <w:vAlign w:val="bottom"/>
            <w:gridSpan w:val="19"/>
          </w:tcPr>
          <w:p>
            <w:pPr>
              <w:spacing w:after="0"/>
              <w:rPr>
                <w:rFonts w:ascii="Arial" w:cs="Arial" w:eastAsia="Arial" w:hAnsi="Arial"/>
                <w:sz w:val="18"/>
                <w:szCs w:val="18"/>
                <w:color w:val="0000FF"/>
              </w:rPr>
            </w:pPr>
            <w:hyperlink w:anchor="page168">
              <w:r>
                <w:rPr>
                  <w:rFonts w:ascii="Arial" w:cs="Arial" w:eastAsia="Arial" w:hAnsi="Arial"/>
                  <w:sz w:val="18"/>
                  <w:szCs w:val="18"/>
                  <w:color w:val="0000FF"/>
                </w:rPr>
                <w:t>Securities Act Restrictions on Resale of Our Securities</w:t>
              </w:r>
            </w:hyperlink>
          </w:p>
        </w:tc>
        <w:tc>
          <w:tcPr>
            <w:tcW w:w="340" w:type="dxa"/>
            <w:vAlign w:val="bottom"/>
            <w:gridSpan w:val="5"/>
          </w:tcPr>
          <w:p>
            <w:pPr>
              <w:jc w:val="center"/>
              <w:spacing w:after="0"/>
              <w:rPr>
                <w:rFonts w:ascii="Arial" w:cs="Arial" w:eastAsia="Arial" w:hAnsi="Arial"/>
                <w:sz w:val="18"/>
                <w:szCs w:val="18"/>
                <w:color w:val="0000FF"/>
                <w:w w:val="86"/>
              </w:rPr>
            </w:pPr>
            <w:hyperlink w:anchor="page168">
              <w:r>
                <w:rPr>
                  <w:rFonts w:ascii="Arial" w:cs="Arial" w:eastAsia="Arial" w:hAnsi="Arial"/>
                  <w:sz w:val="18"/>
                  <w:szCs w:val="18"/>
                  <w:color w:val="0000FF"/>
                  <w:w w:val="86"/>
                </w:rPr>
                <w:t>158</w:t>
              </w:r>
            </w:hyperlink>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680" w:type="dxa"/>
            <w:vAlign w:val="bottom"/>
            <w:gridSpan w:val="4"/>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40" w:type="dxa"/>
            <w:vAlign w:val="bottom"/>
            <w:gridSpan w:val="5"/>
          </w:tcPr>
          <w:p>
            <w:pPr>
              <w:spacing w:after="0"/>
              <w:rPr>
                <w:rFonts w:ascii="Arial" w:cs="Arial" w:eastAsia="Arial" w:hAnsi="Arial"/>
                <w:sz w:val="18"/>
                <w:szCs w:val="18"/>
                <w:color w:val="0000FF"/>
                <w:w w:val="93"/>
              </w:rPr>
            </w:pPr>
            <w:hyperlink w:anchor="page169">
              <w:r>
                <w:rPr>
                  <w:rFonts w:ascii="Arial" w:cs="Arial" w:eastAsia="Arial" w:hAnsi="Arial"/>
                  <w:sz w:val="18"/>
                  <w:szCs w:val="18"/>
                  <w:color w:val="0000FF"/>
                  <w:w w:val="93"/>
                </w:rPr>
                <w:t>Plan of Distribution</w:t>
              </w:r>
            </w:hyperlink>
          </w:p>
        </w:tc>
        <w:tc>
          <w:tcPr>
            <w:tcW w:w="2500" w:type="dxa"/>
            <w:vAlign w:val="bottom"/>
            <w:gridSpan w:val="10"/>
          </w:tcPr>
          <w:p>
            <w:pPr>
              <w:spacing w:after="0"/>
              <w:rPr>
                <w:sz w:val="18"/>
                <w:szCs w:val="18"/>
                <w:color w:val="auto"/>
              </w:rPr>
            </w:pPr>
          </w:p>
        </w:tc>
        <w:tc>
          <w:tcPr>
            <w:tcW w:w="6680" w:type="dxa"/>
            <w:vAlign w:val="bottom"/>
            <w:gridSpan w:val="4"/>
          </w:tcPr>
          <w:p>
            <w:pPr>
              <w:spacing w:after="0"/>
              <w:rPr>
                <w:sz w:val="18"/>
                <w:szCs w:val="18"/>
                <w:color w:val="auto"/>
              </w:rPr>
            </w:pPr>
          </w:p>
        </w:tc>
        <w:tc>
          <w:tcPr>
            <w:tcW w:w="340" w:type="dxa"/>
            <w:vAlign w:val="bottom"/>
            <w:gridSpan w:val="5"/>
          </w:tcPr>
          <w:p>
            <w:pPr>
              <w:jc w:val="center"/>
              <w:spacing w:after="0"/>
              <w:rPr>
                <w:rFonts w:ascii="Arial" w:cs="Arial" w:eastAsia="Arial" w:hAnsi="Arial"/>
                <w:sz w:val="18"/>
                <w:szCs w:val="18"/>
                <w:color w:val="0000FF"/>
                <w:w w:val="86"/>
              </w:rPr>
            </w:pPr>
            <w:hyperlink w:anchor="page169">
              <w:r>
                <w:rPr>
                  <w:rFonts w:ascii="Arial" w:cs="Arial" w:eastAsia="Arial" w:hAnsi="Arial"/>
                  <w:sz w:val="18"/>
                  <w:szCs w:val="18"/>
                  <w:color w:val="0000FF"/>
                  <w:w w:val="86"/>
                </w:rPr>
                <w:t>159</w:t>
              </w:r>
            </w:hyperlink>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20" w:type="dxa"/>
            <w:vAlign w:val="bottom"/>
            <w:gridSpan w:val="6"/>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40" w:type="dxa"/>
            <w:vAlign w:val="bottom"/>
            <w:gridSpan w:val="5"/>
          </w:tcPr>
          <w:p>
            <w:pPr>
              <w:spacing w:after="0"/>
              <w:rPr>
                <w:rFonts w:ascii="Arial" w:cs="Arial" w:eastAsia="Arial" w:hAnsi="Arial"/>
                <w:sz w:val="18"/>
                <w:szCs w:val="18"/>
                <w:color w:val="0000FF"/>
              </w:rPr>
            </w:pPr>
            <w:hyperlink w:anchor="page173">
              <w:r>
                <w:rPr>
                  <w:rFonts w:ascii="Arial" w:cs="Arial" w:eastAsia="Arial" w:hAnsi="Arial"/>
                  <w:sz w:val="18"/>
                  <w:szCs w:val="18"/>
                  <w:color w:val="0000FF"/>
                </w:rPr>
                <w:t>Legal Matters</w:t>
              </w:r>
            </w:hyperlink>
          </w:p>
        </w:tc>
        <w:tc>
          <w:tcPr>
            <w:tcW w:w="9180" w:type="dxa"/>
            <w:vAlign w:val="bottom"/>
            <w:gridSpan w:val="14"/>
          </w:tcPr>
          <w:p>
            <w:pPr>
              <w:spacing w:after="0"/>
              <w:rPr>
                <w:sz w:val="18"/>
                <w:szCs w:val="18"/>
                <w:color w:val="auto"/>
              </w:rPr>
            </w:pPr>
          </w:p>
        </w:tc>
        <w:tc>
          <w:tcPr>
            <w:tcW w:w="340" w:type="dxa"/>
            <w:vAlign w:val="bottom"/>
            <w:gridSpan w:val="5"/>
          </w:tcPr>
          <w:p>
            <w:pPr>
              <w:jc w:val="center"/>
              <w:spacing w:after="0"/>
              <w:rPr>
                <w:rFonts w:ascii="Arial" w:cs="Arial" w:eastAsia="Arial" w:hAnsi="Arial"/>
                <w:sz w:val="18"/>
                <w:szCs w:val="18"/>
                <w:color w:val="0000FF"/>
                <w:w w:val="86"/>
              </w:rPr>
            </w:pPr>
            <w:hyperlink w:anchor="page173">
              <w:r>
                <w:rPr>
                  <w:rFonts w:ascii="Arial" w:cs="Arial" w:eastAsia="Arial" w:hAnsi="Arial"/>
                  <w:sz w:val="18"/>
                  <w:szCs w:val="18"/>
                  <w:color w:val="0000FF"/>
                  <w:w w:val="86"/>
                </w:rPr>
                <w:t>163</w:t>
              </w:r>
            </w:hyperlink>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88"/>
              </w:rPr>
            </w:pPr>
            <w:hyperlink w:anchor="page174">
              <w:r>
                <w:rPr>
                  <w:rFonts w:ascii="Arial" w:cs="Arial" w:eastAsia="Arial" w:hAnsi="Arial"/>
                  <w:sz w:val="18"/>
                  <w:szCs w:val="18"/>
                  <w:color w:val="0000FF"/>
                  <w:w w:val="88"/>
                </w:rPr>
                <w:t>Experts</w:t>
              </w:r>
            </w:hyperlink>
          </w:p>
        </w:tc>
        <w:tc>
          <w:tcPr>
            <w:tcW w:w="380" w:type="dxa"/>
            <w:vAlign w:val="bottom"/>
            <w:gridSpan w:val="2"/>
          </w:tcPr>
          <w:p>
            <w:pPr>
              <w:spacing w:after="0"/>
              <w:rPr>
                <w:sz w:val="18"/>
                <w:szCs w:val="18"/>
                <w:color w:val="auto"/>
              </w:rPr>
            </w:pPr>
          </w:p>
        </w:tc>
        <w:tc>
          <w:tcPr>
            <w:tcW w:w="9680" w:type="dxa"/>
            <w:vAlign w:val="bottom"/>
            <w:gridSpan w:val="16"/>
          </w:tcPr>
          <w:p>
            <w:pPr>
              <w:spacing w:after="0"/>
              <w:rPr>
                <w:sz w:val="18"/>
                <w:szCs w:val="18"/>
                <w:color w:val="auto"/>
              </w:rPr>
            </w:pPr>
          </w:p>
        </w:tc>
        <w:tc>
          <w:tcPr>
            <w:tcW w:w="340" w:type="dxa"/>
            <w:vAlign w:val="bottom"/>
            <w:gridSpan w:val="5"/>
          </w:tcPr>
          <w:p>
            <w:pPr>
              <w:jc w:val="center"/>
              <w:spacing w:after="0"/>
              <w:rPr>
                <w:rFonts w:ascii="Arial" w:cs="Arial" w:eastAsia="Arial" w:hAnsi="Arial"/>
                <w:sz w:val="18"/>
                <w:szCs w:val="18"/>
                <w:color w:val="0000FF"/>
                <w:w w:val="86"/>
              </w:rPr>
            </w:pPr>
            <w:hyperlink w:anchor="page174">
              <w:r>
                <w:rPr>
                  <w:rFonts w:ascii="Arial" w:cs="Arial" w:eastAsia="Arial" w:hAnsi="Arial"/>
                  <w:sz w:val="18"/>
                  <w:szCs w:val="18"/>
                  <w:color w:val="0000FF"/>
                  <w:w w:val="86"/>
                </w:rPr>
                <w:t>163</w:t>
              </w:r>
            </w:hyperlink>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12"/>
          </w:tcPr>
          <w:p>
            <w:pPr>
              <w:spacing w:after="0"/>
              <w:rPr>
                <w:rFonts w:ascii="Arial" w:cs="Arial" w:eastAsia="Arial" w:hAnsi="Arial"/>
                <w:sz w:val="18"/>
                <w:szCs w:val="18"/>
                <w:color w:val="0000FF"/>
                <w:w w:val="92"/>
              </w:rPr>
            </w:pPr>
            <w:hyperlink w:anchor="page174">
              <w:r>
                <w:rPr>
                  <w:rFonts w:ascii="Arial" w:cs="Arial" w:eastAsia="Arial" w:hAnsi="Arial"/>
                  <w:sz w:val="18"/>
                  <w:szCs w:val="18"/>
                  <w:color w:val="0000FF"/>
                  <w:w w:val="92"/>
                </w:rPr>
                <w:t>Where You Can Find More Information</w:t>
              </w:r>
            </w:hyperlink>
          </w:p>
        </w:tc>
        <w:tc>
          <w:tcPr>
            <w:tcW w:w="7740" w:type="dxa"/>
            <w:vAlign w:val="bottom"/>
            <w:gridSpan w:val="7"/>
          </w:tcPr>
          <w:p>
            <w:pPr>
              <w:spacing w:after="0"/>
              <w:rPr>
                <w:sz w:val="18"/>
                <w:szCs w:val="18"/>
                <w:color w:val="auto"/>
              </w:rPr>
            </w:pPr>
          </w:p>
        </w:tc>
        <w:tc>
          <w:tcPr>
            <w:tcW w:w="340" w:type="dxa"/>
            <w:vAlign w:val="bottom"/>
            <w:gridSpan w:val="5"/>
          </w:tcPr>
          <w:p>
            <w:pPr>
              <w:jc w:val="center"/>
              <w:spacing w:after="0"/>
              <w:rPr>
                <w:rFonts w:ascii="Arial" w:cs="Arial" w:eastAsia="Arial" w:hAnsi="Arial"/>
                <w:sz w:val="18"/>
                <w:szCs w:val="18"/>
                <w:color w:val="0000FF"/>
                <w:w w:val="86"/>
              </w:rPr>
            </w:pPr>
            <w:hyperlink w:anchor="page174">
              <w:r>
                <w:rPr>
                  <w:rFonts w:ascii="Arial" w:cs="Arial" w:eastAsia="Arial" w:hAnsi="Arial"/>
                  <w:sz w:val="18"/>
                  <w:szCs w:val="18"/>
                  <w:color w:val="0000FF"/>
                  <w:w w:val="86"/>
                </w:rPr>
                <w:t>163</w:t>
              </w:r>
            </w:hyperlink>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gridSpan w:val="11"/>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20" w:type="dxa"/>
            <w:vAlign w:val="bottom"/>
            <w:gridSpan w:val="6"/>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174">
              <w:r>
                <w:rPr>
                  <w:rFonts w:ascii="Arial" w:cs="Arial" w:eastAsia="Arial" w:hAnsi="Arial"/>
                  <w:sz w:val="18"/>
                  <w:szCs w:val="18"/>
                  <w:color w:val="0000FF"/>
                  <w:w w:val="89"/>
                </w:rPr>
                <w:t>Sema4 Holdings Corp. Financial Statements</w:t>
              </w:r>
            </w:hyperlink>
          </w:p>
        </w:tc>
        <w:tc>
          <w:tcPr>
            <w:tcW w:w="7420" w:type="dxa"/>
            <w:vAlign w:val="bottom"/>
            <w:gridSpan w:val="6"/>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0000FF"/>
            </w:tcBorders>
            <w:gridSpan w:val="3"/>
          </w:tcPr>
          <w:p>
            <w:pPr>
              <w:jc w:val="center"/>
              <w:ind w:right="20"/>
              <w:spacing w:after="0"/>
              <w:rPr>
                <w:rFonts w:ascii="Arial" w:cs="Arial" w:eastAsia="Arial" w:hAnsi="Arial"/>
                <w:sz w:val="17"/>
                <w:szCs w:val="17"/>
                <w:color w:val="0000FF"/>
                <w:w w:val="70"/>
              </w:rPr>
            </w:pPr>
            <w:r>
              <w:rPr>
                <w:rFonts w:ascii="Arial" w:cs="Arial" w:eastAsia="Arial" w:hAnsi="Arial"/>
                <w:sz w:val="17"/>
                <w:szCs w:val="17"/>
                <w:color w:val="0000FF"/>
                <w:w w:val="70"/>
              </w:rPr>
              <w:t>F-</w:t>
            </w:r>
            <w:hyperlink w:anchor="page174">
              <w:r>
                <w:rPr>
                  <w:rFonts w:ascii="Arial" w:cs="Arial" w:eastAsia="Arial" w:hAnsi="Arial"/>
                  <w:sz w:val="17"/>
                  <w:szCs w:val="17"/>
                  <w:color w:val="0000FF"/>
                  <w:w w:val="70"/>
                </w:rPr>
                <w:t>1</w:t>
              </w:r>
            </w:hyperlink>
          </w:p>
        </w:tc>
        <w:tc>
          <w:tcPr>
            <w:tcW w:w="280" w:type="dxa"/>
            <w:vAlign w:val="bottom"/>
            <w:gridSpan w:val="2"/>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620" w:type="dxa"/>
            <w:vAlign w:val="bottom"/>
            <w:gridSpan w:val="19"/>
          </w:tcPr>
          <w:p>
            <w:pPr>
              <w:spacing w:after="0"/>
              <w:rPr>
                <w:rFonts w:ascii="Arial" w:cs="Arial" w:eastAsia="Arial" w:hAnsi="Arial"/>
                <w:sz w:val="18"/>
                <w:szCs w:val="18"/>
                <w:color w:val="0000FF"/>
              </w:rPr>
            </w:pPr>
            <w:hyperlink w:anchor="page214">
              <w:r>
                <w:rPr>
                  <w:rFonts w:ascii="Arial" w:cs="Arial" w:eastAsia="Arial" w:hAnsi="Arial"/>
                  <w:sz w:val="18"/>
                  <w:szCs w:val="18"/>
                  <w:color w:val="0000FF"/>
                </w:rPr>
                <w:t>GeneDx, Inc. Financial Statements</w:t>
              </w:r>
            </w:hyperlink>
          </w:p>
        </w:tc>
        <w:tc>
          <w:tcPr>
            <w:tcW w:w="600" w:type="dxa"/>
            <w:vAlign w:val="bottom"/>
            <w:gridSpan w:val="6"/>
          </w:tcPr>
          <w:p>
            <w:pPr>
              <w:jc w:val="center"/>
              <w:ind w:right="260"/>
              <w:spacing w:after="0"/>
              <w:rPr>
                <w:rFonts w:ascii="Arial" w:cs="Arial" w:eastAsia="Arial" w:hAnsi="Arial"/>
                <w:sz w:val="18"/>
                <w:szCs w:val="18"/>
                <w:color w:val="0000FF"/>
                <w:w w:val="91"/>
              </w:rPr>
            </w:pPr>
            <w:r>
              <w:rPr>
                <w:rFonts w:ascii="Arial" w:cs="Arial" w:eastAsia="Arial" w:hAnsi="Arial"/>
                <w:sz w:val="18"/>
                <w:szCs w:val="18"/>
                <w:color w:val="0000FF"/>
                <w:w w:val="91"/>
              </w:rPr>
              <w:t>F-</w:t>
            </w:r>
            <w:hyperlink w:anchor="page214">
              <w:r>
                <w:rPr>
                  <w:rFonts w:ascii="Arial" w:cs="Arial" w:eastAsia="Arial" w:hAnsi="Arial"/>
                  <w:sz w:val="18"/>
                  <w:szCs w:val="18"/>
                  <w:color w:val="0000FF"/>
                  <w:w w:val="91"/>
                </w:rPr>
                <w:t>41</w:t>
              </w:r>
            </w:hyperlink>
          </w:p>
        </w:tc>
      </w:tr>
      <w:tr>
        <w:trPr>
          <w:trHeight w:val="1688"/>
        </w:trPr>
        <w:tc>
          <w:tcPr>
            <w:tcW w:w="2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5"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This prospectus is part of a registration statement on Form S-1 that we filed with the Securities and Exchange Commission (the “SEC”) using the “shelf” registration process. Under this shelf registration process, the Selling Stockholders may, from time to time, sell or otherwise distribute the securities offered by them as described in the section titled “</w:t>
      </w:r>
      <w:hyperlink w:anchor="page169">
        <w:r>
          <w:rPr>
            <w:rFonts w:ascii="Arial" w:cs="Arial" w:eastAsia="Arial" w:hAnsi="Arial"/>
            <w:sz w:val="18"/>
            <w:szCs w:val="18"/>
            <w:i w:val="1"/>
            <w:iCs w:val="1"/>
            <w:u w:val="single" w:color="auto"/>
            <w:color w:val="0000FF"/>
          </w:rPr>
          <w:t>Plan of Distribution</w:t>
        </w:r>
      </w:hyperlink>
      <w:r>
        <w:rPr>
          <w:rFonts w:ascii="Arial" w:cs="Arial" w:eastAsia="Arial" w:hAnsi="Arial"/>
          <w:sz w:val="18"/>
          <w:szCs w:val="18"/>
          <w:color w:val="auto"/>
        </w:rPr>
        <w:t>” in this prospectus. We will not receive any proceeds from the sale by such Selling Stockholders of the securities offered by them described in this prospectus.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Neither we nor the Selling Stockholders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Stockholders take responsibility for, and can provide no assurance as to the reliability of, any other information that others may give you. Neither we nor the Selling Stockholders will make an offer to sell these securities in any jurisdiction where the offer or sale is not permitted.</w:t>
      </w:r>
    </w:p>
    <w:p>
      <w:pPr>
        <w:spacing w:after="0" w:line="134" w:lineRule="exact"/>
        <w:rPr>
          <w:sz w:val="20"/>
          <w:szCs w:val="20"/>
          <w:color w:val="auto"/>
        </w:rPr>
      </w:pPr>
    </w:p>
    <w:p>
      <w:pPr>
        <w:jc w:val="both"/>
        <w:spacing w:after="0" w:line="259" w:lineRule="auto"/>
        <w:rPr>
          <w:rFonts w:ascii="Arial" w:cs="Arial" w:eastAsia="Arial" w:hAnsi="Arial"/>
          <w:sz w:val="18"/>
          <w:szCs w:val="18"/>
          <w:i w:val="1"/>
          <w:iCs w:val="1"/>
          <w:color w:val="0000FF"/>
        </w:rPr>
      </w:pPr>
      <w:r>
        <w:rPr>
          <w:rFonts w:ascii="Arial" w:cs="Arial" w:eastAsia="Arial" w:hAnsi="Arial"/>
          <w:sz w:val="18"/>
          <w:szCs w:val="18"/>
          <w:color w:val="auto"/>
        </w:rPr>
        <w:t xml:space="preserve">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w:t>
      </w:r>
      <w:hyperlink w:anchor="page174">
        <w:r>
          <w:rPr>
            <w:rFonts w:ascii="Arial" w:cs="Arial" w:eastAsia="Arial" w:hAnsi="Arial"/>
            <w:sz w:val="18"/>
            <w:szCs w:val="18"/>
            <w:color w:val="auto"/>
          </w:rPr>
          <w:t>the registration statement together with the additional information to which we refer you in the section of this prospectus entitled “</w:t>
        </w:r>
        <w:r>
          <w:rPr>
            <w:rFonts w:ascii="Arial" w:cs="Arial" w:eastAsia="Arial" w:hAnsi="Arial"/>
            <w:sz w:val="18"/>
            <w:szCs w:val="18"/>
            <w:i w:val="1"/>
            <w:iCs w:val="1"/>
            <w:u w:val="single" w:color="auto"/>
            <w:color w:val="0000FF"/>
          </w:rPr>
          <w:t>Where You Can Find</w:t>
        </w:r>
      </w:hyperlink>
      <w:r>
        <w:rPr>
          <w:rFonts w:ascii="Arial" w:cs="Arial" w:eastAsia="Arial" w:hAnsi="Arial"/>
          <w:sz w:val="18"/>
          <w:szCs w:val="18"/>
          <w:color w:val="auto"/>
        </w:rPr>
        <w:t xml:space="preserve"> </w:t>
      </w:r>
      <w:hyperlink w:anchor="page174">
        <w:r>
          <w:rPr>
            <w:rFonts w:ascii="Arial" w:cs="Arial" w:eastAsia="Arial" w:hAnsi="Arial"/>
            <w:sz w:val="18"/>
            <w:szCs w:val="18"/>
            <w:i w:val="1"/>
            <w:iCs w:val="1"/>
            <w:u w:val="single" w:color="auto"/>
            <w:color w:val="0000FF"/>
          </w:rPr>
          <w:t>More Information</w:t>
        </w:r>
        <w:r>
          <w:rPr>
            <w:rFonts w:ascii="Arial" w:cs="Arial" w:eastAsia="Arial" w:hAnsi="Arial"/>
            <w:sz w:val="18"/>
            <w:szCs w:val="18"/>
            <w:i w:val="1"/>
            <w:iCs w:val="1"/>
            <w:color w:val="000000"/>
          </w:rPr>
          <w:t>.</w:t>
        </w:r>
        <w:r>
          <w:rPr>
            <w:rFonts w:ascii="Arial" w:cs="Arial" w:eastAsia="Arial" w:hAnsi="Arial"/>
            <w:sz w:val="18"/>
            <w:szCs w:val="18"/>
            <w:color w:val="000000"/>
          </w:rPr>
          <w:t>”</w:t>
        </w:r>
      </w:hyperlink>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the context otherwise requires, references in this prospectus to the “Company,” “Sema4” and “we,” “us” and “our” refer to (i) Mount Sinai Genomics, Inc. d/b/a as Sema4 (“Legacy Sema4”) prior to the consummation of our business combination with CM Life Sciences, Inc. (“CMLS”) on July 22, 2021 (the “Business Combination”) and (ii) Sema4 Holdings Corp. (“Sema4 Holdings”) and its consolidated subsidiaries following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4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SELECTED DEFINITIONS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Acquisition</w:t>
      </w:r>
      <w:r>
        <w:rPr>
          <w:rFonts w:ascii="Arial" w:cs="Arial" w:eastAsia="Arial" w:hAnsi="Arial"/>
          <w:sz w:val="18"/>
          <w:szCs w:val="18"/>
          <w:color w:val="auto"/>
        </w:rPr>
        <w:t>” means the transactions contemplated by the Merger Agreement, including the Mergers.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or “</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Combination</w:t>
      </w:r>
      <w:r>
        <w:rPr>
          <w:rFonts w:ascii="Arial" w:cs="Arial" w:eastAsia="Arial" w:hAnsi="Arial"/>
          <w:sz w:val="18"/>
          <w:szCs w:val="18"/>
          <w:color w:val="auto"/>
        </w:rPr>
        <w:t>” means the transactions contemplated by the Prior Merger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Bylaws</w:t>
      </w:r>
      <w:r>
        <w:rPr>
          <w:rFonts w:ascii="Arial" w:cs="Arial" w:eastAsia="Arial" w:hAnsi="Arial"/>
          <w:sz w:val="18"/>
          <w:szCs w:val="18"/>
          <w:color w:val="auto"/>
        </w:rPr>
        <w:t>” means the Restated Bylaws of the Company.</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Consideration</w:t>
      </w:r>
      <w:r>
        <w:rPr>
          <w:rFonts w:ascii="Arial" w:cs="Arial" w:eastAsia="Arial" w:hAnsi="Arial"/>
          <w:sz w:val="18"/>
          <w:szCs w:val="18"/>
          <w:color w:val="auto"/>
        </w:rPr>
        <w:t>” means the $150 million in cash paid by the Company to OPKO at the Closing pursuant to the Merger Agreement, subject to certain adjustments as provided in the Merger Agreement.</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Certificate of Incorporation”</w:t>
      </w:r>
      <w:r>
        <w:rPr>
          <w:rFonts w:ascii="Arial" w:cs="Arial" w:eastAsia="Arial" w:hAnsi="Arial"/>
          <w:sz w:val="18"/>
          <w:szCs w:val="18"/>
          <w:color w:val="auto"/>
        </w:rPr>
        <w:t xml:space="preserve"> or “</w:t>
      </w:r>
      <w:r>
        <w:rPr>
          <w:rFonts w:ascii="Arial" w:cs="Arial" w:eastAsia="Arial" w:hAnsi="Arial"/>
          <w:sz w:val="18"/>
          <w:szCs w:val="18"/>
          <w:i w:val="1"/>
          <w:iCs w:val="1"/>
          <w:color w:val="auto"/>
        </w:rPr>
        <w:t>Charter</w:t>
      </w:r>
      <w:r>
        <w:rPr>
          <w:rFonts w:ascii="Arial" w:cs="Arial" w:eastAsia="Arial" w:hAnsi="Arial"/>
          <w:sz w:val="18"/>
          <w:szCs w:val="18"/>
          <w:color w:val="auto"/>
        </w:rPr>
        <w:t>” means our Third Amended and Restated Certificate of Incorporation, dated as of July 22, 2021, as amended by the Amendment to the Amended and Restated Certificate of Incorporation, dated as of April 29,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common stock</w:t>
      </w:r>
      <w:r>
        <w:rPr>
          <w:rFonts w:ascii="Arial" w:cs="Arial" w:eastAsia="Arial" w:hAnsi="Arial"/>
          <w:sz w:val="18"/>
          <w:szCs w:val="18"/>
          <w:color w:val="auto"/>
        </w:rPr>
        <w:t>” means the shares of Class A common stock, par value $0.0001 per share,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means the closing of the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CMLS</w:t>
      </w:r>
      <w:r>
        <w:rPr>
          <w:rFonts w:ascii="Arial" w:cs="Arial" w:eastAsia="Arial" w:hAnsi="Arial"/>
          <w:sz w:val="18"/>
          <w:szCs w:val="18"/>
          <w:color w:val="auto"/>
        </w:rPr>
        <w:t>” means CM Life Sciences, Inc. prior to the closing of the Business Combination.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DGCL</w:t>
      </w:r>
      <w:r>
        <w:rPr>
          <w:rFonts w:ascii="Arial" w:cs="Arial" w:eastAsia="Arial" w:hAnsi="Arial"/>
          <w:sz w:val="18"/>
          <w:szCs w:val="18"/>
          <w:color w:val="auto"/>
        </w:rPr>
        <w:t>” means the General Corporation Law of the State of Delaware.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Earn-Out Shares</w:t>
      </w:r>
      <w:r>
        <w:rPr>
          <w:rFonts w:ascii="Arial" w:cs="Arial" w:eastAsia="Arial" w:hAnsi="Arial"/>
          <w:sz w:val="18"/>
          <w:szCs w:val="18"/>
          <w:color w:val="auto"/>
        </w:rPr>
        <w:t>” means the shares of Class A common stock issuable pursuant to the Prior Merger Agreement upon the achievement of certain vesting conditions.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Time</w:t>
      </w:r>
      <w:r>
        <w:rPr>
          <w:rFonts w:ascii="Arial" w:cs="Arial" w:eastAsia="Arial" w:hAnsi="Arial"/>
          <w:sz w:val="18"/>
          <w:szCs w:val="18"/>
          <w:color w:val="auto"/>
        </w:rPr>
        <w:t>” means the time the First Merger became effective.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ESPP</w:t>
      </w:r>
      <w:r>
        <w:rPr>
          <w:rFonts w:ascii="Arial" w:cs="Arial" w:eastAsia="Arial" w:hAnsi="Arial"/>
          <w:sz w:val="18"/>
          <w:szCs w:val="18"/>
          <w:color w:val="auto"/>
        </w:rPr>
        <w:t>” means the Sema4 Holdings Corp. 2021 Employee Stock Purchase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Merger</w:t>
      </w:r>
      <w:r>
        <w:rPr>
          <w:rFonts w:ascii="Arial" w:cs="Arial" w:eastAsia="Arial" w:hAnsi="Arial"/>
          <w:sz w:val="18"/>
          <w:szCs w:val="18"/>
          <w:color w:val="auto"/>
        </w:rPr>
        <w:t>” means the merger of Merger Sub I with and into HoldCo, with HoldCo as the surviving corporation in the First Merger.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United States generally accepted accounting principles.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GeneDx</w:t>
      </w:r>
      <w:r>
        <w:rPr>
          <w:rFonts w:ascii="Arial" w:cs="Arial" w:eastAsia="Arial" w:hAnsi="Arial"/>
          <w:sz w:val="18"/>
          <w:szCs w:val="18"/>
          <w:color w:val="auto"/>
        </w:rPr>
        <w:t>” means (i) GeneDx, Inc., a New Jersey corporation prior to the Closing of the Acquisition and (ii) GeneDx, LLC, a Delaware limited liability company, following the Closing of the Acquisition.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HoldCo</w:t>
      </w:r>
      <w:r>
        <w:rPr>
          <w:rFonts w:ascii="Arial" w:cs="Arial" w:eastAsia="Arial" w:hAnsi="Arial"/>
          <w:sz w:val="18"/>
          <w:szCs w:val="18"/>
          <w:color w:val="auto"/>
        </w:rPr>
        <w:t>” means GeneDx Holding 2, Inc., which held 100% of GeneDx immediately following the Effective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Company Act</w:t>
      </w:r>
      <w:r>
        <w:rPr>
          <w:rFonts w:ascii="Arial" w:cs="Arial" w:eastAsia="Arial" w:hAnsi="Arial"/>
          <w:sz w:val="18"/>
          <w:szCs w:val="18"/>
          <w:color w:val="auto"/>
        </w:rPr>
        <w:t>” means the Investment Company Act of 1940, as amended.</w:t>
      </w:r>
    </w:p>
    <w:p>
      <w:pPr>
        <w:spacing w:after="0" w:line="17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IPO</w:t>
      </w:r>
      <w:r>
        <w:rPr>
          <w:rFonts w:ascii="Arial" w:cs="Arial" w:eastAsia="Arial" w:hAnsi="Arial"/>
          <w:sz w:val="17"/>
          <w:szCs w:val="17"/>
          <w:color w:val="auto"/>
        </w:rPr>
        <w:t>” or “</w:t>
      </w:r>
      <w:r>
        <w:rPr>
          <w:rFonts w:ascii="Arial" w:cs="Arial" w:eastAsia="Arial" w:hAnsi="Arial"/>
          <w:sz w:val="17"/>
          <w:szCs w:val="17"/>
          <w:i w:val="1"/>
          <w:iCs w:val="1"/>
          <w:color w:val="auto"/>
        </w:rPr>
        <w:t>CMLS IPO</w:t>
      </w:r>
      <w:r>
        <w:rPr>
          <w:rFonts w:ascii="Arial" w:cs="Arial" w:eastAsia="Arial" w:hAnsi="Arial"/>
          <w:sz w:val="17"/>
          <w:szCs w:val="17"/>
          <w:color w:val="auto"/>
        </w:rPr>
        <w:t>” means the Company’s initial public offering, consummated on September 4, 2020, of 44,275,000 units (including 5,775,000 units that were subsequently issued to the underwriters in connection with the partial exercise of their over-allotment option) at $10.00 per unit.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2021 EIP</w:t>
      </w:r>
      <w:r>
        <w:rPr>
          <w:rFonts w:ascii="Arial" w:cs="Arial" w:eastAsia="Arial" w:hAnsi="Arial"/>
          <w:sz w:val="18"/>
          <w:szCs w:val="18"/>
          <w:color w:val="auto"/>
        </w:rPr>
        <w:t>” means the Sema4 Holdings Corp. 2021 Equity Incentive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JOBS Act</w:t>
      </w:r>
      <w:r>
        <w:rPr>
          <w:rFonts w:ascii="Arial" w:cs="Arial" w:eastAsia="Arial" w:hAnsi="Arial"/>
          <w:sz w:val="18"/>
          <w:szCs w:val="18"/>
          <w:color w:val="auto"/>
        </w:rPr>
        <w:t>” means the Jumpstart Our Business Startups Act of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Former Sponsor</w:t>
      </w:r>
      <w:r>
        <w:rPr>
          <w:rFonts w:ascii="Arial" w:cs="Arial" w:eastAsia="Arial" w:hAnsi="Arial"/>
          <w:sz w:val="18"/>
          <w:szCs w:val="18"/>
          <w:color w:val="auto"/>
        </w:rPr>
        <w:t>” means CMLS Holdings LLC, a Delaware limited liability company.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Sema4</w:t>
      </w:r>
      <w:r>
        <w:rPr>
          <w:rFonts w:ascii="Arial" w:cs="Arial" w:eastAsia="Arial" w:hAnsi="Arial"/>
          <w:sz w:val="18"/>
          <w:szCs w:val="18"/>
          <w:color w:val="auto"/>
        </w:rPr>
        <w:t>” means Mount Sinai Genomics, Inc., a Delaware corporation, doing business as Sema4 prior to the consummation of the Business Combination.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Lock-Up Holder</w:t>
      </w:r>
      <w:r>
        <w:rPr>
          <w:rFonts w:ascii="Arial" w:cs="Arial" w:eastAsia="Arial" w:hAnsi="Arial"/>
          <w:sz w:val="18"/>
          <w:szCs w:val="18"/>
          <w:color w:val="auto"/>
        </w:rPr>
        <w:t>” means certain stockholders of OPKO who entered into the Shareholder Agreements with the Company.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Agreement</w:t>
      </w:r>
      <w:r>
        <w:rPr>
          <w:rFonts w:ascii="Arial" w:cs="Arial" w:eastAsia="Arial" w:hAnsi="Arial"/>
          <w:sz w:val="18"/>
          <w:szCs w:val="18"/>
          <w:color w:val="auto"/>
        </w:rPr>
        <w:t>” means that certain Agreement and Plan of Merger and Reorganization, dated as of January 14, 2022, by and among the Company, Merger Sub I, Merger Sub II, GeneDx, OPKO, and Holdco, as amended by the Amendment to Agreement and Plan of Merger and Reorganization, dated as of April 29,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Consideration</w:t>
      </w:r>
      <w:r>
        <w:rPr>
          <w:rFonts w:ascii="Arial" w:cs="Arial" w:eastAsia="Arial" w:hAnsi="Arial"/>
          <w:sz w:val="18"/>
          <w:szCs w:val="18"/>
          <w:color w:val="auto"/>
        </w:rPr>
        <w:t>” means the Cash Consideration and the Stock Consideration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 I</w:t>
      </w:r>
      <w:r>
        <w:rPr>
          <w:rFonts w:ascii="Arial" w:cs="Arial" w:eastAsia="Arial" w:hAnsi="Arial"/>
          <w:sz w:val="18"/>
          <w:szCs w:val="18"/>
          <w:color w:val="auto"/>
        </w:rPr>
        <w:t>” means Orion Merger Sub I,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 II</w:t>
      </w:r>
      <w:r>
        <w:rPr>
          <w:rFonts w:ascii="Arial" w:cs="Arial" w:eastAsia="Arial" w:hAnsi="Arial"/>
          <w:sz w:val="18"/>
          <w:szCs w:val="18"/>
          <w:color w:val="auto"/>
        </w:rPr>
        <w:t>” means Orion Merger Sub II,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Subs</w:t>
      </w:r>
      <w:r>
        <w:rPr>
          <w:rFonts w:ascii="Arial" w:cs="Arial" w:eastAsia="Arial" w:hAnsi="Arial"/>
          <w:sz w:val="18"/>
          <w:szCs w:val="18"/>
          <w:color w:val="auto"/>
        </w:rPr>
        <w:t>” means Merger Sub I and Merger Sub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Mergers</w:t>
      </w:r>
      <w:r>
        <w:rPr>
          <w:rFonts w:ascii="Arial" w:cs="Arial" w:eastAsia="Arial" w:hAnsi="Arial"/>
          <w:sz w:val="18"/>
          <w:szCs w:val="18"/>
          <w:color w:val="auto"/>
        </w:rPr>
        <w:t>” means the First Merger and the Second Merger.</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Milestone Payments</w:t>
      </w:r>
      <w:r>
        <w:rPr>
          <w:rFonts w:ascii="Arial" w:cs="Arial" w:eastAsia="Arial" w:hAnsi="Arial"/>
          <w:sz w:val="16"/>
          <w:szCs w:val="16"/>
          <w:color w:val="auto"/>
        </w:rPr>
        <w:t>” means the up to $150 million payable by the Company to OPKO pursuant to the Merger Agreement following the Closing, if certain revenue-based milestones are achieved for each of the fiscal years ending December 31, 2022 and December 31, 2023. Each Milestone Payment, if and to the extent earned under the terms of the Merger Agreement, will be satisfied through the payment and/or issuance of a combination of cash and shares of Class A common stock (valued at $4.86 per share based on the average of the daily volume average weighted price of the Company’s Class A common stock over the period of 30 trading days ended January 12, 2022), with such mix to be determined in the Company’s sole discretion.</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Milestone Shares</w:t>
      </w:r>
      <w:r>
        <w:rPr>
          <w:rFonts w:ascii="Arial" w:cs="Arial" w:eastAsia="Arial" w:hAnsi="Arial"/>
          <w:sz w:val="18"/>
          <w:szCs w:val="18"/>
          <w:color w:val="auto"/>
        </w:rPr>
        <w:t>” means the up to 30,864,198 shares of our Class A common stock that may be issuable to OPKO in connection with the Milestone Payments.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Nasdaq</w:t>
      </w:r>
      <w:r>
        <w:rPr>
          <w:rFonts w:ascii="Arial" w:cs="Arial" w:eastAsia="Arial" w:hAnsi="Arial"/>
          <w:sz w:val="18"/>
          <w:szCs w:val="18"/>
          <w:color w:val="auto"/>
        </w:rPr>
        <w:t>” means the Nasdaq Stock Market.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OPKO</w:t>
      </w:r>
      <w:r>
        <w:rPr>
          <w:rFonts w:ascii="Arial" w:cs="Arial" w:eastAsia="Arial" w:hAnsi="Arial"/>
          <w:sz w:val="18"/>
          <w:szCs w:val="18"/>
          <w:color w:val="auto"/>
        </w:rPr>
        <w:t>” means OPKO Health, Inc.</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Investment</w:t>
      </w:r>
      <w:r>
        <w:rPr>
          <w:rFonts w:ascii="Arial" w:cs="Arial" w:eastAsia="Arial" w:hAnsi="Arial"/>
          <w:sz w:val="18"/>
          <w:szCs w:val="18"/>
          <w:color w:val="auto"/>
        </w:rPr>
        <w:t>” means the private placement pursuant to which the PIPE Investors collectively subscribed for the PIPE Shares at $4.00 per share, for an aggregate purchase price of $200 million.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Investors</w:t>
      </w:r>
      <w:r>
        <w:rPr>
          <w:rFonts w:ascii="Arial" w:cs="Arial" w:eastAsia="Arial" w:hAnsi="Arial"/>
          <w:sz w:val="18"/>
          <w:szCs w:val="18"/>
          <w:color w:val="auto"/>
        </w:rPr>
        <w:t>” means certain institutional investors that invested in the PIPE Investment pursuant to, and on the terms and subject to the conditions of, the Subscription Agreements.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Shares</w:t>
      </w:r>
      <w:r>
        <w:rPr>
          <w:rFonts w:ascii="Arial" w:cs="Arial" w:eastAsia="Arial" w:hAnsi="Arial"/>
          <w:sz w:val="18"/>
          <w:szCs w:val="18"/>
          <w:color w:val="auto"/>
        </w:rPr>
        <w:t>” means the 50 million shares of Class A common stock issued in the PIPE Investment.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Pre-Closing Restructuring</w:t>
      </w:r>
      <w:r>
        <w:rPr>
          <w:rFonts w:ascii="Arial" w:cs="Arial" w:eastAsia="Arial" w:hAnsi="Arial"/>
          <w:sz w:val="18"/>
          <w:szCs w:val="18"/>
          <w:color w:val="auto"/>
        </w:rPr>
        <w:t>” has the meaning ascribed to it in the Merger Agreement.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 Merger Agreement</w:t>
      </w:r>
      <w:r>
        <w:rPr>
          <w:rFonts w:ascii="Arial" w:cs="Arial" w:eastAsia="Arial" w:hAnsi="Arial"/>
          <w:sz w:val="18"/>
          <w:szCs w:val="18"/>
          <w:color w:val="auto"/>
        </w:rPr>
        <w:t>” means that certain Agreement and Plan of Merger, dated as of February 9, 2021, as amended, by and among CMLS, S-IV Sub, Inc. and Legacy Sema4.</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placement warrants</w:t>
      </w:r>
      <w:r>
        <w:rPr>
          <w:rFonts w:ascii="Arial" w:cs="Arial" w:eastAsia="Arial" w:hAnsi="Arial"/>
          <w:sz w:val="18"/>
          <w:szCs w:val="18"/>
          <w:color w:val="auto"/>
        </w:rPr>
        <w:t>” means the 7,236,667 warrants originally issued to the Former Sponsor and certain of the other initial stockholders of CMLS in a private placement in connection with our IPO, each of which is exercisable for three-quarters of one share of Class A common stock, in accordance with its terms.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shares</w:t>
      </w:r>
      <w:r>
        <w:rPr>
          <w:rFonts w:ascii="Arial" w:cs="Arial" w:eastAsia="Arial" w:hAnsi="Arial"/>
          <w:sz w:val="18"/>
          <w:szCs w:val="18"/>
          <w:color w:val="auto"/>
        </w:rPr>
        <w:t>” means shares of Class A common stock included in the units issued in our IPO.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stockholders</w:t>
      </w:r>
      <w:r>
        <w:rPr>
          <w:rFonts w:ascii="Arial" w:cs="Arial" w:eastAsia="Arial" w:hAnsi="Arial"/>
          <w:sz w:val="18"/>
          <w:szCs w:val="18"/>
          <w:color w:val="auto"/>
        </w:rPr>
        <w:t>” means holders of public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warrants</w:t>
      </w:r>
      <w:r>
        <w:rPr>
          <w:rFonts w:ascii="Arial" w:cs="Arial" w:eastAsia="Arial" w:hAnsi="Arial"/>
          <w:sz w:val="18"/>
          <w:szCs w:val="18"/>
          <w:color w:val="auto"/>
        </w:rPr>
        <w:t>” means the warrants included in the units issued in our IPO, each of which is exercisable for three-quarters of one share of Class A common stock, in accordance with its terms.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Agreements</w:t>
      </w:r>
      <w:r>
        <w:rPr>
          <w:rFonts w:ascii="Arial" w:cs="Arial" w:eastAsia="Arial" w:hAnsi="Arial"/>
          <w:sz w:val="18"/>
          <w:szCs w:val="18"/>
          <w:color w:val="auto"/>
        </w:rPr>
        <w:t>” means, collectively, the Shareholder Agreements, the Subscription Agreements and the Support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RSUs</w:t>
      </w:r>
      <w:r>
        <w:rPr>
          <w:rFonts w:ascii="Arial" w:cs="Arial" w:eastAsia="Arial" w:hAnsi="Arial"/>
          <w:sz w:val="18"/>
          <w:szCs w:val="18"/>
          <w:color w:val="auto"/>
        </w:rPr>
        <w:t>” means restricted stock units granted under the 2017 EIP, 2021 EIP or pursuant to the Prior Merger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United States Securities and Exchange Commission.</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Merger</w:t>
      </w:r>
      <w:r>
        <w:rPr>
          <w:rFonts w:ascii="Arial" w:cs="Arial" w:eastAsia="Arial" w:hAnsi="Arial"/>
          <w:sz w:val="18"/>
          <w:szCs w:val="18"/>
          <w:color w:val="auto"/>
        </w:rPr>
        <w:t>” means the merger of HoldCo, as the surviving corporation in the First Merger, with and into Merger Sub II, with Merger Sub II as the surviving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Shareholder Agreements</w:t>
      </w:r>
      <w:r>
        <w:rPr>
          <w:rFonts w:ascii="Arial" w:cs="Arial" w:eastAsia="Arial" w:hAnsi="Arial"/>
          <w:sz w:val="18"/>
          <w:szCs w:val="18"/>
          <w:color w:val="auto"/>
        </w:rPr>
        <w:t>” means, collectively, those certain shareholder agreements entered into on January 14, 2022, between the Company and OPKO and the Lock-Up Holders, pursuant to which OPKO and the Lock-Up Holders have agreed, among other things, to certain transfer restrictions in respect of the shares of Class A common stock issues and to be issued pursuant to the Merger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Sarbanes-Oxley Act</w:t>
      </w:r>
      <w:r>
        <w:rPr>
          <w:rFonts w:ascii="Arial" w:cs="Arial" w:eastAsia="Arial" w:hAnsi="Arial"/>
          <w:sz w:val="18"/>
          <w:szCs w:val="18"/>
          <w:color w:val="auto"/>
        </w:rPr>
        <w:t>” or “</w:t>
      </w:r>
      <w:r>
        <w:rPr>
          <w:rFonts w:ascii="Arial" w:cs="Arial" w:eastAsia="Arial" w:hAnsi="Arial"/>
          <w:sz w:val="18"/>
          <w:szCs w:val="18"/>
          <w:i w:val="1"/>
          <w:iCs w:val="1"/>
          <w:color w:val="auto"/>
        </w:rPr>
        <w:t>SOX</w:t>
      </w:r>
      <w:r>
        <w:rPr>
          <w:rFonts w:ascii="Arial" w:cs="Arial" w:eastAsia="Arial" w:hAnsi="Arial"/>
          <w:sz w:val="18"/>
          <w:szCs w:val="18"/>
          <w:color w:val="auto"/>
        </w:rPr>
        <w:t>” means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Selling Stockholders</w:t>
      </w:r>
      <w:r>
        <w:rPr>
          <w:rFonts w:ascii="Arial" w:cs="Arial" w:eastAsia="Arial" w:hAnsi="Arial"/>
          <w:sz w:val="18"/>
          <w:szCs w:val="18"/>
          <w:color w:val="auto"/>
        </w:rPr>
        <w:t>” means the selling stockholders named in this prospectus.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Consideration Shares</w:t>
      </w:r>
      <w:r>
        <w:rPr>
          <w:rFonts w:ascii="Arial" w:cs="Arial" w:eastAsia="Arial" w:hAnsi="Arial"/>
          <w:sz w:val="18"/>
          <w:szCs w:val="18"/>
          <w:color w:val="auto"/>
        </w:rPr>
        <w:t>” means the 80 million shares of Class A common stock issued by the Company to OPKO at the Closing pursuant to the Merger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stockholders</w:t>
      </w:r>
      <w:r>
        <w:rPr>
          <w:rFonts w:ascii="Arial" w:cs="Arial" w:eastAsia="Arial" w:hAnsi="Arial"/>
          <w:sz w:val="18"/>
          <w:szCs w:val="18"/>
          <w:color w:val="auto"/>
        </w:rPr>
        <w:t>” means holders of shares of the Company’s Class A common stock.</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Subscription Agreements</w:t>
      </w:r>
      <w:r>
        <w:rPr>
          <w:rFonts w:ascii="Arial" w:cs="Arial" w:eastAsia="Arial" w:hAnsi="Arial"/>
          <w:sz w:val="18"/>
          <w:szCs w:val="18"/>
          <w:color w:val="auto"/>
        </w:rPr>
        <w:t>” means, collectively, those certain subscription agreements entered into on January 14, 2022, between the Company and the PIPE Investors, pursuant to which such investors agreed to purchase the PIPE Shares in the PIPE Investment on the terms and subject to the conditions of the Subscription Agreements.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 means Continental Stock Transfer &amp;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INDUSTRY DATA</w:t>
      </w:r>
    </w:p>
    <w:p>
      <w:pPr>
        <w:spacing w:after="0" w:line="175" w:lineRule="exact"/>
        <w:rPr>
          <w:sz w:val="20"/>
          <w:szCs w:val="20"/>
          <w:color w:val="auto"/>
        </w:rPr>
      </w:pPr>
    </w:p>
    <w:p>
      <w:pPr>
        <w:jc w:val="both"/>
        <w:spacing w:after="0" w:line="271" w:lineRule="auto"/>
        <w:rPr>
          <w:rFonts w:ascii="Arial" w:cs="Arial" w:eastAsia="Arial" w:hAnsi="Arial"/>
          <w:sz w:val="17"/>
          <w:szCs w:val="17"/>
          <w:color w:val="auto"/>
        </w:rPr>
      </w:pPr>
      <w:r>
        <w:rPr>
          <w:rFonts w:ascii="Arial" w:cs="Arial" w:eastAsia="Arial" w:hAnsi="Arial"/>
          <w:sz w:val="17"/>
          <w:szCs w:val="17"/>
          <w:color w:val="auto"/>
        </w:rPr>
        <w:t>This prospectus contains estimates and information concerning our industry, our business, and the market for our products and services,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those described in the section titled “</w:t>
      </w:r>
      <w:hyperlink w:anchor="page18">
        <w:r>
          <w:rPr>
            <w:rFonts w:ascii="Arial" w:cs="Arial" w:eastAsia="Arial" w:hAnsi="Arial"/>
            <w:sz w:val="17"/>
            <w:szCs w:val="17"/>
            <w:i w:val="1"/>
            <w:iCs w:val="1"/>
            <w:u w:val="single" w:color="auto"/>
            <w:color w:val="0000FF"/>
          </w:rPr>
          <w:t>Risk Factors</w:t>
        </w:r>
      </w:hyperlink>
      <w:r>
        <w:rPr>
          <w:rFonts w:ascii="Arial" w:cs="Arial" w:eastAsia="Arial" w:hAnsi="Arial"/>
          <w:sz w:val="17"/>
          <w:szCs w:val="17"/>
          <w:i w:val="1"/>
          <w:iCs w:val="1"/>
          <w:color w:val="auto"/>
        </w:rPr>
        <w:t>.</w:t>
      </w:r>
      <w:r>
        <w:rPr>
          <w:rFonts w:ascii="Arial" w:cs="Arial" w:eastAsia="Arial" w:hAnsi="Arial"/>
          <w:sz w:val="17"/>
          <w:szCs w:val="17"/>
          <w:color w:val="auto"/>
        </w:rPr>
        <w:t>” These and other factors could cause results to differ materially from those expressed in these publications and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jc w:val="both"/>
        <w:spacing w:after="0" w:line="253" w:lineRule="auto"/>
        <w:rPr>
          <w:rFonts w:ascii="Arial" w:cs="Arial" w:eastAsia="Arial" w:hAnsi="Arial"/>
          <w:sz w:val="18"/>
          <w:szCs w:val="18"/>
          <w:i w:val="1"/>
          <w:iCs w:val="1"/>
          <w:color w:val="0000FF"/>
        </w:rPr>
      </w:pPr>
      <w:hyperlink w:anchor="page79">
        <w:r>
          <w:rPr>
            <w:rFonts w:ascii="Arial" w:cs="Arial" w:eastAsia="Arial" w:hAnsi="Arial"/>
            <w:sz w:val="18"/>
            <w:szCs w:val="18"/>
            <w:color w:val="auto"/>
          </w:rPr>
          <w:t>Certain matters discussed in this prospectus, including matters discussed under the caption “</w:t>
        </w:r>
        <w:r>
          <w:rPr>
            <w:rFonts w:ascii="Arial" w:cs="Arial" w:eastAsia="Arial" w:hAnsi="Arial"/>
            <w:sz w:val="18"/>
            <w:szCs w:val="18"/>
            <w:i w:val="1"/>
            <w:iCs w:val="1"/>
            <w:u w:val="single" w:color="auto"/>
            <w:color w:val="0000FF"/>
          </w:rPr>
          <w:t>Management’s Discussion and Analysis of Financial Condition</w:t>
        </w:r>
      </w:hyperlink>
      <w:r>
        <w:rPr>
          <w:rFonts w:ascii="Arial" w:cs="Arial" w:eastAsia="Arial" w:hAnsi="Arial"/>
          <w:sz w:val="18"/>
          <w:szCs w:val="18"/>
          <w:color w:val="auto"/>
        </w:rPr>
        <w:t xml:space="preserve"> </w:t>
      </w:r>
      <w:hyperlink w:anchor="page79">
        <w:r>
          <w:rPr>
            <w:rFonts w:ascii="Arial" w:cs="Arial" w:eastAsia="Arial" w:hAnsi="Arial"/>
            <w:sz w:val="18"/>
            <w:szCs w:val="18"/>
            <w:i w:val="1"/>
            <w:iCs w:val="1"/>
            <w:u w:val="single" w:color="auto"/>
            <w:color w:val="0000FF"/>
          </w:rPr>
          <w:t>and Results of Operations</w:t>
        </w:r>
        <w:r>
          <w:rPr>
            <w:rFonts w:ascii="Arial" w:cs="Arial" w:eastAsia="Arial" w:hAnsi="Arial"/>
            <w:sz w:val="18"/>
            <w:szCs w:val="18"/>
            <w:color w:val="000000"/>
          </w:rPr>
          <w:t>” may constitute forward-looking statements for purposes of the Securities Act of 1933, as amended (the “Securities Act”), and</w:t>
        </w:r>
      </w:hyperlink>
      <w:r>
        <w:rPr>
          <w:rFonts w:ascii="Arial" w:cs="Arial" w:eastAsia="Arial" w:hAnsi="Arial"/>
          <w:sz w:val="18"/>
          <w:szCs w:val="18"/>
          <w:i w:val="1"/>
          <w:iCs w:val="1"/>
          <w:color w:val="0000FF"/>
        </w:rPr>
        <w:t xml:space="preserve"> </w:t>
      </w:r>
      <w:r>
        <w:rPr>
          <w:rFonts w:ascii="Arial" w:cs="Arial" w:eastAsia="Arial" w:hAnsi="Arial"/>
          <w:sz w:val="18"/>
          <w:szCs w:val="18"/>
          <w:color w:val="000000"/>
        </w:rPr>
        <w:t xml:space="preserve">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w:t>
      </w:r>
      <w:hyperlink w:anchor="page79">
        <w:r>
          <w:rPr>
            <w:rFonts w:ascii="Arial" w:cs="Arial" w:eastAsia="Arial" w:hAnsi="Arial"/>
            <w:sz w:val="18"/>
            <w:szCs w:val="18"/>
            <w:color w:val="000000"/>
          </w:rPr>
          <w:t>variety of factors, including, without limitation, those discussed in the sections entitled “</w:t>
        </w:r>
        <w:r>
          <w:rPr>
            <w:rFonts w:ascii="Arial" w:cs="Arial" w:eastAsia="Arial" w:hAnsi="Arial"/>
            <w:sz w:val="18"/>
            <w:szCs w:val="18"/>
            <w:i w:val="1"/>
            <w:iCs w:val="1"/>
            <w:u w:val="single" w:color="auto"/>
            <w:color w:val="0000FF"/>
          </w:rPr>
          <w:t>Risk Factors</w:t>
        </w:r>
        <w:r>
          <w:rPr>
            <w:rFonts w:ascii="Arial" w:cs="Arial" w:eastAsia="Arial" w:hAnsi="Arial"/>
            <w:sz w:val="18"/>
            <w:szCs w:val="18"/>
            <w:color w:val="000000"/>
          </w:rPr>
          <w:t>,” “</w:t>
        </w:r>
        <w:r>
          <w:rPr>
            <w:rFonts w:ascii="Arial" w:cs="Arial" w:eastAsia="Arial" w:hAnsi="Arial"/>
            <w:sz w:val="18"/>
            <w:szCs w:val="18"/>
            <w:i w:val="1"/>
            <w:iCs w:val="1"/>
            <w:u w:val="single" w:color="auto"/>
            <w:color w:val="0000FF"/>
          </w:rPr>
          <w:t>Management’s Discussion and Analysis of</w:t>
        </w:r>
      </w:hyperlink>
      <w:r>
        <w:rPr>
          <w:rFonts w:ascii="Arial" w:cs="Arial" w:eastAsia="Arial" w:hAnsi="Arial"/>
          <w:sz w:val="18"/>
          <w:szCs w:val="18"/>
          <w:color w:val="000000"/>
        </w:rPr>
        <w:t xml:space="preserve"> </w:t>
      </w:r>
      <w:hyperlink w:anchor="page79">
        <w:r>
          <w:rPr>
            <w:rFonts w:ascii="Arial" w:cs="Arial" w:eastAsia="Arial" w:hAnsi="Arial"/>
            <w:sz w:val="18"/>
            <w:szCs w:val="18"/>
            <w:i w:val="1"/>
            <w:iCs w:val="1"/>
            <w:u w:val="single" w:color="auto"/>
            <w:color w:val="0000FF"/>
          </w:rPr>
          <w:t>Financial Condition and Results of Operations</w:t>
        </w:r>
        <w:r>
          <w:rPr>
            <w:rFonts w:ascii="Arial" w:cs="Arial" w:eastAsia="Arial" w:hAnsi="Arial"/>
            <w:sz w:val="18"/>
            <w:szCs w:val="18"/>
            <w:color w:val="000000"/>
          </w:rPr>
          <w:t>” and elsewhere in this prospectus, as well as other factors which may be identified from time to time in our</w:t>
        </w:r>
      </w:hyperlink>
      <w:r>
        <w:rPr>
          <w:rFonts w:ascii="Arial" w:cs="Arial" w:eastAsia="Arial" w:hAnsi="Arial"/>
          <w:sz w:val="18"/>
          <w:szCs w:val="18"/>
          <w:i w:val="1"/>
          <w:iCs w:val="1"/>
          <w:color w:val="0000FF"/>
        </w:rPr>
        <w:t xml:space="preserve"> </w:t>
      </w:r>
      <w:r>
        <w:rPr>
          <w:rFonts w:ascii="Arial" w:cs="Arial" w:eastAsia="Arial" w:hAnsi="Arial"/>
          <w:sz w:val="18"/>
          <w:szCs w:val="18"/>
          <w:color w:val="000000"/>
        </w:rPr>
        <w:t>other filings with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38" w:lineRule="exact"/>
        <w:rPr>
          <w:rFonts w:ascii="Arial" w:cs="Arial" w:eastAsia="Arial" w:hAnsi="Arial"/>
          <w:sz w:val="18"/>
          <w:szCs w:val="18"/>
          <w:i w:val="1"/>
          <w:iCs w:val="1"/>
          <w:color w:val="0000FF"/>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realize the benefits expected from the Acquisition and the other transactions contemplated by the Merger Agreement and the related PIPE Investment;</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estimates of the sufficiency of our existing capital resources combined with future anticipated cash flows to finance our operating requirements;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expected losses;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for incurring capital expenditures to expand our research and development and manufacturing capabilities;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unforeseen circumstances or other disruptions to normal business operations, including supply chain interruptions and manufacturing constraints, arising from or related to COVID-19;</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for generating revenue or becoming profitable on a sustained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or ability to enter into service, collaboration and other partnership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or ability to build our own commercial infrastructure to scale market and sell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actions or authorizations by the U.S. Food and Drug Administration (the “FDA”) or other regulatory authorities;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governmental regulation and other legal obligations, including privacy, data protection, information security, consumer protection, and anti-corruption and anti-bribery;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compete against existing and emerging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stock price and its volatility;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third-party payor reimbursement and coverage decisions;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reliance on third-party laboratories and service providers for our test volume in connection with our diagnostic solutions and data programs;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for future capital requirements;</w:t>
      </w:r>
    </w:p>
    <w:p>
      <w:pPr>
        <w:spacing w:after="0" w:line="200" w:lineRule="exact"/>
        <w:rPr>
          <w:rFonts w:ascii="Arial" w:cs="Arial" w:eastAsia="Arial" w:hAnsi="Arial"/>
          <w:sz w:val="18"/>
          <w:szCs w:val="18"/>
          <w:i w:val="1"/>
          <w:iCs w:val="1"/>
          <w:color w:val="0000FF"/>
        </w:rPr>
      </w:pPr>
    </w:p>
    <w:p>
      <w:pPr>
        <w:spacing w:after="0" w:line="200" w:lineRule="exact"/>
        <w:rPr>
          <w:rFonts w:ascii="Arial" w:cs="Arial" w:eastAsia="Arial" w:hAnsi="Arial"/>
          <w:sz w:val="18"/>
          <w:szCs w:val="18"/>
          <w:i w:val="1"/>
          <w:iCs w:val="1"/>
          <w:color w:val="0000FF"/>
        </w:rPr>
      </w:pPr>
    </w:p>
    <w:p>
      <w:pPr>
        <w:spacing w:after="0" w:line="200" w:lineRule="exact"/>
        <w:rPr>
          <w:rFonts w:ascii="Arial" w:cs="Arial" w:eastAsia="Arial" w:hAnsi="Arial"/>
          <w:sz w:val="18"/>
          <w:szCs w:val="18"/>
          <w:i w:val="1"/>
          <w:iCs w:val="1"/>
          <w:color w:val="0000FF"/>
        </w:rPr>
      </w:pPr>
    </w:p>
    <w:p>
      <w:pPr>
        <w:spacing w:after="0" w:line="200" w:lineRule="exact"/>
        <w:rPr>
          <w:rFonts w:ascii="Arial" w:cs="Arial" w:eastAsia="Arial" w:hAnsi="Arial"/>
          <w:sz w:val="18"/>
          <w:szCs w:val="18"/>
          <w:i w:val="1"/>
          <w:iCs w:val="1"/>
          <w:color w:val="0000FF"/>
        </w:rPr>
      </w:pPr>
    </w:p>
    <w:p>
      <w:pPr>
        <w:spacing w:after="0" w:line="289" w:lineRule="exact"/>
        <w:rPr>
          <w:rFonts w:ascii="Arial" w:cs="Arial" w:eastAsia="Arial" w:hAnsi="Arial"/>
          <w:sz w:val="18"/>
          <w:szCs w:val="18"/>
          <w:i w:val="1"/>
          <w:iCs w:val="1"/>
          <w:color w:val="0000FF"/>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rFonts w:ascii="Arial" w:cs="Arial" w:eastAsia="Arial" w:hAnsi="Arial"/>
          <w:sz w:val="18"/>
          <w:szCs w:val="18"/>
          <w:i w:val="1"/>
          <w:iCs w:val="1"/>
          <w:color w:val="0000FF"/>
        </w:rPr>
      </w:pPr>
      <w:r>
        <w:rPr>
          <w:rFonts w:ascii="Arial" w:cs="Arial" w:eastAsia="Arial" w:hAnsi="Arial"/>
          <w:sz w:val="18"/>
          <w:szCs w:val="18"/>
          <w:i w:val="1"/>
          <w:iCs w:val="1"/>
          <w:color w:val="0000FF"/>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4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implement our business strategy;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factors detailed under the section entitled “</w:t>
      </w:r>
      <w:hyperlink w:anchor="page18">
        <w:r>
          <w:rPr>
            <w:rFonts w:ascii="Arial" w:cs="Arial" w:eastAsia="Arial" w:hAnsi="Arial"/>
            <w:sz w:val="18"/>
            <w:szCs w:val="18"/>
            <w:i w:val="1"/>
            <w:iCs w:val="1"/>
            <w:u w:val="single" w:color="auto"/>
            <w:color w:val="0000FF"/>
          </w:rPr>
          <w:t>Risk Factors</w:t>
        </w:r>
      </w:hyperlink>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forward-looking statements contained in this prospectus reflect our views and assumptions only as of the date of this prospectus. Except as required by law, we assume no responsibility for updating any forward-looking statements.</w:t>
      </w:r>
    </w:p>
    <w:p>
      <w:pPr>
        <w:spacing w:after="0" w:line="11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67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736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jc w:val="both"/>
        <w:spacing w:after="0" w:line="275" w:lineRule="auto"/>
        <w:rPr>
          <w:rFonts w:ascii="Arial" w:cs="Arial" w:eastAsia="Arial" w:hAnsi="Arial"/>
          <w:sz w:val="17"/>
          <w:szCs w:val="17"/>
          <w:i w:val="1"/>
          <w:iCs w:val="1"/>
          <w:color w:val="0000FF"/>
        </w:rPr>
      </w:pPr>
      <w:r>
        <w:rPr>
          <w:rFonts w:ascii="Arial" w:cs="Arial" w:eastAsia="Arial" w:hAnsi="Arial"/>
          <w:sz w:val="17"/>
          <w:szCs w:val="17"/>
          <w:color w:val="auto"/>
        </w:rPr>
        <w:t xml:space="preserve">The following summary highlights information contained in greater details elsewhere in this prospectus. This summary is not complete and does not contain all of the information you should consider in making your investment decision. You should read the entire prospectus carefully before making an investment in our Class A common stock. You should carefully consider, among other things, our </w:t>
      </w:r>
      <w:hyperlink w:anchor="page79">
        <w:r>
          <w:rPr>
            <w:rFonts w:ascii="Arial" w:cs="Arial" w:eastAsia="Arial" w:hAnsi="Arial"/>
            <w:sz w:val="17"/>
            <w:szCs w:val="17"/>
            <w:color w:val="auto"/>
          </w:rPr>
          <w:t>financial statements and related notes and the sections titled “</w:t>
        </w:r>
        <w:r>
          <w:rPr>
            <w:rFonts w:ascii="Arial" w:cs="Arial" w:eastAsia="Arial" w:hAnsi="Arial"/>
            <w:sz w:val="17"/>
            <w:szCs w:val="17"/>
            <w:i w:val="1"/>
            <w:iCs w:val="1"/>
            <w:u w:val="single" w:color="auto"/>
            <w:color w:val="0000FF"/>
          </w:rPr>
          <w:t>Risk Factors</w:t>
        </w:r>
        <w:r>
          <w:rPr>
            <w:rFonts w:ascii="Arial" w:cs="Arial" w:eastAsia="Arial" w:hAnsi="Arial"/>
            <w:sz w:val="17"/>
            <w:szCs w:val="17"/>
            <w:color w:val="auto"/>
          </w:rPr>
          <w:t>” and “</w:t>
        </w:r>
        <w:r>
          <w:rPr>
            <w:rFonts w:ascii="Arial" w:cs="Arial" w:eastAsia="Arial" w:hAnsi="Arial"/>
            <w:sz w:val="17"/>
            <w:szCs w:val="17"/>
            <w:i w:val="1"/>
            <w:iCs w:val="1"/>
            <w:u w:val="single" w:color="auto"/>
            <w:color w:val="0000FF"/>
          </w:rPr>
          <w:t>Management’s Discussion and Analysis of Financial</w:t>
        </w:r>
      </w:hyperlink>
      <w:r>
        <w:rPr>
          <w:rFonts w:ascii="Arial" w:cs="Arial" w:eastAsia="Arial" w:hAnsi="Arial"/>
          <w:sz w:val="17"/>
          <w:szCs w:val="17"/>
          <w:color w:val="auto"/>
        </w:rPr>
        <w:t xml:space="preserve"> </w:t>
      </w:r>
      <w:hyperlink w:anchor="page79">
        <w:r>
          <w:rPr>
            <w:rFonts w:ascii="Arial" w:cs="Arial" w:eastAsia="Arial" w:hAnsi="Arial"/>
            <w:sz w:val="17"/>
            <w:szCs w:val="17"/>
            <w:i w:val="1"/>
            <w:iCs w:val="1"/>
            <w:u w:val="single" w:color="auto"/>
            <w:color w:val="0000FF"/>
          </w:rPr>
          <w:t>Condition and Results of Operations</w:t>
        </w:r>
        <w:r>
          <w:rPr>
            <w:rFonts w:ascii="Arial" w:cs="Arial" w:eastAsia="Arial" w:hAnsi="Arial"/>
            <w:sz w:val="17"/>
            <w:szCs w:val="17"/>
            <w:color w:val="000000"/>
          </w:rPr>
          <w:t>” included elsewhere in this prospectus.</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patient-centered, health intelligence company with a mission to use artificial intelligence (“AI”) and machine learning to enable personalized medicine for all. Our integrated information platform leverages longitudinal patient data, AI-driven predictive modeling, and genomics in combination with other molecular and high-dimensional data in our efforts both to deliver better outcomes for patients and to transform the practice of medicine, including how disease is diagnosed, treated, and prevented.</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established one of the largest, most comprehensive, and fastest growing integrated health information platforms, collecting and leveraging genomic and clinical data in partnership with patients, healthcare providers and an extensive ecosystem of life science industry contributors. We are now generating and processing over 47 petabytes of data per month, growing by more than 1 petabyte per month, and maintaining a database that includes approximately 12 million de-identified clinical records, including more than 500,000 with genomic profiles, integrated in a way that enables physicians to proactively diagnose and manage disease. This expanding database is a virtuous cycle of data: new data enables us to further develop, train, and refine predictive models and drive differentiated insights, which models and insights we deploy through our next generation diagnostic and research solutions and portals to support clinicians and researchers and engage patients, all of which interactions generate more data to continue the cycle.</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Today, by providing differentiated insights through diagnostic testing solutions to physicians and patients across the United States (the “U.S.”) in areas such as reproductive health (“Women’s Health”), population health, and oncology (“Oncology”), we are reimbursed by payors, providers, and patients for providing these services. In collaboration with pharmaceutical and biotech (“Biopharma”) companies, we receive payments for a broad range of services relating to the aggregated data on our information platform, such as consenting and recontacting patients, the development and implementation of a wide range of predictive models, including drug discovery programs, conducting real-world evidence studies, and aiding in the identification and recruitment of patients into clinical trials. Over the next several years, we expect to focus on expanding the revenue from our health system and Biopharma partners, while also working to continue to grow the volumes and revenues from our diagnostics test solutions.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there are many companies seeking to harness the potential of “big data” to address the challenges within the healthcare ecosystem, we believe that few have the scale of our company combined with our revenue-generating diagnostics testing business and origins as a company conceived and nurtured within a world-class health system. These characteristics have enabled us to build a significant and highly differentiated technological and informational asset positioned to drive precision medicine solutions into the standard of care in an unparalleled way.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World Class Team and Unique Origins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Sema4 was founded by Eric Schadt, Ph.D. as part of Icahn School of Medicine at Mount Sinai’s Department of Genetics and Genomic Sciences and the Icahn Institute for Genomics and Multiscale Biology. Dr. Schadt is a world-renowned expert on constructing predictive models of disease that link molecular data to physiology to enable clinical medicine. He has published more than 450 peer-reviewed papers in leading scientific journals, with a public citation or h-index of 137, and contributed to discoveries relating to the genetic basis of common human diseases such as cancer, diabetes, obesity, and Alzheimer’s disease. As of December 31, 2021, we have approximately 1200 employees, including over 160 Ph.D.-level data scientists whose collective work has been recognized in areas such as data science, network modeling, multiscale biotechnology and genomics.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307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Sema4 was established out of the Mount Sinai Health System (which we refer to together with its related entities as “Mount Sinai”) and commenced operations in June 2017 as a commercial entity that could effectively engage diverse patient populations and health care institutions at scale, founded on the idea that more information, deeper AI-driven learning, and increased engagement of patients and their providers will improve diagnosis, treatment, and prevention of disease. We have since established and deployed our comprehensive and integrated genomics and information platforms, and intend to continue to expand our scale and reach through organic and inorganic growth.</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Purpose-Built, Flexible Platforms Address Immediate and Untapped Market Opportunities</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With the rapid decline in next generation sequencing costs and the increased accessibility of large scale, commoditized computer hardware and storage information products through the cloud, we expect that our core information platform, Centrellis®, supported and fueled by our genomic analysis platform, Traversa™, will be well-positioned to drive improved clinical outcomes competitively in the healthcare market.</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information platform was built to be highly adaptable to different data types and different diseases and health conditions, with the aim to deliver precision medicine and improved health outcomes across a patient’s entire life cycle. Accordingly, we expect our platforms to capitalize on a wide range of growth opportunities, and we intend to apply capital over time to make targeted acquisitions to accelerate our ability to reach a wider range of patients, integrate more deeply into clinical workflows, and address the significant, unaddressed white space for health intelligence in the healthcare ecosystem. These include a broad range of therapeutic segments, beyond our existing focus of our diagnostics solutions for Women’s Health, and Oncology, where we believe there is an immediate need for precision medicine solutions such as in autoimmune disorders, where medical care represented over $100 billion of spend in 2011, rare diseases, which is estimated to cost the U.S. healthcare system over $400 billion annually, and cardiovascular disease, where direct medical spend represents approximately $200 billion annually.</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The Centrellis platform is comprised of a data management backend that supports a wide array of databases, data warehouses, and knowledge bases, a data analytics layer to mine the data and construct predictive models that provide differentiated insights, and a series of application programmable interfaces to enable tool and software applications to access the data and models. Centrellis serves as the underlying foundation of our precision medicine solution and comprises a sophisticated data management and analytics engine. In the data management layer, our platform processes and stores data in a highly structured and accessible way, which is then analyzed by an advanced insights engine in the analytics layer that deploys state-of-the-art AI, probabilistic causal reasoning and machine learning approaches, and complementary analytics capabilities to deliver increasingly accurate insights to patients, providers, and researchers across a broad range of applications. Centrellis is designed to transform treatment decisions across multiple therapeutic areas by engaging large-scale, high-dimensional data and querying the predictive models of disease and wellness using patient-specific data to derive highly personalized, clinically actionable insights. Centrellis supports various applications, such as delivery of personalized and actionable treatment insights into clinical reports, clinical trial matching, real-world evidence trials and clinical decision support, through an advanced programmable interface (“API”) layer.</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also developed a comprehensive genomic platform, Traversa™, to serve as the backbone of our screening and diagnostic products and with the capacity to deliver molecular data that can be re-accessed, analyzed and delivered throughout a patient’s lifetime. Traversa is designed to simultaneously assay at clinical-grade coverage all known medically relevant regions of the genome, as well as survey the entirety of the human genome, to surface signals that might be medically relevant to a patient in the future. Traversa is integrated with the Centrellis information platform and is designed to adapt at the rate of learning and to match the significant pace of information and knowledge growth, especially in the genomics arena, to allow us to provide actionable, accurate, and cutting-edge insights from complex and comprehensive data assets. We also expect this platform to enable us to scale our operations and to improve our margins in generating secondary insights for patients and providers.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364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Building Richer Longitudinal Data Through Deeper Patient and Provider Engagement</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engage with patients, physicians, and health systems as partners and based on principles of transparency, choice, and consent. Driven by our direct engagement with patients and strategic relationships with multiple health systems, the database we have built contains extensive electronic medical record (“EMR”) data, totaling approximately 12 million de-identified clinical records, many with genomic profiles, and has been designed to enable Centrellis to draw from our extensive data assets in a way that enables physicians to proactively diagnose and manage disease. We expect our current and targeted strategic relationships will provide us with access to additional active patient cohorts and datasets to fuel this growth and perpetuate our iterative, data-driven business model, including by rapidly scaling our diagnostic test solutions franchise with physicians and patients through direct engagement with multiple health system partners.</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providing a majority of our current revenue and generating hundreds of thousands of genomic profiles, our established diagnostic test solutions also allow us to engage patients directly as partners, both as part of their clinical care and also acting on their behalf, with appropriate informed consent, to acquire, organize and manage any health data generated on them through the course of their care, all of which contributes to the further development of our genomics and information platforms. Further, we have demonstrated patients’ willingness to partner with us. For example, over 80% of diagnostics solutions patients and users who engaged with our patient portal have given us their informed consent to retrieve, organize, and manage their health records and data, and to facilitate their access to and sharing of that data, as well as additional data that patients share and create through their use of our expanding suite of digital experience products.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Established Diagnostic Solutions Are Scaling Rapidly</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operate a mature diagnostic business that generates revenue and engages with patients through our varied and sophisticated diagnostics and screening offerings. Our population health offerings are designed to run through our Traversa platform and give us the ability to inform on thousands of diseases and conditions, from rare disorders, to drug safety, to risk profiles across a broad range of common human diseases of significant public health concern. We have developed an array of diagnostic and screening solutions to inform across a patient’s life course, ranging from reproductive health and newborn screening to drug safety and oncology. Our Women’s Health solutions sequence and analyze an industry-leading number of genes, and use Centrellis’ interpretive information tools to translate raw sequencing and clinical data efficiently and accurately into digestible clinical reports that guide decision making by patients and physicians. Our Oncology diagnostic solutions feature both somatic tumor profiling and hereditary cancer screenings, along with a foundational whole exome and whole transcriptome sequencing approach.</w:t>
      </w:r>
    </w:p>
    <w:p>
      <w:pPr>
        <w:spacing w:after="0" w:line="12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Centrellis enables the complex interpretations of these data to identify key driver genes, activated and suppressed pathways, molecular subtypes, therapeutic interventions and matching to clinical trials. We believe our array of diverse diagnostic solutions, built on our differentiated grounding in scientific excellence and coupled with an end-to-end full-service model, have led to our rapidly growing customer bases in Women’s Health and Oncology and increasing traction with health systems, as well as deep, trusting engagement with patients.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Embedding Our Solutions Through Innovative, Deep Relationships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origins in and subsequent work with Mount Sinai have provided us with an extensive understanding of health systems, patient, and physician workflows as well as the complex interconnectivities that define patient-physician relationships. We have used this knowledge to develop our integrated health system collaboration model, where we have the capabilities necessary to integrate across health system workflows as a holistic health intelligence partner in order to deploy our comprehensive genomics and information platforms, our data curation and harmonization capabilities, and our patient and provider engagement software applications. Our solutions support our health system partners across their operations, helping them integrate a new standard of care and creating a deep relationship with us that helps both partners realize the potential of the relationship. In addition to creating diagnostic revenue and a clinical relationship with our health system partners and their patients, this engagement provides us with access to insights informed by analyzed and processed EMRs from the health system, as well as the expansive molecular information we generate from our genomics platform as the health system’s precision medicine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621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716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partner. Learning from our long-standing relationship with Mount Sinai, we have refined a health system engagement model that is both operational and economic and designed to maximize both our and our health system partner’s value from the relationship. We are currently activating and expanding our relationships with several leading health systems that will expand our access to data and that we expect will position our platforms for rapid growth and broad commercial opportunities, and have recently signed contracts with three new health systems in support of this strategy.</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Centered on Centrellis and Traversa, we have also established and continue to seek strategic relationships with Biopharma companies to enable innovation across the entire drug lifecycle, from next generation drug discovery and development, to post-market efficacy surveillance, to informing on bioavailability, toxicity, tolerability, and other features critical to drug development. We have demonstrated the ability to integrate across all aspects of the next generation therapeutic and drug development process, including: biomarker identification as part of early stage drug discovery; identification, validation and prioritization of drug targets; clinical trial patient recruitment; real-world evidence studies; and identifying new markets and indications for existing assets. We believe our solutions allow our Biopharma partners to harness the potential of big data to enable the development of next generation precision medicine therapeutics.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On April 29, 2022, we consummated the transactions contemplated by the Merger Agreement, whereby we acquired GeneDx through the Mergers and paid OPKO $150 million of Cash Consideration and issued to OPKO 80 million of Stock Consideration Shares. Concurrently with the Closing, we also consummated the PIPE Investment, issuing 50 million PIPE Shares for aggregate gross proceeds of $200 million. We have filed the registration statement to which this prospectus relates to satisfy certain registration rights obligations we have to the Selling Stockholders in respect of the Stock Consideration Shares, the Milestone Shares and the PIPE Shares.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were incorporated on July 10, 2020 as a special purpose acquisition company and a Delaware corporation under the name CM Life Sciences, Inc. (“CMLS”). On September 4, 2020, CMLS completed its initial public offering. On July 22, 2021, CMLS consummated the Business Combination with Legacy Sema4 pursuant to the Prior Merger Agreement. In connection with the Business Combination, CMLS changed its name to Sema4 Holdings Corp. (“Sema4 Holdings”).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address is 333 Ludlow Street, North Tower, 8th Floor, Stamford, Connecticut 06902. Our telephone number is 1(800) 298-6470. Our website address is https://sema4.com. Information contained on our website or connected thereto does not constitute part of, and is not incorporated by reference into, this prospectus or the registration statement of which it forms a part.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75" w:lineRule="exact"/>
        <w:rPr>
          <w:sz w:val="20"/>
          <w:szCs w:val="20"/>
          <w:color w:val="auto"/>
        </w:rPr>
      </w:pPr>
    </w:p>
    <w:p>
      <w:pPr>
        <w:jc w:val="both"/>
        <w:ind w:right="20"/>
        <w:spacing w:after="0" w:line="259" w:lineRule="auto"/>
        <w:rPr>
          <w:rFonts w:ascii="Arial" w:cs="Arial" w:eastAsia="Arial" w:hAnsi="Arial"/>
          <w:sz w:val="18"/>
          <w:szCs w:val="18"/>
          <w:color w:val="auto"/>
        </w:rPr>
      </w:pPr>
      <w:r>
        <w:rPr>
          <w:rFonts w:ascii="Arial" w:cs="Arial" w:eastAsia="Arial" w:hAnsi="Arial"/>
          <w:sz w:val="18"/>
          <w:szCs w:val="18"/>
          <w:color w:val="auto"/>
        </w:rPr>
        <w:t>In evaluating an investment in our securities, investors should carefully read the risks described below, this prospectus and especially consider the factors discussed in the section entitled “</w:t>
      </w:r>
      <w:hyperlink w:anchor="page18">
        <w:r>
          <w:rPr>
            <w:rFonts w:ascii="Arial" w:cs="Arial" w:eastAsia="Arial" w:hAnsi="Arial"/>
            <w:sz w:val="18"/>
            <w:szCs w:val="18"/>
            <w:i w:val="1"/>
            <w:iCs w:val="1"/>
            <w:u w:val="single" w:color="auto"/>
            <w:color w:val="0000FF"/>
          </w:rPr>
          <w:t>Risk Factors</w:t>
        </w:r>
      </w:hyperlink>
      <w:r>
        <w:rPr>
          <w:rFonts w:ascii="Arial" w:cs="Arial" w:eastAsia="Arial" w:hAnsi="Arial"/>
          <w:sz w:val="18"/>
          <w:szCs w:val="18"/>
          <w:color w:val="auto"/>
        </w:rPr>
        <w:t>.” If any of the following events occur, our business, financial condition and operating results may be materially adversely affected. In that event, the trading price of our securities could decline, and you could lose all or part of your investment. Such risks include, but are not limited to:</w:t>
      </w:r>
    </w:p>
    <w:p>
      <w:pPr>
        <w:spacing w:after="0" w:line="133" w:lineRule="exact"/>
        <w:rPr>
          <w:sz w:val="20"/>
          <w:szCs w:val="20"/>
          <w:color w:val="auto"/>
        </w:rPr>
      </w:pPr>
    </w:p>
    <w:p>
      <w:pPr>
        <w:ind w:left="640" w:hanging="322"/>
        <w:spacing w:after="0" w:line="277"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subject to a number of risks and uncertainties, including those risks discussed at length below. These risks include, among others, the following:</w:t>
      </w:r>
    </w:p>
    <w:p>
      <w:pPr>
        <w:spacing w:after="0" w:line="116" w:lineRule="exact"/>
        <w:rPr>
          <w:rFonts w:ascii="Arial" w:cs="Arial" w:eastAsia="Arial" w:hAnsi="Arial"/>
          <w:sz w:val="18"/>
          <w:szCs w:val="18"/>
          <w:color w:val="auto"/>
        </w:rPr>
      </w:pPr>
    </w:p>
    <w:p>
      <w:pPr>
        <w:ind w:left="960" w:hanging="318"/>
        <w:spacing w:after="0" w:line="277" w:lineRule="auto"/>
        <w:tabs>
          <w:tab w:leader="none" w:pos="956"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ongoing COVID-19 pandemic has affected and may further materially and adversely affect our business and financial results.</w:t>
      </w:r>
    </w:p>
    <w:p>
      <w:pPr>
        <w:spacing w:after="0" w:line="116" w:lineRule="exact"/>
        <w:rPr>
          <w:rFonts w:ascii="Arial" w:cs="Arial" w:eastAsia="Arial" w:hAnsi="Arial"/>
          <w:sz w:val="18"/>
          <w:szCs w:val="18"/>
          <w:color w:val="auto"/>
        </w:rPr>
      </w:pPr>
    </w:p>
    <w:p>
      <w:pPr>
        <w:ind w:left="960" w:right="20" w:hanging="318"/>
        <w:spacing w:after="0" w:line="277" w:lineRule="auto"/>
        <w:tabs>
          <w:tab w:leader="none" w:pos="956" w:val="left"/>
        </w:tabs>
        <w:numPr>
          <w:ilvl w:val="1"/>
          <w:numId w:val="3"/>
        </w:numPr>
        <w:rPr>
          <w:rFonts w:ascii="Arial" w:cs="Arial" w:eastAsia="Arial" w:hAnsi="Arial"/>
          <w:sz w:val="18"/>
          <w:szCs w:val="18"/>
          <w:color w:val="auto"/>
        </w:rPr>
      </w:pPr>
      <w:r>
        <w:rPr>
          <w:rFonts w:ascii="Arial" w:cs="Arial" w:eastAsia="Arial" w:hAnsi="Arial"/>
          <w:sz w:val="18"/>
          <w:szCs w:val="18"/>
          <w:color w:val="auto"/>
        </w:rPr>
        <w:t>We face intense competition. If we do not continue to innovate and provide products and services that are useful to users, we may not remain competitive, which could harm our business and operating results.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422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764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520" w:right="20" w:hanging="318"/>
        <w:spacing w:after="0" w:line="311" w:lineRule="auto"/>
        <w:tabs>
          <w:tab w:leader="none" w:pos="53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94" w:lineRule="exact"/>
        <w:rPr>
          <w:rFonts w:ascii="Arial" w:cs="Arial" w:eastAsia="Arial" w:hAnsi="Arial"/>
          <w:sz w:val="16"/>
          <w:szCs w:val="16"/>
          <w:color w:val="auto"/>
        </w:rPr>
      </w:pPr>
    </w:p>
    <w:p>
      <w:pPr>
        <w:ind w:left="520" w:right="20" w:hanging="318"/>
        <w:spacing w:after="0" w:line="277" w:lineRule="auto"/>
        <w:tabs>
          <w:tab w:leader="none" w:pos="516"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limited experience with the development and commercialization of our databases and our health information and genomic platforms.</w:t>
      </w:r>
    </w:p>
    <w:p>
      <w:pPr>
        <w:spacing w:after="0" w:line="116" w:lineRule="exact"/>
        <w:rPr>
          <w:rFonts w:ascii="Arial" w:cs="Arial" w:eastAsia="Arial" w:hAnsi="Arial"/>
          <w:sz w:val="18"/>
          <w:szCs w:val="18"/>
          <w:color w:val="auto"/>
        </w:rPr>
      </w:pPr>
    </w:p>
    <w:p>
      <w:pPr>
        <w:ind w:left="520" w:right="20" w:hanging="318"/>
        <w:spacing w:after="0" w:line="277" w:lineRule="auto"/>
        <w:tabs>
          <w:tab w:leader="none" w:pos="53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comply with federal and state laboratory licensing requirements or standards, we could lose the ability to perform our tests or experience disruptions to our business.</w:t>
      </w:r>
    </w:p>
    <w:p>
      <w:pPr>
        <w:spacing w:after="0" w:line="116" w:lineRule="exact"/>
        <w:rPr>
          <w:rFonts w:ascii="Arial" w:cs="Arial" w:eastAsia="Arial" w:hAnsi="Arial"/>
          <w:sz w:val="18"/>
          <w:szCs w:val="18"/>
          <w:color w:val="auto"/>
        </w:rPr>
      </w:pPr>
    </w:p>
    <w:p>
      <w:pPr>
        <w:jc w:val="both"/>
        <w:ind w:left="520" w:right="20" w:hanging="318"/>
        <w:spacing w:after="0" w:line="263" w:lineRule="auto"/>
        <w:tabs>
          <w:tab w:leader="none" w:pos="53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29" w:lineRule="exact"/>
        <w:rPr>
          <w:rFonts w:ascii="Arial" w:cs="Arial" w:eastAsia="Arial" w:hAnsi="Arial"/>
          <w:sz w:val="18"/>
          <w:szCs w:val="18"/>
          <w:color w:val="auto"/>
        </w:rPr>
      </w:pPr>
    </w:p>
    <w:p>
      <w:pPr>
        <w:jc w:val="both"/>
        <w:ind w:left="520" w:hanging="318"/>
        <w:spacing w:after="0" w:line="263" w:lineRule="auto"/>
        <w:tabs>
          <w:tab w:leader="none" w:pos="54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129" w:lineRule="exact"/>
        <w:rPr>
          <w:rFonts w:ascii="Arial" w:cs="Arial" w:eastAsia="Arial" w:hAnsi="Arial"/>
          <w:sz w:val="18"/>
          <w:szCs w:val="18"/>
          <w:color w:val="auto"/>
        </w:rPr>
      </w:pPr>
    </w:p>
    <w:p>
      <w:pPr>
        <w:ind w:left="520" w:hanging="318"/>
        <w:spacing w:after="0" w:line="342" w:lineRule="auto"/>
        <w:tabs>
          <w:tab w:leader="none" w:pos="53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69" w:lineRule="exact"/>
        <w:rPr>
          <w:rFonts w:ascii="Arial" w:cs="Arial" w:eastAsia="Arial" w:hAnsi="Arial"/>
          <w:sz w:val="16"/>
          <w:szCs w:val="16"/>
          <w:color w:val="auto"/>
        </w:rPr>
      </w:pPr>
    </w:p>
    <w:p>
      <w:pPr>
        <w:jc w:val="both"/>
        <w:ind w:left="520" w:hanging="318"/>
        <w:spacing w:after="0" w:line="259" w:lineRule="auto"/>
        <w:tabs>
          <w:tab w:leader="none" w:pos="53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132" w:lineRule="exact"/>
        <w:rPr>
          <w:rFonts w:ascii="Arial" w:cs="Arial" w:eastAsia="Arial" w:hAnsi="Arial"/>
          <w:sz w:val="18"/>
          <w:szCs w:val="18"/>
          <w:color w:val="auto"/>
        </w:rPr>
      </w:pPr>
    </w:p>
    <w:p>
      <w:pPr>
        <w:jc w:val="both"/>
        <w:ind w:left="520" w:right="20" w:hanging="318"/>
        <w:spacing w:after="0" w:line="263" w:lineRule="auto"/>
        <w:tabs>
          <w:tab w:leader="none" w:pos="51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129" w:lineRule="exact"/>
        <w:rPr>
          <w:rFonts w:ascii="Arial" w:cs="Arial" w:eastAsia="Arial" w:hAnsi="Arial"/>
          <w:sz w:val="18"/>
          <w:szCs w:val="18"/>
          <w:color w:val="auto"/>
        </w:rPr>
      </w:pPr>
    </w:p>
    <w:p>
      <w:pPr>
        <w:ind w:left="520" w:right="20" w:hanging="318"/>
        <w:spacing w:after="0" w:line="277" w:lineRule="auto"/>
        <w:tabs>
          <w:tab w:leader="none" w:pos="516"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in the development and commercialization of our enhanced or new tests or services could materially adversely affect our business, financial condition and results of operations.</w:t>
      </w:r>
    </w:p>
    <w:p>
      <w:pPr>
        <w:spacing w:after="0" w:line="116" w:lineRule="exact"/>
        <w:rPr>
          <w:rFonts w:ascii="Arial" w:cs="Arial" w:eastAsia="Arial" w:hAnsi="Arial"/>
          <w:sz w:val="18"/>
          <w:szCs w:val="18"/>
          <w:color w:val="auto"/>
        </w:rPr>
      </w:pPr>
    </w:p>
    <w:p>
      <w:pPr>
        <w:jc w:val="both"/>
        <w:ind w:left="520" w:hanging="318"/>
        <w:spacing w:after="0" w:line="286" w:lineRule="auto"/>
        <w:tabs>
          <w:tab w:leader="none" w:pos="516"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11" w:lineRule="exact"/>
        <w:rPr>
          <w:rFonts w:ascii="Arial" w:cs="Arial" w:eastAsia="Arial" w:hAnsi="Arial"/>
          <w:sz w:val="17"/>
          <w:szCs w:val="17"/>
          <w:color w:val="auto"/>
        </w:rPr>
      </w:pPr>
    </w:p>
    <w:p>
      <w:pPr>
        <w:ind w:left="520" w:right="20" w:hanging="318"/>
        <w:spacing w:after="0" w:line="277" w:lineRule="auto"/>
        <w:tabs>
          <w:tab w:leader="none" w:pos="51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operating results could be subject to significant fluctuation, which could increase the volatility of our stock and warrant prices and cause losses to our stockholders.</w:t>
      </w:r>
    </w:p>
    <w:p>
      <w:pPr>
        <w:spacing w:after="0" w:line="116" w:lineRule="exact"/>
        <w:rPr>
          <w:rFonts w:ascii="Arial" w:cs="Arial" w:eastAsia="Arial" w:hAnsi="Arial"/>
          <w:sz w:val="18"/>
          <w:szCs w:val="18"/>
          <w:color w:val="auto"/>
        </w:rPr>
      </w:pPr>
    </w:p>
    <w:p>
      <w:pPr>
        <w:jc w:val="both"/>
        <w:ind w:left="520" w:right="20" w:hanging="318"/>
        <w:spacing w:after="0" w:line="263" w:lineRule="auto"/>
        <w:tabs>
          <w:tab w:leader="none" w:pos="557"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existing operations, develop additional products and services, commercialize new products and services or expand our operations and may have difficulties raising capital depending on financial market conditions.</w:t>
      </w:r>
    </w:p>
    <w:p>
      <w:pPr>
        <w:spacing w:after="0" w:line="129" w:lineRule="exact"/>
        <w:rPr>
          <w:rFonts w:ascii="Arial" w:cs="Arial" w:eastAsia="Arial" w:hAnsi="Arial"/>
          <w:sz w:val="18"/>
          <w:szCs w:val="18"/>
          <w:color w:val="auto"/>
        </w:rPr>
      </w:pPr>
    </w:p>
    <w:p>
      <w:pPr>
        <w:ind w:left="520" w:hanging="318"/>
        <w:spacing w:after="0" w:line="277" w:lineRule="auto"/>
        <w:tabs>
          <w:tab w:leader="none" w:pos="516"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to make significant investments in our continued research and development of new products and services, which may not be successful.</w:t>
      </w:r>
    </w:p>
    <w:p>
      <w:pPr>
        <w:spacing w:after="0" w:line="116" w:lineRule="exact"/>
        <w:rPr>
          <w:rFonts w:ascii="Arial" w:cs="Arial" w:eastAsia="Arial" w:hAnsi="Arial"/>
          <w:sz w:val="18"/>
          <w:szCs w:val="18"/>
          <w:color w:val="auto"/>
        </w:rPr>
      </w:pPr>
    </w:p>
    <w:p>
      <w:pPr>
        <w:jc w:val="both"/>
        <w:ind w:left="520" w:hanging="318"/>
        <w:spacing w:after="0" w:line="257" w:lineRule="auto"/>
        <w:tabs>
          <w:tab w:leader="none" w:pos="516"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 and we will incur increased costs and demands on management as a result of compliance with internal control requirements, which could harm our operating results.</w:t>
      </w:r>
    </w:p>
    <w:p>
      <w:pPr>
        <w:sectPr>
          <w:pgSz w:w="11900" w:h="16838" w:orient="portrait"/>
          <w:cols w:equalWidth="0" w:num="1">
            <w:col w:w="9460"/>
          </w:cols>
          <w:pgMar w:left="144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6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210185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60"/>
          </w:cols>
          <w:pgMar w:left="1440" w:top="1440" w:right="99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621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716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60" w:hanging="318"/>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third-party laboratories to perform certain elements of our service offerings.</w:t>
      </w:r>
    </w:p>
    <w:p>
      <w:pPr>
        <w:spacing w:after="0" w:line="171" w:lineRule="exact"/>
        <w:rPr>
          <w:rFonts w:ascii="Arial" w:cs="Arial" w:eastAsia="Arial" w:hAnsi="Arial"/>
          <w:sz w:val="18"/>
          <w:szCs w:val="18"/>
          <w:color w:val="auto"/>
        </w:rPr>
      </w:pPr>
    </w:p>
    <w:p>
      <w:pPr>
        <w:ind w:left="960" w:right="20" w:hanging="318"/>
        <w:spacing w:after="0" w:line="277" w:lineRule="auto"/>
        <w:tabs>
          <w:tab w:leader="none" w:pos="956"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changes in FDA enforcement discretion for LDTs could subject our operations to much more significant regulatory requirements.</w:t>
      </w:r>
    </w:p>
    <w:p>
      <w:pPr>
        <w:spacing w:after="0" w:line="116" w:lineRule="exact"/>
        <w:rPr>
          <w:rFonts w:ascii="Arial" w:cs="Arial" w:eastAsia="Arial" w:hAnsi="Arial"/>
          <w:sz w:val="18"/>
          <w:szCs w:val="18"/>
          <w:color w:val="auto"/>
        </w:rPr>
      </w:pPr>
    </w:p>
    <w:p>
      <w:pPr>
        <w:jc w:val="both"/>
        <w:ind w:left="960" w:right="20" w:hanging="318"/>
        <w:spacing w:after="0" w:line="263" w:lineRule="auto"/>
        <w:tabs>
          <w:tab w:leader="none" w:pos="956"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each product and service we are developing that may require FDA premarket review prior to marketing, the FDA may not grant clearance, authorization or premarket approval and failure to obtain necessary approvals for our future products and services would adversely affect our ability to grow our business.</w:t>
      </w:r>
    </w:p>
    <w:p>
      <w:pPr>
        <w:spacing w:after="0" w:line="129" w:lineRule="exact"/>
        <w:rPr>
          <w:rFonts w:ascii="Arial" w:cs="Arial" w:eastAsia="Arial" w:hAnsi="Arial"/>
          <w:sz w:val="18"/>
          <w:szCs w:val="18"/>
          <w:color w:val="auto"/>
        </w:rPr>
      </w:pPr>
    </w:p>
    <w:p>
      <w:pPr>
        <w:ind w:left="960" w:hanging="318"/>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the HIPAA security, privacy and breach notification regulations may increase our costs.</w:t>
      </w:r>
    </w:p>
    <w:p>
      <w:pPr>
        <w:spacing w:after="0" w:line="171" w:lineRule="exact"/>
        <w:rPr>
          <w:rFonts w:ascii="Arial" w:cs="Arial" w:eastAsia="Arial" w:hAnsi="Arial"/>
          <w:sz w:val="18"/>
          <w:szCs w:val="18"/>
          <w:color w:val="auto"/>
        </w:rPr>
      </w:pPr>
    </w:p>
    <w:p>
      <w:pPr>
        <w:ind w:left="960" w:hanging="318"/>
        <w:spacing w:after="0"/>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face uncertainty related to healthcare reform, pricing, coverage and reimbursement, which could reduce our revenue.</w:t>
      </w:r>
    </w:p>
    <w:p>
      <w:pPr>
        <w:spacing w:after="0" w:line="194" w:lineRule="exact"/>
        <w:rPr>
          <w:rFonts w:ascii="Arial" w:cs="Arial" w:eastAsia="Arial" w:hAnsi="Arial"/>
          <w:sz w:val="16"/>
          <w:szCs w:val="16"/>
          <w:color w:val="auto"/>
        </w:rPr>
      </w:pPr>
    </w:p>
    <w:p>
      <w:pPr>
        <w:ind w:left="960" w:right="20" w:hanging="318"/>
        <w:spacing w:after="0" w:line="277" w:lineRule="auto"/>
        <w:tabs>
          <w:tab w:leader="none" w:pos="97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effectively protect our proprietary products, processes, and technologies, including the confidentiality of our trade secrets, could harm our competitive position.</w:t>
      </w:r>
    </w:p>
    <w:p>
      <w:pPr>
        <w:spacing w:after="0" w:line="116" w:lineRule="exact"/>
        <w:rPr>
          <w:rFonts w:ascii="Arial" w:cs="Arial" w:eastAsia="Arial" w:hAnsi="Arial"/>
          <w:sz w:val="18"/>
          <w:szCs w:val="18"/>
          <w:color w:val="auto"/>
        </w:rPr>
      </w:pPr>
    </w:p>
    <w:p>
      <w:pPr>
        <w:jc w:val="both"/>
        <w:ind w:left="960" w:hanging="318"/>
        <w:spacing w:after="0" w:line="263" w:lineRule="auto"/>
        <w:tabs>
          <w:tab w:leader="none" w:pos="983"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129" w:lineRule="exact"/>
        <w:rPr>
          <w:rFonts w:ascii="Arial" w:cs="Arial" w:eastAsia="Arial" w:hAnsi="Arial"/>
          <w:sz w:val="18"/>
          <w:szCs w:val="18"/>
          <w:color w:val="auto"/>
        </w:rPr>
      </w:pPr>
    </w:p>
    <w:p>
      <w:pPr>
        <w:ind w:left="960" w:right="20" w:hanging="318"/>
        <w:spacing w:after="0" w:line="277" w:lineRule="auto"/>
        <w:tabs>
          <w:tab w:leader="none" w:pos="956"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incur increased costs and demands on management as a result of compliance with laws and regulations applicable to public companies, which could harm our operating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Jumpstart Our Business Startups Act of 2012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1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will remain an emerging growth company until the earliest of (i) the last day of the fiscal year: (a) following September 1, 2025, the fifth anniversary of our IPO; (b) in which we have total annual gross revenue of at least $1.07 billion; or (c) in which we are deemed to be a large accelerated filer, which means the market value of our Class A common stock that is held by non-affiliates exceeds $700.0 million as of the prior June 30th, and (ii) the date on which we have issued more than $1.0 billion in non-convertible debt during the prior three-year period. References herein to “emerging growth company” have the meaning associated with it in the JOBS Act.</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of Class A common stock</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Shares of Class A common stock offered by the Selling Stockholders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Terms of the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-643890</wp:posOffset>
            </wp:positionV>
            <wp:extent cx="7136130" cy="44018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4401820"/>
                    </a:xfrm>
                    <a:prstGeom prst="rect">
                      <a:avLst/>
                    </a:prstGeom>
                    <a:noFill/>
                  </pic:spPr>
                </pic:pic>
              </a:graphicData>
            </a:graphic>
          </wp:anchor>
        </w:drawing>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Sema4 Holdings Corp.</w:t>
      </w:r>
    </w:p>
    <w:p>
      <w:pPr>
        <w:spacing w:after="0" w:line="36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Up to 160,864,198 shares of Class A common stock, consisting of</w:t>
      </w:r>
    </w:p>
    <w:p>
      <w:pPr>
        <w:spacing w:after="0" w:line="21" w:lineRule="exact"/>
        <w:rPr>
          <w:sz w:val="20"/>
          <w:szCs w:val="20"/>
          <w:color w:val="auto"/>
        </w:rPr>
      </w:pPr>
    </w:p>
    <w:p>
      <w:pPr>
        <w:ind w:left="520" w:right="520" w:hanging="5"/>
        <w:spacing w:after="0" w:line="228" w:lineRule="auto"/>
        <w:tabs>
          <w:tab w:leader="none" w:pos="765" w:val="left"/>
        </w:tabs>
        <w:numPr>
          <w:ilvl w:val="0"/>
          <w:numId w:val="6"/>
        </w:numPr>
        <w:rPr>
          <w:rFonts w:ascii="Arial" w:cs="Arial" w:eastAsia="Arial" w:hAnsi="Arial"/>
          <w:sz w:val="18"/>
          <w:szCs w:val="18"/>
          <w:color w:val="auto"/>
        </w:rPr>
      </w:pPr>
      <w:r>
        <w:rPr>
          <w:rFonts w:ascii="Arial" w:cs="Arial" w:eastAsia="Arial" w:hAnsi="Arial"/>
          <w:sz w:val="18"/>
          <w:szCs w:val="18"/>
          <w:color w:val="auto"/>
        </w:rPr>
        <w:t>up to 80,000,000 Stock Consideration Shares; (b) up to 30,864,198 Milestone Shares; and (c) up to 50,000,000 PIPE Shares.</w:t>
      </w:r>
    </w:p>
    <w:p>
      <w:pPr>
        <w:spacing w:after="0" w:line="69" w:lineRule="exact"/>
        <w:rPr>
          <w:sz w:val="20"/>
          <w:szCs w:val="20"/>
          <w:color w:val="auto"/>
        </w:rPr>
      </w:pPr>
    </w:p>
    <w:p>
      <w:pPr>
        <w:ind w:left="520"/>
        <w:spacing w:after="0" w:line="224" w:lineRule="auto"/>
        <w:rPr>
          <w:sz w:val="20"/>
          <w:szCs w:val="20"/>
          <w:color w:val="auto"/>
        </w:rPr>
      </w:pPr>
      <w:r>
        <w:rPr>
          <w:rFonts w:ascii="Arial" w:cs="Arial" w:eastAsia="Arial" w:hAnsi="Arial"/>
          <w:sz w:val="18"/>
          <w:szCs w:val="18"/>
          <w:color w:val="auto"/>
        </w:rPr>
        <w:t>The Selling Stockholders will determine when and how they will dispose of the shares of Class A common stock registered under this prospectus for resale.</w:t>
      </w:r>
    </w:p>
    <w:p>
      <w:pPr>
        <w:spacing w:after="0" w:line="24" w:lineRule="exact"/>
        <w:rPr>
          <w:sz w:val="20"/>
          <w:szCs w:val="20"/>
          <w:color w:val="auto"/>
        </w:rPr>
      </w:pPr>
    </w:p>
    <w:p>
      <w:pPr>
        <w:sectPr>
          <w:pgSz w:w="11900" w:h="16838" w:orient="portrait"/>
          <w:cols w:equalWidth="0" w:num="2">
            <w:col w:w="3980" w:space="440"/>
            <w:col w:w="5420"/>
          </w:cols>
          <w:pgMar w:left="1020" w:top="1440" w:right="1039" w:bottom="1440" w:gutter="0" w:footer="0" w:header="0"/>
        </w:sect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20"/>
                <w:szCs w:val="20"/>
                <w:color w:val="auto"/>
              </w:rPr>
            </w:pPr>
            <w:r>
              <w:rPr>
                <w:rFonts w:ascii="Arial" w:cs="Arial" w:eastAsia="Arial" w:hAnsi="Arial"/>
                <w:sz w:val="18"/>
                <w:szCs w:val="18"/>
                <w:color w:val="auto"/>
              </w:rPr>
              <w:t>Use of proceeds</w:t>
            </w:r>
          </w:p>
        </w:tc>
        <w:tc>
          <w:tcPr>
            <w:tcW w:w="4860" w:type="dxa"/>
            <w:vAlign w:val="bottom"/>
            <w:gridSpan w:val="4"/>
          </w:tcPr>
          <w:p>
            <w:pPr>
              <w:spacing w:after="0"/>
              <w:rPr>
                <w:sz w:val="20"/>
                <w:szCs w:val="20"/>
                <w:color w:val="auto"/>
              </w:rPr>
            </w:pPr>
            <w:r>
              <w:rPr>
                <w:rFonts w:ascii="Arial" w:cs="Arial" w:eastAsia="Arial" w:hAnsi="Arial"/>
                <w:sz w:val="18"/>
                <w:szCs w:val="18"/>
                <w:color w:val="auto"/>
                <w:w w:val="89"/>
              </w:rPr>
              <w:t>We will not receive any proceeds from the sale of shares of Class A</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p>
        </w:tc>
        <w:tc>
          <w:tcPr>
            <w:tcW w:w="4860" w:type="dxa"/>
            <w:vAlign w:val="bottom"/>
            <w:gridSpan w:val="4"/>
          </w:tcPr>
          <w:p>
            <w:pPr>
              <w:spacing w:after="0"/>
              <w:rPr>
                <w:sz w:val="20"/>
                <w:szCs w:val="20"/>
                <w:color w:val="auto"/>
              </w:rPr>
            </w:pPr>
            <w:r>
              <w:rPr>
                <w:rFonts w:ascii="Arial" w:cs="Arial" w:eastAsia="Arial" w:hAnsi="Arial"/>
                <w:sz w:val="18"/>
                <w:szCs w:val="18"/>
                <w:color w:val="auto"/>
              </w:rPr>
              <w:t>common stock by the Selling Stockholders.</w:t>
            </w: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Lock-up restrictions</w:t>
            </w:r>
          </w:p>
        </w:tc>
        <w:tc>
          <w:tcPr>
            <w:tcW w:w="4860" w:type="dxa"/>
            <w:vAlign w:val="bottom"/>
            <w:gridSpan w:val="4"/>
          </w:tcPr>
          <w:p>
            <w:pPr>
              <w:spacing w:after="0"/>
              <w:rPr>
                <w:sz w:val="20"/>
                <w:szCs w:val="20"/>
                <w:color w:val="auto"/>
              </w:rPr>
            </w:pPr>
            <w:r>
              <w:rPr>
                <w:rFonts w:ascii="Arial" w:cs="Arial" w:eastAsia="Arial" w:hAnsi="Arial"/>
                <w:sz w:val="18"/>
                <w:szCs w:val="18"/>
                <w:color w:val="auto"/>
              </w:rPr>
              <w:t>Certain of our stockholders may still be subject to certain</w:t>
            </w: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4860" w:type="dxa"/>
            <w:vAlign w:val="bottom"/>
            <w:gridSpan w:val="4"/>
          </w:tcPr>
          <w:p>
            <w:pPr>
              <w:spacing w:after="0" w:line="176" w:lineRule="exact"/>
              <w:rPr>
                <w:sz w:val="20"/>
                <w:szCs w:val="20"/>
                <w:color w:val="auto"/>
              </w:rPr>
            </w:pPr>
            <w:r>
              <w:rPr>
                <w:rFonts w:ascii="Arial" w:cs="Arial" w:eastAsia="Arial" w:hAnsi="Arial"/>
                <w:sz w:val="18"/>
                <w:szCs w:val="18"/>
                <w:color w:val="auto"/>
                <w:w w:val="95"/>
              </w:rPr>
              <w:t>restrictions on transfer until the termination of applicable lock-up</w:t>
            </w:r>
          </w:p>
        </w:tc>
        <w:tc>
          <w:tcPr>
            <w:tcW w:w="0" w:type="dxa"/>
            <w:vAlign w:val="bottom"/>
          </w:tcPr>
          <w:p>
            <w:pPr>
              <w:spacing w:after="0"/>
              <w:rPr>
                <w:sz w:val="1"/>
                <w:szCs w:val="1"/>
                <w:color w:val="auto"/>
              </w:rPr>
            </w:pPr>
          </w:p>
        </w:tc>
      </w:tr>
      <w:tr>
        <w:trPr>
          <w:trHeight w:val="189"/>
        </w:trPr>
        <w:tc>
          <w:tcPr>
            <w:tcW w:w="4940" w:type="dxa"/>
            <w:vAlign w:val="bottom"/>
          </w:tcPr>
          <w:p>
            <w:pPr>
              <w:spacing w:after="0"/>
              <w:rPr>
                <w:sz w:val="16"/>
                <w:szCs w:val="16"/>
                <w:color w:val="auto"/>
              </w:rPr>
            </w:pPr>
          </w:p>
        </w:tc>
        <w:tc>
          <w:tcPr>
            <w:tcW w:w="4860" w:type="dxa"/>
            <w:vAlign w:val="bottom"/>
            <w:gridSpan w:val="4"/>
          </w:tcPr>
          <w:p>
            <w:pPr>
              <w:spacing w:after="0" w:line="189" w:lineRule="exact"/>
              <w:rPr>
                <w:rFonts w:ascii="Arial" w:cs="Arial" w:eastAsia="Arial" w:hAnsi="Arial"/>
                <w:sz w:val="18"/>
                <w:szCs w:val="18"/>
                <w:color w:val="auto"/>
              </w:rPr>
            </w:pPr>
            <w:hyperlink w:anchor="page149">
              <w:r>
                <w:rPr>
                  <w:rFonts w:ascii="Arial" w:cs="Arial" w:eastAsia="Arial" w:hAnsi="Arial"/>
                  <w:sz w:val="18"/>
                  <w:szCs w:val="18"/>
                  <w:color w:val="auto"/>
                </w:rPr>
                <w:t>periods. See “</w:t>
              </w:r>
              <w:r>
                <w:rPr>
                  <w:rFonts w:ascii="Arial" w:cs="Arial" w:eastAsia="Arial" w:hAnsi="Arial"/>
                  <w:sz w:val="18"/>
                  <w:szCs w:val="18"/>
                  <w:i w:val="1"/>
                  <w:iCs w:val="1"/>
                  <w:color w:val="0000FF"/>
                </w:rPr>
                <w:t>Certain Relationships and Related Person</w:t>
              </w:r>
            </w:hyperlink>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40" w:type="dxa"/>
            <w:vAlign w:val="bottom"/>
          </w:tcPr>
          <w:p>
            <w:pPr>
              <w:spacing w:after="0"/>
              <w:rPr>
                <w:sz w:val="13"/>
                <w:szCs w:val="13"/>
                <w:color w:val="auto"/>
              </w:rPr>
            </w:pPr>
          </w:p>
        </w:tc>
        <w:tc>
          <w:tcPr>
            <w:tcW w:w="4040" w:type="dxa"/>
            <w:vAlign w:val="bottom"/>
            <w:gridSpan w:val="3"/>
          </w:tcPr>
          <w:p>
            <w:pPr>
              <w:spacing w:after="0" w:line="156" w:lineRule="exact"/>
              <w:rPr>
                <w:rFonts w:ascii="Arial" w:cs="Arial" w:eastAsia="Arial" w:hAnsi="Arial"/>
                <w:sz w:val="18"/>
                <w:szCs w:val="18"/>
                <w:i w:val="1"/>
                <w:iCs w:val="1"/>
                <w:color w:val="0000FF"/>
              </w:rPr>
            </w:pPr>
            <w:hyperlink w:anchor="page149">
              <w:r>
                <w:rPr>
                  <w:rFonts w:ascii="Arial" w:cs="Arial" w:eastAsia="Arial" w:hAnsi="Arial"/>
                  <w:sz w:val="18"/>
                  <w:szCs w:val="18"/>
                  <w:i w:val="1"/>
                  <w:iCs w:val="1"/>
                  <w:color w:val="0000FF"/>
                </w:rPr>
                <w:t>Transactions</w:t>
              </w:r>
              <w:r>
                <w:rPr>
                  <w:rFonts w:ascii="Arial" w:cs="Arial" w:eastAsia="Arial" w:hAnsi="Arial"/>
                  <w:sz w:val="18"/>
                  <w:szCs w:val="18"/>
                  <w:color w:val="000000"/>
                </w:rPr>
                <w:t>.”</w:t>
              </w:r>
            </w:hyperlink>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b w:val="1"/>
                <w:bCs w:val="1"/>
                <w:color w:val="auto"/>
              </w:rPr>
              <w:t>Nasdaq symbols</w:t>
            </w:r>
          </w:p>
        </w:tc>
        <w:tc>
          <w:tcPr>
            <w:tcW w:w="920" w:type="dxa"/>
            <w:vAlign w:val="bottom"/>
            <w:shd w:val="clear" w:color="auto" w:fill="0000FF"/>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vMerge w:val="continue"/>
          </w:tcPr>
          <w:p>
            <w:pPr>
              <w:spacing w:after="0"/>
              <w:rPr>
                <w:sz w:val="21"/>
                <w:szCs w:val="21"/>
                <w:color w:val="auto"/>
              </w:rPr>
            </w:pPr>
          </w:p>
        </w:tc>
        <w:tc>
          <w:tcPr>
            <w:tcW w:w="4860" w:type="dxa"/>
            <w:vAlign w:val="bottom"/>
            <w:gridSpan w:val="4"/>
          </w:tcPr>
          <w:p>
            <w:pPr>
              <w:spacing w:after="0"/>
              <w:rPr>
                <w:sz w:val="20"/>
                <w:szCs w:val="20"/>
                <w:color w:val="auto"/>
              </w:rPr>
            </w:pPr>
            <w:r>
              <w:rPr>
                <w:rFonts w:ascii="Arial" w:cs="Arial" w:eastAsia="Arial" w:hAnsi="Arial"/>
                <w:sz w:val="18"/>
                <w:szCs w:val="18"/>
                <w:color w:val="auto"/>
                <w:w w:val="94"/>
              </w:rPr>
              <w:t>Our Class A common stock and public warrants are listed on the</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p>
        </w:tc>
        <w:tc>
          <w:tcPr>
            <w:tcW w:w="4860" w:type="dxa"/>
            <w:vAlign w:val="bottom"/>
            <w:gridSpan w:val="4"/>
          </w:tcPr>
          <w:p>
            <w:pPr>
              <w:spacing w:after="0"/>
              <w:rPr>
                <w:sz w:val="20"/>
                <w:szCs w:val="20"/>
                <w:color w:val="auto"/>
              </w:rPr>
            </w:pPr>
            <w:r>
              <w:rPr>
                <w:rFonts w:ascii="Arial" w:cs="Arial" w:eastAsia="Arial" w:hAnsi="Arial"/>
                <w:sz w:val="18"/>
                <w:szCs w:val="18"/>
                <w:color w:val="auto"/>
                <w:w w:val="99"/>
              </w:rPr>
              <w:t>Nasdaq under the symbols SMFR and SMFRW, respectively.</w:t>
            </w:r>
          </w:p>
        </w:tc>
        <w:tc>
          <w:tcPr>
            <w:tcW w:w="0" w:type="dxa"/>
            <w:vAlign w:val="bottom"/>
          </w:tcPr>
          <w:p>
            <w:pPr>
              <w:spacing w:after="0"/>
              <w:rPr>
                <w:sz w:val="1"/>
                <w:szCs w:val="1"/>
                <w:color w:val="auto"/>
              </w:rPr>
            </w:pPr>
          </w:p>
        </w:tc>
      </w:tr>
    </w:tbl>
    <w:p>
      <w:pPr>
        <w:spacing w:after="0" w:line="48" w:lineRule="exact"/>
        <w:rPr>
          <w:sz w:val="20"/>
          <w:szCs w:val="20"/>
          <w:color w:val="auto"/>
        </w:rPr>
      </w:pPr>
    </w:p>
    <w:p>
      <w:pPr>
        <w:sectPr>
          <w:pgSz w:w="11900" w:h="16838" w:orient="portrait"/>
          <w:cols w:equalWidth="0" w:num="1">
            <w:col w:w="9840"/>
          </w:cols>
          <w:pgMar w:left="1020" w:top="1440" w:right="10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Risk factors</w:t>
      </w:r>
    </w:p>
    <w:p>
      <w:pPr>
        <w:spacing w:after="0" w:line="374"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color w:val="auto"/>
        </w:rPr>
        <w:t>Shares of Class A common stock outstanding as of April 30, 2022</w:t>
      </w:r>
    </w:p>
    <w:p>
      <w:pPr>
        <w:spacing w:after="0" w:line="20" w:lineRule="exact"/>
        <w:rPr>
          <w:sz w:val="20"/>
          <w:szCs w:val="20"/>
          <w:color w:val="auto"/>
        </w:rPr>
      </w:pPr>
      <w:r>
        <w:rPr>
          <w:sz w:val="20"/>
          <w:szCs w:val="20"/>
          <w:color w:val="auto"/>
        </w:rPr>
        <w:br w:type="column"/>
      </w:r>
    </w:p>
    <w:p>
      <w:pPr>
        <w:ind w:right="240"/>
        <w:spacing w:after="0" w:line="224" w:lineRule="auto"/>
        <w:rPr>
          <w:rFonts w:ascii="Arial" w:cs="Arial" w:eastAsia="Arial" w:hAnsi="Arial"/>
          <w:sz w:val="18"/>
          <w:szCs w:val="18"/>
          <w:color w:val="auto"/>
          <w:highlight w:val="white"/>
        </w:rPr>
      </w:pPr>
      <w:r>
        <w:rPr>
          <w:rFonts w:ascii="Arial" w:cs="Arial" w:eastAsia="Arial" w:hAnsi="Arial"/>
          <w:sz w:val="18"/>
          <w:szCs w:val="18"/>
          <w:color w:val="auto"/>
          <w:highlight w:val="white"/>
        </w:rPr>
        <w:t>See “</w:t>
      </w:r>
      <w:hyperlink w:anchor="page18">
        <w:r>
          <w:rPr>
            <w:rFonts w:ascii="Arial" w:cs="Arial" w:eastAsia="Arial" w:hAnsi="Arial"/>
            <w:sz w:val="18"/>
            <w:szCs w:val="18"/>
            <w:i w:val="1"/>
            <w:iCs w:val="1"/>
            <w:color w:val="0000FF"/>
          </w:rPr>
          <w:t>Risk Factors</w:t>
        </w:r>
      </w:hyperlink>
      <w:r>
        <w:rPr>
          <w:rFonts w:ascii="Arial" w:cs="Arial" w:eastAsia="Arial" w:hAnsi="Arial"/>
          <w:sz w:val="18"/>
          <w:szCs w:val="18"/>
          <w:color w:val="auto"/>
          <w:highlight w:val="white"/>
        </w:rPr>
        <w:t>” and other information included in this prospectus for a discussion of factors you should consider before investing in our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377,249,186</w:t>
      </w:r>
    </w:p>
    <w:p>
      <w:pPr>
        <w:spacing w:after="0" w:line="222" w:lineRule="exact"/>
        <w:rPr>
          <w:sz w:val="20"/>
          <w:szCs w:val="20"/>
          <w:color w:val="auto"/>
        </w:rPr>
      </w:pPr>
    </w:p>
    <w:p>
      <w:pPr>
        <w:sectPr>
          <w:pgSz w:w="11900" w:h="16838" w:orient="portrait"/>
          <w:cols w:equalWidth="0" w:num="2">
            <w:col w:w="4560" w:space="380"/>
            <w:col w:w="4900"/>
          </w:cols>
          <w:pgMar w:left="1020" w:top="1440"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40"/>
          </w:cols>
          <w:pgMar w:left="1020" w:top="1440" w:right="1039" w:bottom="1440" w:gutter="0" w:footer="0" w:header="0"/>
          <w:type w:val="continuous"/>
        </w:sectPr>
      </w:pPr>
    </w:p>
    <w:bookmarkStart w:id="18" w:name="page19"/>
    <w:bookmarkEnd w:id="1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spacing w:after="0" w:line="270" w:lineRule="auto"/>
        <w:rPr>
          <w:rFonts w:ascii="Arial" w:cs="Arial" w:eastAsia="Arial" w:hAnsi="Arial"/>
          <w:sz w:val="17"/>
          <w:szCs w:val="17"/>
          <w:i w:val="1"/>
          <w:iCs w:val="1"/>
          <w:color w:val="0000FF"/>
        </w:rPr>
      </w:pPr>
      <w:r>
        <w:rPr>
          <w:rFonts w:ascii="Arial" w:cs="Arial" w:eastAsia="Arial" w:hAnsi="Arial"/>
          <w:sz w:val="17"/>
          <w:szCs w:val="17"/>
          <w:i w:val="1"/>
          <w:iCs w:val="1"/>
          <w:color w:val="auto"/>
        </w:rPr>
        <w:t xml:space="preserve">You should carefully review and consider the following risk factors and the other information contained in this prospectus, including our financial </w:t>
      </w:r>
      <w:hyperlink w:anchor="page79">
        <w:r>
          <w:rPr>
            <w:rFonts w:ascii="Arial" w:cs="Arial" w:eastAsia="Arial" w:hAnsi="Arial"/>
            <w:sz w:val="17"/>
            <w:szCs w:val="17"/>
            <w:i w:val="1"/>
            <w:iCs w:val="1"/>
            <w:color w:val="auto"/>
          </w:rPr>
          <w:t xml:space="preserve">statements and notes to the financial statements and the section titled “ </w:t>
        </w:r>
        <w:r>
          <w:rPr>
            <w:rFonts w:ascii="Arial" w:cs="Arial" w:eastAsia="Arial" w:hAnsi="Arial"/>
            <w:sz w:val="17"/>
            <w:szCs w:val="17"/>
            <w:i w:val="1"/>
            <w:iCs w:val="1"/>
            <w:u w:val="single" w:color="auto"/>
            <w:color w:val="0000FF"/>
          </w:rPr>
          <w:t>Management’s Discussion and Analysis of Financial Condition and Results of</w:t>
        </w:r>
      </w:hyperlink>
      <w:r>
        <w:rPr>
          <w:rFonts w:ascii="Arial" w:cs="Arial" w:eastAsia="Arial" w:hAnsi="Arial"/>
          <w:sz w:val="17"/>
          <w:szCs w:val="17"/>
          <w:i w:val="1"/>
          <w:iCs w:val="1"/>
          <w:color w:val="auto"/>
        </w:rPr>
        <w:t xml:space="preserve"> </w:t>
      </w:r>
      <w:hyperlink w:anchor="page79">
        <w:r>
          <w:rPr>
            <w:rFonts w:ascii="Arial" w:cs="Arial" w:eastAsia="Arial" w:hAnsi="Arial"/>
            <w:sz w:val="17"/>
            <w:szCs w:val="17"/>
            <w:i w:val="1"/>
            <w:iCs w:val="1"/>
            <w:u w:val="single" w:color="auto"/>
            <w:color w:val="0000FF"/>
          </w:rPr>
          <w:t>Operations</w:t>
        </w:r>
        <w:r>
          <w:rPr>
            <w:rFonts w:ascii="Arial" w:cs="Arial" w:eastAsia="Arial" w:hAnsi="Arial"/>
            <w:sz w:val="17"/>
            <w:szCs w:val="17"/>
            <w:i w:val="1"/>
            <w:iCs w:val="1"/>
            <w:color w:val="000000"/>
          </w:rPr>
          <w:t>” in this prospectus, before deciding whether to invest in our Class A common stock. We cannot assure you that any of the events discussed</w:t>
        </w:r>
      </w:hyperlink>
      <w:r>
        <w:rPr>
          <w:rFonts w:ascii="Arial" w:cs="Arial" w:eastAsia="Arial" w:hAnsi="Arial"/>
          <w:sz w:val="17"/>
          <w:szCs w:val="17"/>
          <w:i w:val="1"/>
          <w:iCs w:val="1"/>
          <w:color w:val="0000FF"/>
        </w:rPr>
        <w:t xml:space="preserve"> </w:t>
      </w:r>
      <w:r>
        <w:rPr>
          <w:rFonts w:ascii="Arial" w:cs="Arial" w:eastAsia="Arial" w:hAnsi="Arial"/>
          <w:sz w:val="17"/>
          <w:szCs w:val="17"/>
          <w:i w:val="1"/>
          <w:iCs w:val="1"/>
          <w:color w:val="000000"/>
        </w:rPr>
        <w:t>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net revenue and future prospects. In such event, the trading price of our Class A common stock could decline, and you could lose all or part of your investment. We may face additional risks and uncertainties that are not presently known to us, or that we currently deem immaterial, which may also impair our business or financial condition. The following discussion should be read in conjunction with the financial statements and notes to the financial statements included herein.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Industry and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ongoing COVID-19 pandemic has affected and may further materially and adversely affect our business and financial results.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ongoing COVID-19 pandemic, together with related precautionary measures in response to the initial outbreak and resurgences, materially disrupted our business during certain periods in 2020 and 2021 and may continue to disrupt our business for an unknown period of time. Since the initial outbreak, the territories in which we market, sell, distribute and perform our tests and performs our health information and data science services continue to address the COVID-19 pandemic in varying ways, including stay-at-home orders, temporarily closing businesses, restricting gatherings, restricting travel, and mandating social distancing, face coverings and proof of vaccination. Despite recent progress in the administration of vaccines, the future impact and the level and nature of the disruption caused by the COVID-19 pandemic continues to be unpredictable, may be cyclical and long-lasting and may vary from location to location, and the emergence of new variant strains of COVID-19, including Delta and Omicron, in regions that have reopened have necessitated, and may in the future necessitate, renewed government restrictions. As a result, we experienced a significant impact to our 2020 and 2021 operating results, including our order volumes, revenues, margins, and cash utilization, among other measures and may experience further impacts in future periods depending on the evolution of the COVID-19 pandemic.</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Throughout 2020 and 2021, both we and our partners undertook a number of precautionary measures in response to the virus, including requiring employees to work remotely, restricting travel and limiting interactions in person, and we expect to adjust our precautionary measures at our various locations based on local recovery levels, vaccination rates and applicable governmental regulations. For example, a portion of our sales force has recommenced field-based interactions, although access to healthcare providers remains impaired and the industry continues to resume normal activities. Our business could be negatively affected in the future if it takes excessive, ineffective or inadequate precautions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ongoing COVID-19 pandemic has materially impacted our business in 2020 and 2021 and may continue to impact our business for an unknown period of time. Such impacts have included and may include the following:</w:t>
      </w:r>
    </w:p>
    <w:p>
      <w:pPr>
        <w:spacing w:after="0" w:line="116" w:lineRule="exact"/>
        <w:rPr>
          <w:sz w:val="20"/>
          <w:szCs w:val="20"/>
          <w:color w:val="auto"/>
        </w:rPr>
      </w:pPr>
    </w:p>
    <w:p>
      <w:pPr>
        <w:jc w:val="both"/>
        <w:ind w:left="660" w:right="2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Healthcare providers or patients have canceled or delayed scheduling, and for an extended period of time may continue to cancel or delay scheduling, standard wellness visits and other non-emergency appointments and procedures (including oncology and pregnancy-related screenings), contributing to a decline in orders for our products or services;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Restrictions on travel, commerce and shipping may prevent patients and pathologists from shipping samples to our clinical laboratories;</w:t>
      </w:r>
    </w:p>
    <w:p>
      <w:pPr>
        <w:spacing w:after="0" w:line="182" w:lineRule="exact"/>
        <w:rPr>
          <w:rFonts w:ascii="Arial" w:cs="Arial" w:eastAsia="Arial" w:hAnsi="Arial"/>
          <w:sz w:val="17"/>
          <w:szCs w:val="17"/>
          <w:color w:val="auto"/>
        </w:rPr>
      </w:pPr>
    </w:p>
    <w:p>
      <w:pPr>
        <w:ind w:left="660" w:hanging="328"/>
        <w:spacing w:after="0" w:line="342"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Illnesses, quarantines, financial hardships, restrictions on travel, commerce and shipping, or other consequences of the pandemic, may disrupt our supply chain or other business relationships, and we or other parties may assert rights under force majeure clauses to excuse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44" w:lineRule="exact"/>
        <w:rPr>
          <w:sz w:val="20"/>
          <w:szCs w:val="20"/>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experienced, and for an extended period of time may continue to experience, reduced volumes at our clinical laboratories and we may need to suspend operations at some or all of our clinical laboratories;</w:t>
      </w:r>
    </w:p>
    <w:p>
      <w:pPr>
        <w:spacing w:after="0" w:line="116"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taken, and may take additional, cost cutting measures, which may hinder our efforts to commercialize our products or delay the development of future products and services. Further, we might not realize all of the cost savings we expect to achieve as a result of those efforts;</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and our partners have postponed or cancelled clinical studies, which may delay or prevent our launch of future products and services;</w:t>
      </w:r>
    </w:p>
    <w:p>
      <w:pPr>
        <w:spacing w:after="0" w:line="182"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Some or all of our workforce, much of which continues to work remotely in an effort to reduce the spread of COVID-19, may be infected by the virus or otherwise distracted;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combination of factors, including infection from the virus, supply shortfalls, and inability to obtain or maintain equipment, could adversely affect our lab capacity and our ability to meet the demand for our testing services;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inaccurately estimate the duration or severity of the COVID-19 pandemic, which could cause us to misalign our staffing, spending, activities and precautionary measures with current or future market conditions.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Despite our efforts, the ultimate impact of the COVID-19 pandemic, or the impact of the emergence of new strains of the virus and any future resurgences of COVID-19 or variant strains, depends on factors beyond our knowledge or control, including availability and distribution of effective medical treatments and vaccines, the duration and severity of the pandemic, third-party actions taken to contain its spread and mitigate its public health effects and short- and long-term changes in the behaviors of medical professionals and patients resulting from the pandemic.</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Additionally, the economic consequences of the COVID-19 pandemic have, and may continue to, adversely impacted financial markets, resulting in high share price volatility, reduced market liquidity, and substantial declines in the market prices of the securities of many publicly traded companies. Volatile or declining markets for equities could adversely affect our ability to raise capital in the future when needed through the sale of shares of Class A common stock or other equity or equity-linked securities. If these market conditions persist when and if we need to raise capital, and if we are able to sell shares of our Class A common stock under then prevailing market conditions, we might have to accept lower prices for our shares and issue a larger number of shares than might have been the case under better market conditions, resulting in significant dilution of the interests of our stockholders.</w:t>
      </w:r>
    </w:p>
    <w:p>
      <w:pPr>
        <w:spacing w:after="0" w:line="11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Due to the high degree of uncertainty regarding the implementation and impact of the CARES Act and other legislation related to COVID-19, there can be no assurance that we will be able to comply with the applicable terms and conditions of the CARES Act and retain such assistance.</w:t>
      </w:r>
    </w:p>
    <w:p>
      <w:pPr>
        <w:spacing w:after="0" w:line="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to the net interest deduction limitations. The CARES Act and similar legislation intended to provide assistance related to the COVID-19 pandemic also authorized $175.0 billion in funding to be distributed by the U.S. Department of Health and Human Services (“HHS”) to eligible health care providers. This funding, known as the Provider Relief Fund, is designated to fund eligible healthcare providers’ healthcare-related expenses or lost revenues attributable to COVID-19. On December 27, 2020, the Consolidated Appropriations Act, 2021 was signed into law, which adds $3.0 billion to the Provider Relief Fund. Payments from the Provider Relief Fund are subject to certain eligibility criteria, as well as reporting and auditing requirements, but do not need to be repaid to the U.S. government if recipients comply with the applicable terms and conditions.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2020, we received $5.4 million as part of the stimulus, comprised of $2.6 million received under the Provider Relief Fund (“PRF”) distribution and $2.8 million received under the Employee Retention Credit (“ERC”)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distribution. In 2021, we received an additional $5.6 million under the PRF distribution. 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the eligibility requirements were met. However, subsequent to the filing of the application, our revenue was revised due to a change in estimate as a result of finalizing our accounting records, which impacted the applicable periods and calculations for determining eligibility, and may no longer meet the eligibility requirements. As such, we have deferred the recognition of the ERC distribution and recorded the proceeds in other liabilities on the balance sheets as of December 31, 2021 and December 31, 2020.</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Due to the high degree of uncertainty regarding the implementation of the CARES Act, the Consolidated Appropriations Act, 2021 and other stimulus legislation, and due to our revenue revisions, there can be no assurance that the terms and conditions of the PRF, ERC or other relief programs will not change or be interpreted in ways that affect our ability to comply with such terms and conditions in the future, which could affect our ability to retain such assistance. We will continue to monitor our compliance with the terms and conditions of the PRF, including demonstrating that the distributions received have been used for healthcare-related expenses or lost revenue attributable to COVID-19, and the ERC. If we are unable to comply with current or future terms and conditions, our ability to retain some or all of the distributions received may be impacted, and we may be subject to actions including payment recoupment, audits and inquiries by governmental authorities, and criminal, civil or administrative penalties.</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Other companies or institutions may develop and market novel or improved technologies, which may make our technologies less competitive or obsolete.</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operate in a rapidly evolving and highly competitive industry. There are a number of private and public companies that offer products or services or have announced that they are developing products or services that compete, or may one day compete, with our products or services. Some of our current and potential competitors possess greater brand recognition, financial and other resources and development capabilities than we do. As the fields of genomic analysis and health information become more widely known to the public, we anticipate that competition will further increase. We expect to compete with a broad range of organizations in the U.S. and other countries that are engaged in the development, production and commercialization of genetic screening products, including women’s health and oncology screening products, health information services, and analytics, and data science services, and other diagnostic products. These competitors include:</w:t>
      </w:r>
    </w:p>
    <w:p>
      <w:pPr>
        <w:spacing w:after="0" w:line="141" w:lineRule="exact"/>
        <w:rPr>
          <w:sz w:val="20"/>
          <w:szCs w:val="20"/>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companies that offer clinical, research and data clinical services, molecular genetic testing and other clinical diagnostics, life science research and drug discovery services, data services and healthcare analytics, and consumer genetics products;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academic and scientific institutions;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governmental agencies;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public and private research organizations.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be unable to compete effectively against our competitors either because their products and services are superior or because they may have more expertise, experience, financial resources, or stronger business relationships. These competitors may have broader product lines and greater name recognition than we do. Furthermore, we must compete successfully in our existing markets, including women’s health and oncology, but also in any new markets we expand into. Even if we successfully develop new marketable products or services, our current and future competitors may develop products and services that are more commercially attractive than ours, and they may bring those products and services to market earlier or more effectively than we are able to. If we are unable to compete successfully against current or future competitors, we may be unable to increase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acceptance for and sales of our tests and services, which could prevent us from increasing or sustaining our revenues or achieving sustained profitability.</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intense competition. If we do not continue to innovate and provide products and services that are useful to users, we may not remain competitive, which could harm our business and operating results.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environment is rapidly evolving and intensely competitive. Our businesses face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businesses evolve, the competitive pressure to innovate will encompass a wider range of products and services. We must continue to invest significant resources in research and development, including through acquisitions and collaborations, joint ventures and partnerships, in order to enhance our current diagnostics and health information and data science technologies, and existing and new products and services based off these technologies.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many competitors in different industries. Our current and potential domestic and international competitors range from large and established companies to emerging start-ups in addition to academic and scientific institutions, and public and private research organizations. Some competitors have longer operating histories in various sectors. They can use their experience and resources in ways that could affect our competitive position, including by making acquisitions, continuing to invest heavily in research and development and in talent, initiating intellectual property claims (whether or not meritorious), and continuing to compete aggressively for our customers and partners in the market for health information and data science products and services. Our competitors may be able to innovate and provide products and services faster than we can or may foresee the need for products and services before we do.</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operating results may also suffer if our products and services are not responsive to the needs of our customers and partners. As technologies continue to develop, our competitors may be able to offer products and services that are, or that are seen to be, substantially similar to or better than our current products and services. This may force us to compete in different ways and expend significant resources in order to remain competitive. If our competitors are more successful than us in developing compelling products and services for or in attracting and retaining customers or partners in the market for health information and data science products and services, our operating results could be harmed.</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increase the number of billable tests and our revenue therefrom will depend on our success in achieving reimbursement for our tests from third-party payors. Reimbursement by a payor may depend on a number of factors, including a payer’s determination that a test is appropriate, medically necessary, cost-effective and has received prior authorization. The commercial success of our current and future products, if approved, will depend on the extent to which our customers receive coverage and adequate reimbursement from third-party payors, including managed care organizations and government payers (e.g., Medicare and Medicaid).</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Since each payer makes its own decision as to whether to establish a policy or enter into a contract to cover our tests, as well as the amount it will reimburse for a test, seeking these approvals is a time-consuming and costly process. In addition, the determination by a payer to cover and the amount it will reimburse for our tests will likely be made on an indication-by-indication basis and may consider our billing practices and reimbursements from other payors and from our patient billing programs. To date, we have obtained policy-level reimbursement approval or contractual reimbursement for some indications for our tests from most of the large commercial third-party payors in the United States, and the Centers for Medicare &amp; Medicaid Services (“CMS”) provides reimbursement for our multi-gene tests for hereditary breast and ovarian cancer-related disorders as well as other tests. We believe that establishing adequate reimbursement from Medicare is an important factor in gaining adoption from healthcare providers. Our claims for reimbursement from third-party payors may be denied upon submission, and we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the payments for our tests are paid or reimbursed under insurance programs with third-party payors. To contain reimbursement and utilization rates, third-party payors often attempt to, or do in fact, amend or renegotiate their fee reimbursement schedules. Loss of revenue caused by third-party payor cost containment efforts or an inability to negotiate satisfactory reimbursement rates could have a material adverse effect on our revenue and results of operations.</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Furthermore, in cases where we or our partners have established reimbursement rates with third-party payors, we face additional challenges in complying with their procedural requirements for reimbursement. These requirements often vary from payer to payer and are reassessed by third party payors on a regular basis, and we have needed additional time and resources to comply with them. We have also experienced, and may continue to experience, delays in or denials of coverage if we do not adequately comply with these requirements. Our third-party payors have also requested, and in the future may request, audits of the amounts paid to us. We have been required to repay certain amounts to payers as a result of such audits, and we could be adversely affected if we are required to repay other payers for alleged overpayments due to lack of compliance with their reimbursement policies. In addition, we have experienced, and may continue to experience, delays in reimbursement when we transition to being an in-network provider with a payer.</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continue to focus our resources on increasing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our business could suffer.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limited experience with the development and commercialization of our databases and our health information and genomic platforms.</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limited experience with the development or commercialization of clinical or research products in connection with the databases we manage and to which we have access, including our Centrellis and Traversa platforms. Our partners’ usage of an advanced machine learning engine for therapeutic decision-making are at an early stage of development and usage under current and proposed collaborations, and we are continuing to develop new processes that may support the development of new therapeutics applications such as the delivery of personalized clinically actionable insights into clinical reports, clinical trial matching, real-world evidence trials, and clinical decision support, via an advanced programmable interface layer. Although our partners have invested significant financial resources to develop and utilize new technologies to support preclinical studies and other early research and development activities, and provide general and administrative support for these operations, our future success is dependent on our current and future partners’ ability to successfully derive actionable insights from the database and our platform, and our partners’ ability, where applicable, to obtain regulatory approval for new therapeutic solutions based off existing models or to obtain regulatory approval and marketing for, and to successfully commercialize, new therapeutics. The use of our platform and the databases it manages and to which it has access for these purposes will require additional regulatory investments for Centrellis, such as “good practice” quality guidelines and regulations (“GxP”) and data quality and integrity controls.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Ethical, legal and social concerns related to the use of genomic medicine and health information analysis could reduce demand for our tests.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consent for our use of their data. These and other ethical, legal and social concerns may limit market acceptance of our tests or services or reduce the potential markets for our tests, or services either of which could have an adverse effect on our business, research, financial condition or results of operations.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federal and state laboratory licensing requirements or standards, we could lose the ability to perform our tests or experience disruptions to our business.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Clinical Laboratory Improvement Amendments of 1988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certification is also required in order for us to be eligible to bill state and federal healthcare programs, as well as many private third-party payors, for our tests. We have current CLIA, CAP, and other certifications to conduct our tests at our laboratories in Connecticut. To renew these certifications, we are subject to survey and inspection on a regular basis and at the request of the certifying bodies. Moreover, CLIA inspectors may make random inspections of our clinical reference laboratories.</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would also be required to maintain in-state licenses if we were to conduct testing in other states. Several states require the licensure of out-of-state laboratories that accept specimens from certain states.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having laboratory licenses in New York, our clinical reference laboratories are approved on test-specific bases for the tests they run as laboratory-developed tests (“LDTs”) by the New York State Department of Health (“NYDOH”). Other states may adopt similar licensure requirements in the future, which may require us to modify, delay or stop our operations in such jurisdictions.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samples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Failure to comply with applicable clinical laboratory licensure requirements or standards may result in a range of enforcement actions, including license suspension, limitation, or revocation, directed plan of action, onsite monitoring, civil monetary penalties, criminal sanctions, and cancellation of the laboratory’s approval to receive Medicare and Medicaid payment for our services, as well as significant adverse publicity. Any sanction imposed under CLIA, its implementing regulations, or state or foreign laws or regulations governing clinical laboratory licensure, or our failure to renew our CLIA certifications,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College of American Pathologists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CAP accreditations for our laboratories. Failure to maintain CAP accreditation could have a material adverse effect on the sales of our tests and the results of our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GeneDx’s Business and Operations</w:t>
      </w:r>
    </w:p>
    <w:p>
      <w:pPr>
        <w:spacing w:after="0" w:line="1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GeneDx needs to scale its infrastructure in advance of demand for its tests, and its failure to generate sufficient demand for its tests would have a negative impact on its business and its ability to attain profitability.</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GeneDx’s success depends in large part on its ability to extend its market position, to provide customers with high-quality test reports quickly and at a lower price than its competitors, and to achieve sufficient test volume to realize economies of scale. GeneDx’s overall test volumes grew from approximately 134 thousand to 169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tests processed during the years ended December 31, 2020 and 2021. In addition, GeneDx regularly evaluates and refines its testing process, often significantly updating its workflows, including with respect to exome sequencing and whole genome sequencing. In order to execute GeneDx’s business model, it intends to continue to invest heavily in order to significantly scale its infrastructure, including GeneDx’s testing capacity, particularly, with respect to exome sequencing and whole genome sequencing to supplement its panel testing capabilities, and information systems, expand its commercial operations, customer service, billing and systems processes and enhance its internal quality assurance program. GeneDx expects that much of this growth will be in advance of demand for its tests. GeneDx’s and Sema4’s current and future expense levels are to a large extent fixed and are largely based on investment plans and estimates of future revenue. Because the timing and amount of revenue from GeneDx’s tests is difficult to forecast, when revenue does not meet expectations, GeneDx may not be able to adjust its spending promptly or reduce spending to levels commensurate with its revenue. Even if GeneDx successfully scales its infrastructure and operations, there can be no assurance that tests will increase at levels consistent with the growth of GeneDx’s infrastructure. If GeneDx fails to generate demand commensurate with this growth or if it fails to scale its infrastructure sufficiently in advance of demand to successfully meet such demand, its business, prospects, financial condition and results of operations could be adversely affected.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GeneDx is not able to continue to generate substantial demand of its tests, its commercial success will be negatively affected.</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GeneDx’s business model assumes that it will be able to generate significant test volume, particularly with respect to exome sequencing and whole genome sequencing in addition to its panel testing offerings, and it may not succeed in continuing to drive adoption of its tests to achieve sufficient volumes. Inasmuch as detailed genetic data from exome and whole genome sequencing has only recently become available at relatively affordable prices, the continued pace and degree of clinical acceptance of the utility of such testing is uncertain. Specifically, it is uncertain how much genetic data will be accepted as necessary or useful, as well as how detailed that data should be, particularly since medical practitioners may have become accustomed to genetic testing that is specific to one or a few genes and may not embrace the utility of exome sequencing and whole genome sequencing. Given the substantial amount of additional information available from a broad-based testing panel such as GeneDx’s, there may be distrust as to the reliability of such information when compared with more limited and focused genetic tests. To generate further demand for GeneDx’s tests, GeneDx will need to continue to make clinicians aware of the benefits of its tests, including the price, the breadth of its testing options, and the benefits of having additional genetic data available from which to make treatment decisions. A lack of or delay in clinical acceptance of GeneDx’s exome sequencing and whole genome sequencing testing, or its legacy broad-based panels testing, would negatively impact sales and market acceptance of GeneDx’s tests and limit its revenue growth and potential profitability. Genetic testing is expensive and many potential customers may be sensitive to pricing. In addition, potential customers may not adopt GeneDx’s tests if adequate reimbursement is not available, or if GeneDx is not able to maintain low prices relative to its competitors.</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GeneDx is not able to generate demand for its tests at sufficient volume, or if it takes significantly more time to generate this demand than GeneDx anticipates, GeneDx’s business, prospects, financial condition and results of operations could be materially harmed.</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GeneDx has devoted a portion of its resources to the development and commercialization of exome sequencing and whole genome sequencing, and to research and development activities related to such sequencing and the analysis thereof, including clinical and regulatory initiatives to obtain diagnostic clearance and marketing approval. The demand for these regulated products is relatively unproven, and GeneDx may not be successful in achieving market awareness and demand for these products through its and, following completion of the Acquisition, Sema4’s sales and marketing operations.</w:t>
      </w:r>
    </w:p>
    <w:p>
      <w:pPr>
        <w:spacing w:after="0" w:line="10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GeneDx’s laboratories become inoperable due to disasters, health epidemics or for any other reasons, it will be unable to perform tests and its business will be harmed.</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GeneDx performs all of its tests at its production facilities in Gaithersburg, Maryland. GeneDx’s laboratories and the equipment it uses to perform its tests would be costly to replace and could require substantial lead time to replace and qualify for use. GeneDx’s laboratories may be harmed or rendered inoperable by natural or man-made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disasters, including flooding, fire and power outages, or by health epidemics, which may render it difficult or impossible for GeneDx to perform its tests for some period of time. The inability to perform GeneDx’s tests or the backlog that could develop if its laboratories are inoperable for even a short period of time may result in the loss of customers or harm its reputation. Although GeneDx maintains insurance for damage to its property and the disruption of its business, this insurance may not be sufficient to cover all potential losses and may not continue to be available to GeneDx on acceptable terms, if at all.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Model</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performance, including our research and development programs and laboratory operations, largely depends on our continuing ability to identify, hire, develop, motivate and retain highly skilled personnel for all areas of our organization, including software developers, geneticists, biostatisticians, bioinformaticians, data scientists, certified laboratory directors and technicians and other scientific and technical personnel to process and interpret our tests and related data. In addition, we may need to continue to expand our sales force with qualified and experienced personnel. Competition in our industry for qualified employees is intense, and we may not be able to attract or retain qualified personnel in the future due to the competition for qualified personnel among life science and technology businesses as well as universities and public and private research institutions, particularly in the New York City and the tri-state area. Further, we may be unable to obtain the necessary visas for foreign personnel to work in the United States. In addition, our compensation arrangements, such as our equity award programs, may not always be successful in attracting new employees and retaining and motivating our existing employees. If we are not able to attract and retain the necessary personnel to accomplish our business objectives, we may experience constraints that could adversely affect our ability to scale our business, support our research and development efforts and our clinical laboratories.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member or change in structure of our senior management team could adversely affect our business.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success depends in large part upon the skills, experience and performance of members of our executive management team and others in key leadership positions. The efforts of these persons will be critical to us as we continue to develop our technologies and test processes and focus on scaling our business. If we were to lose one or more key executives, including our Chief Executive Officer, Katherine Stueland, and our founder, president and Chief Research &amp; Development Officer, Dr. Eric Schadt, we may experience difficulties in competing effectively, developing our tests and technologies and implementing our business strategy. Only certain of our executives have employment contracts, and the majority of our employees are at-will, which means that either we or any employee may terminate their employment at any time or in the notice period set forth in an executive’s contract. In particular, in connection with the closing of the Acquisition, Dr. Schadt ceased serving as our Chief Executive Officer and we have not yet entered into a new employment contract with Dr. Schadt. We also do not carry key person insurance for any of our executives or employees. In addition, we do not have long-term retention agreements in place with our executive officers. Furthermore, we compete against other leading companies in the diagnostics, health information, and data sciences markets for top talent. If such competitors offer better compensation or opportunities, there is no guarantee that we would be able to retain our key executives.</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founder, president and Chief Research &amp; Development Officer, Eric Schadt, and certain other of our employees have performed, and will continue to perform, duties for or on behalf of Mount Sinai.</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founder, president and Chief Research &amp; Development Officer, Eric Schadt, and certain of our other employees continue to perform duties for or on behalf of the Mount Sinai Health System, which refer to together with its related entities as Mount Sinai. In the case of Dr. Schadt, in addition to serving as our president and Chief Research &amp; Development Officer and as a director, Dr. Schadt also serves as the Dean for Precision Medicine and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professor at Icahn School of Medicine at Mount Sinai (“ISMMS”). We expect Dr. Schadt to continue to devote a substantial amount of time to the research and development responsibilities for our company while maintaining certain duties for Mount Sinai. Though we do not expect Dr. Schadt’s role as our president and Chief Research &amp; Development Officer and a director to conflict with his roles at Mount Sinai, there can be no guarantee that such conflicts will not occur in the future.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manage our future growth effectively, which could make it difficult to execute our business strategy.</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expected future growth could create a strain on our organizational, administrative and operational infrastructure, including data and laboratory operations, quality control, customer service, marketing and sales, and management. We may not be able to maintain the quality of or expected turnaround times for our products or services, or satisfy customer demand as it grows. We may need to continue expanding our sales force to facilitate our growth, and we may have difficulties locating, recruiting, training and retaining sales personnel. Our ability to manage our growth effectively will require us to continue to improve our operational, financial and management controls, as well as our reporting systems and procedures. As we grow, any failure of our controls or interruption of our facilities or systems could have a negative impact on our business and financial operations. We plan to develop and launch new versions of our Centrellis and Traversa platforms and our core diagnostic products, which will affect a broad range of business processes and functional areas. The time and resources required to implement these new systems is uncertain, and failure to complete these activities in a timely and efficient manner could adversely affect our operations. Future growth in our business could also make it difficult for it to maintain our corporate culture. If we are unable to manage our growth effectively, it may be difficult for us to execute our business strategy and our business could be harmed.</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success depends in large part on our ability to extend our market position, to provide customers with high-quality health reports and health information and data science services in a manner that differentiates us from our competitors, and to deploy technologies and achieve sufficient volumes to realize economies of scale. In order to execute our business model, we intend to continue to invest heavily in order to significantly scale our infrastructure, including our lab infrastructure and testing capacity and our information and computing systems, expand our commercial operations, customer service, billing and systems processes and enhance our internal quality assurance program. We will also need to enhance our capacity for data privacy management as we scale our infrastructure. We expect that much of this growth will be in advance of both demand for our products and services as well as our ability to diversify our offerings, including services related to Centrellis and Traversa and the databases we manage and to which we have access, and our ability to find appropriate partners through collaborations and acquisitions. Our current and future expense levels are to a large extent fixed and are largely based on our investment plans and our estimates of future revenue. Because the timing and amount of revenue from our products and services are difficult to forecast, when revenue does not meet our expectations, we may not be able to adjust our spending promptly or reduce our spending to levels commensurate with our revenue. Even if we are able to successfully scale our infrastructure and operations while successfully diversifying our offering, we cannot assure you that demand for our products and services, including our Centrellis platform, will increase at levels consistent with the growth of our infrastructure. If we fail to generate demand commensurate with this growth or if we fail to scale our infrastructure sufficiently in advance of demand to successfully meet such demand, our business, prospects, financial condition and results of operations could be adversely affected.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could expose us to business, regulatory, political, operational, financial and economic risks associated with doing business outside of the United States.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cleared, authorized or approved, we and our collaborators may market, sell, and distribute our products and services outside of the United States, and our business would be subject to risks associated with doing business outside of the United States, including an increase in our expenses and diversion of our management’s attention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the development of future products and services. Accordingly, our business and financial results in the future could be adversely affected due to a variety of factors, including:</w:t>
      </w:r>
    </w:p>
    <w:p>
      <w:pPr>
        <w:spacing w:after="0" w:line="116" w:lineRule="exact"/>
        <w:rPr>
          <w:sz w:val="20"/>
          <w:szCs w:val="20"/>
          <w:color w:val="auto"/>
        </w:rPr>
      </w:pPr>
    </w:p>
    <w:p>
      <w:pPr>
        <w:jc w:val="both"/>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security and data use regulations, tax laws, export and import restrictions, economic sanctions and embargoes, employment laws, anticorruption laws, regulatory requirements, reimbursement or payer regimes and other governmental;</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approvals, permits and licenses;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by us, our collaborators or our distributors to obtain regulatory clearance, authorization or approval for the use of our products and services in various countries;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complexities and difficulties in obtaining intellectual property protection and enforcing our 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including repatriating foreign earned profits;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negotiating favorable reimbursement negotiations with governmental authorities;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samples, including infrastructure conditions and transportation delays;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 if we are not able to conduct our clinical diagnostic services locally;</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services and exposure to foreign currency exchange rate fluctuations;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international regulations and license requirements that may restrict foreign investment in and operation of the internet, IT infrastructure, data centers and other sectors, and international transfers of data;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and outbreak of disease;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boycotts, curtailment of trade and other business restrictions; and</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distributors’ activities that may fall within the purview of the Foreign Corrupt Practices Act of 1977 (“FCPA”), its books and records provisions, or its anti-bribery provisions or laws similar to the FCPA in other jurisdictions in which we may in the future operate, such as the United Kingdom’s Bribery Act of 2010 and anti-bribery requirements of member states in the European Union (“EU”).</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Any of these factors could significantly harm our future international expansion and operations and, consequently, our revenue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U.S. or global economic conditions could adversely affect our business, financial condition or results of operations.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financial markets. A severe or prolonged economic downturn or increase in inflation rates could result in a variety of risks to our business, including weakened demand for our products and services and our ability to raise additional capital when needed on favorable terms, if at all. A weak declining or inflationary economy could strain our collaborators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and suppliers,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sourced and will continue to source components of our diagnostic testing workflow, including sequencers and other laboratory equipment, reagents, lab supplies and other laboratory services and materials and related services, from third parties.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failure to maintain a continued supply of our sequencers and other laboratory equipment, reagents, lab supplies and other laboratory services and materials, along with the right to use certain hardware and software and related services, would adversely impact our business, financial condition, and results of operations. In particular, while we are seeking to validate our tests on additional sequencing platforms we have not, to date, validated a viable alternative sequencing platform on which our testing could be run in a commercially viable manner. These efforts will require significant resources, expenditures and time and attention of management, and there is no guarantee that we will be successful in implementing any such sequencing platforms in a commercially sustainable way. We also cannot guarantee that we will appropriately prioritize or select alternative sequencing platforms on which to focus our efforts, in particular given our limited product and research and development resources and various business initiatives, which could result in increased costs and delayed timelines or otherwise adversely impact our business and results of operations.</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Because we rely on third-party manufacturers, we do not control the manufacture of these components, including whether such components will meet our quality control requirements, nor the ability of our suppliers to comply with applicable legal and regulatory requirements. In many cases, our suppliers are not contractually required to supply these components to the quality or performance standards that we require. If the supply of components we receive does not meet our quality control or performance standards, we may not be able to use the components, or if we use them not knowing that they are of inadequate quality, which occasionally occurs with respect to certain reagents, our tests may not work properly or at all, or may provide erroneous results, and we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our third-party manufacturers' facilities that cause a loss of manufacturing capacity would heighten the risks that it faces.</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event of any adverse developments with our sole suppliers, or if any of our sole suppliers modifies any of the components they supply to us, our ability to supply our products may be interrupted, and obtaining substitute components could be difficult or require us to re-design or re-validate our products. Our failure to maintain a continued supply of components, or a supply that meets our quality control requirements, or changes to or termination of our agreements or inability to renew our agreements with these parties or enter into new agreements with other suppliers could result in the loss of access to important components of our tests and impact our test performance or affect our ability to perform our tests in a timely manner or at all, which could impair, delay or suspend our commercialization activities. In the event that we transition to a new supplier from any of our sole suppliers, doing so could be time-consuming and expensive, may result in interruptions in our ability to supply our products to the market, could affect the performance of our tests or could require that we re-validate our affected tests using replacement equipment and supplies, which could delay the performance of our tests, impact diagnostic solutions and heath information derived from such tests, and result in increased costs. Any of these occurrences could have a material adverse effect on our business, financial condition and results of operations.</w:t>
      </w:r>
    </w:p>
    <w:p>
      <w:pPr>
        <w:spacing w:after="0" w:line="1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a limited number of product and service providers for data infrastructure and analytics capabilities, and any disruption of, or interference with, our use of data and workflow services could adversely affect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business, financial condition, and results of operations, and we may not be able to find replacements or immediately transition to alternative products or service providers.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rely upon third-party services for data storage and workflow management, including cloud storage solution providers, such as Amazon Web Services (“AWS”) and Google Cloud Platform (“GCP”). We rely on each of AWS and GCP features to complete several vital workflows in our health information and data science service delivery. To varying degrees some of those services are proprietary to how each platform performs in connection with our current usage of the services. Further, we have also built several proprietary workflows with our vendor and partner Command Health where we maintain versions of developed software on such platforms.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Nearly all of our data storage and analytics are conducted on, and the data and content we generate on our platforms are processed through, servers hosted by these providers, particularly AWS and GCP. We also rely on email service providers, bandwidth providers, internet service providers and mobile networks to deliver communications to patients, physicians and partners and to allow patients, physicians and our partners to access various offerings from our platforms.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AWS or GCP, and if such agreements are terminated, we may not be able to enter into similar relationships in the future on reasonable terms or at all.</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Any damage to, or failure of, our systems or the systems of our third-party data centers or our other third-party providers could result in interruptions to the availability or functionality of database and platforms. As a result, we could lose health information data and miss opportunities to acquire and retain patients, physicians and partners including health systems and pharmaceutical and biotech companies,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 provide. We could incur additional expense in arranging for new or redesigned facilities, technology, services and support. In addition, the failure of our third-party data centers or any other third-party providers to meet our capacity needs or any system failure as a result of reliance on third parties, including network, software or hardware failure, which causes a delay or interruption in our services and products, including our ability to handle existing or increased processing of data on our platforms, could have a material adverse effect on our business, revenues, operating results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and future products and services may never achieve significant commercial market acceptance.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depends on the market’s confidence that we can provide data-driven research and diagnostic products and services that improve clinical outcomes, lower healthcare costs and enable better product development by Biopharma companies. Failure of our products and services, or those jointly developed with our collaborators, to perform as expected or to be updated to meet market demands could significantly impair our operating results and our reputation. We believe patients, health systems, clinicians, academic institutions and Biopharma companies are likely to be particularly sensitive to defects, errors, inaccuracies and delays with our products and services. Furthermore, inadequate performance of these products or services may result in lower confidence in our Centrellis platform in general.</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and our collaborators may not succeed in achieving significant commercial market acceptance for our current or future products and services due to a number of factors, including:</w:t>
      </w:r>
    </w:p>
    <w:p>
      <w:pPr>
        <w:spacing w:after="0" w:line="116" w:lineRule="exact"/>
        <w:rPr>
          <w:sz w:val="20"/>
          <w:szCs w:val="20"/>
          <w:color w:val="auto"/>
        </w:rPr>
      </w:pPr>
    </w:p>
    <w:p>
      <w:pPr>
        <w:jc w:val="both"/>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demonstrate the utility of our platforms including Centrellis and Traversa, and related products and services and their potential advantages over existing clinical artificial intelligence technology, life sciences research, clinical diagnostic and drug discovery technologies to academic institutions, Biopharma companies and the medical community;</w:t>
      </w:r>
    </w:p>
    <w:p>
      <w:pPr>
        <w:spacing w:after="0" w:line="129"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and that of our collaborators, to perform clinical trials or other research to gather adequate evidence and/or to secure and maintain FDA and other regulatory clearance authorization or approval for our products or products developed based off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44" w:lineRule="exact"/>
        <w:rPr>
          <w:sz w:val="20"/>
          <w:szCs w:val="20"/>
          <w:color w:val="auto"/>
        </w:rPr>
      </w:pPr>
    </w:p>
    <w:p>
      <w:pPr>
        <w:ind w:left="660" w:hanging="328"/>
        <w:spacing w:after="0" w:line="308"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agreement by third-party payors to reimburse our products or services, the scope and extent of which will affect patients’ willingness or ability to pay for our products or services and will likely heavily influence physicians’ decisions to recommend our products or services;</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of adoption of our platforms and related products and services by academic institutions, clinicians, patients, key opinion leaders, advocacy groups and Biopharma companies;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our investments in product and services, and technological innovation and commercial growth.</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our customers and collaborators, including Mount Sinai, may decide to decrease or discontinue their use of our products and services due to changes in their research and development plans, failures in their clinical trials, financial constraints, the regulatory environment, negative publicity about our products and services, competing products or the reimbursement landscape, all of which are circumstances outside of our control. We may not be successful in addressing these or other factors that might affect the market acceptance of our products, services and technologies. Failure to achieve widespread market acceptance of our platform and related products and services would materially harm our business, financial condition and results of operations.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13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operate in rapidly changing and competitive industries and our projections are subject to the risks and assumptions made by our management with respect to these industries. Operating results are difficult to forecast as they generally depend on our assessment of the timing of adoption of our current and future products and services, which is uncertain. Furthermore, as we invest in the continued development of new businesses that have yet to achieve significant commercial success, whether because of competition or otherwise, we may not recover the often substantial up-front costs of developing and marketing those products and services or recover the opportunity cost of diverting management and financial resources away from other products or services. Additionally, our business may be affected by reductions in customer or partner demand as a result of a number of factors which may be difficult to predict. Similarly, our assumptions and expectations with respect to margins and the pricing of our products and services may not prove to be accurate as a result of competitive pressures or customer or partner demands. This may result in decreased revenue, and we may be unable to adopt measures in a timely manner to compensate for any unexpected shortfall in revenue. This inability could cause our operating results in a given quarter or year to be higher or lower than expected. Any failure to achieve our projected operating results could harm the trading price of our securities and our financial position.</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estimated the sizes of the markets for our current and future products and services, and these markets may be smaller than we estimate.</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estimates of the annual addressable markets for our current products and services and those under development are based on a number of internal and third-party estimates, including, without limitation, the number of patients who have developed one or more of a broad range of cancers, the number of individuals who are at a higher risk for developing one or more of a broad range of cancers, the number of individuals who have developed or are at a higher risk of developing certain disorders, the number of individuals with certain infectious diseases. The estimates also depend on whether we or our collaborators are able to engage, diagnose or treat patients through or using our products and services, the number of potential clinical tests utilized per treatment course per patient, the ongoing engagement by patients, physicians and health systems on our platforms, and the assumed prices at which we can sell our current and future products and services for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addressable market for our current or future products and services may prove to be incorrect. If the actual number of patients who would benefit from our products or services, the price at which we can sell future products and services or the 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addressable market for our products or services is smaller than we have estimated, it may impair our sales growth and have an adverse impact on our business.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Uncertainty in the development and commercialization of our enhanced or new tests or services could materially adversely affect our business, financial condition and results of operations.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success will depend in part on our ability to effectively introduce enhanced or new offerings. The focus of our research and development efforts has expanded beyond our current products and services, focused substantially on women’s health and oncology, as we are now also applying our expertise in processing and analyzing new areas, such as rare diseases. In recent years we have developed and/or launched several new products or enhanced versions of existing products, including products leveraging alternative sequencing technologies, and we expect to continue our efforts in all of these areas and more. The development and launch of enhanced or new tests requires the completion of certain clinical development and commercialization activities that are complex, costly, time-intensive and uncertain, and requires us to accurately anticipate patients', clinicians', payors' and other counterparties' attitudes and needs as well as emerging technology and industry trends. This process is conducted in various stages, and each stage presents the risk that we will not achieve our goals.</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relatively limited experience developing and commercializing products and services outside of the fields of women’s health and oncology diagnostics, and we may not be successful in our current or future efforts to do so. We also have limited experience forecasting our future financial performance from our new products and services, and our actual results may fall below our financial guidance or other projections, or the expectations of analysts or investors, which could cause the price of our Class A common stock and warrants to decline. We may experience research and development, regulatory, marketing and other difficulties that could delay or prevent our introduction of enhanced or new tests and result in increased costs and the diversion of management's attention and resources from other business matters, such as from our current product and service offerings, which currently represent the significant majority of our current revenues. For example, any tests that we may enhance or develop may not prove to be clinically effective in clinical trials or commercially, or may not meet our desired target product profile, be offered at acceptable cost and with the sensitivity, specificity and other test performance metrics necessary to address the relevant clinical need or commercial opportunity; our test performance in commercial experience may be inconsistent with our validation or other clinical data; we may not be successful in achieving market awareness and demand, whether through our own sales and marketing operations or through collaborative arrangements; healthcare providers may not order or use, or third-party payors may not reimburse for, any tests that we may enhance or develop; or we may otherwise have to abandon a test or service in which we have invested substantial resources. For example, we are subject to the risk that the biological characteristics of the genetic mutations we seek to target, and upon which our technologies rely, are uncertain and difficult to predict. We may also experience unforeseen difficulties when implementing updates to our processes.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cannot assure you that we can successfully complete the development of any new or enhanced product, or that we can establish or maintain the collaborative relationships that may be essential to our collaborators’ goals, including clinical development or commercialization efforts. For example, clinical development requires large numbers of patient specimens and, for certain products, may require large, prospective, and controlled clinical trials. We may not be able to identify and help enroll patients or collect a sufficient amount of appropriate health data in a timely manner; or we may experience delays during data analysis process due to slower than anticipated supplies of patient data, or due to changes in study design or inputs, or other unforeseen circumstances; or we or our collaborators may be unable to afford or manage the large-sized clinical trials that some of our planned future products may require. Further, the publication of clinical data in peer-reviewed journals is a crucial step in commercializing and obtaining reimbursement for certain diagnostic solutions such as the ones offered by us, and our inability to control when, if ever, results are published may delay or limit our ability to derive sufficient revenues from any diagnostic solution that is the subject of or component in a study. Peer-reviewed publications regarding our products may be limited by many factors, including delays in the completion of, poor design of, or lack of compelling data from, clinical studies, as well as delays in the review, acceptance and publication process. If our diagnostic solutions or the technology underlying our current and future diagnostic solutions do not receive sufficient favorable exposure in peer-reviewed publications, the rate of clinician adoption of our diagnostic solutions and positive reimbursement coverage determinations for our diagnostic solutions could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development of the data necessary to obtain regulatory clearance and approval of tests is time-consuming and carries with it the risk of not yielding the desired results. The performance achieved in published studies may not be repeated in later studies that may be required to obtain premarket clearance or approval from the FDA. Limited results from earlier-stage verification studies may not predict results from studies in larger numbers of subjects drawn from more diverse populations over longer periods of time. Unfavorable results from ongoing preclinical and clinical studies may delay, limit or prevent regulatory approvals or clearances or commercialization of our product candidates, or could result in delays, modifications or abandonment of ongoing analytical or future clinical studies, or abandonment of a product development program, any of which could have a material adverse effect on our business, operating results or financial condition.</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and other factors beyond our control could result in delays or other difficulties in the research and development, approval, production, launch, marketing or distribution of enhanced or new tests and could adversely affect our competitive position and results of operations.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Accessing, combining, curating, and analyzing health information, including longitudinal patient medical history data and genetic data, are core features of the Centrellis platform and key elements of our long term business model. The regulatory landscape around the storage, processing and deidentification of genetic data is evolving globally and greatly impacts the ability of us, our strategic partners and collaborators to process and use the data in connection with our products and services.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limited resources to conduct our health information services, data analysis, life sciences research, clinical diagnostics and drug discovery operations and have not yet fully established infrastructure for sales, marketing or distribution in connection with our products and services. Accordingly, we have entered into service and collaboration agreements under which our partners, including health systems, have provided, and may in the future provide, funding, data access, and other resources for developing and potentially commercializing our products and services. These collaborations may result in us incurring significant expenses in pursuit of potential products and services, and we may not be successful in identifying, developing or commercializing any potential products or services.</w:t>
      </w:r>
    </w:p>
    <w:p>
      <w:pPr>
        <w:spacing w:after="0" w:line="13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future success depends in part on our ability to maintain and grow our existing relationships, including with Mount Sinai, and to establish new relationships. Many factors may impact the success of such collaborations, including our ability to perform our obligations, our collaborators’ satisfaction with our products and services, our collaborators’ performance of their obligations to us, our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Our ability to support such collaborations may also depend on factors outside of our control including the willingness of patients to engage with us and share their data, societal perspectives on privacy, and the willingness of health systems to establish collaborations, relationships and programs utilizing their data, all of which may impact the utility of these databases and the insights we will be able to generate from expanding datasets. In addition to reducing our revenue or delaying the development of our future products and services, the loss of one or more of these relationships may reduce our access to research, longitudinal patient health data, clinical trials or computing technologies that facilitate the collection and incorporation of new information into the databases we manage and to which we have access. All of the risks relating to product and service development, regulatory clearance, authorization or approval and commercialization described herein apply to us derivatively through the activities of our collaborators. We engage in conversations with companies regarding potential collaborations on an 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our existing or potential collaborations can be a catalyst for adverse speculation about us, or our products or services, which can adversely affect our reputation and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products and services do not perform as expected, we may not realize the expected benefits of such products and services.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success of our products depends on the market’s confidence that we can provide reliable products and services that enable high quality diagnostic testing and health information services with high sensitivity and specificity and short turnaround times. There is no guarantee that the accuracy and reproducibility we have demonstrated to date will continue as our product deliveries increase and our product and service portfolio expands.</w:t>
      </w:r>
    </w:p>
    <w:p>
      <w:pPr>
        <w:spacing w:after="0" w:line="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we anticipate or result in longer than expected turnaround times. In addition, labs are required to validate their processes before using our products for clinical purposes. These validations are outside of our control. If our products do not perform, or are perceived to not have performed, as expected or favorably in it to competitive products, our operating results, reputation, and business will suffer, and we may also be subject to legal claims arising from product limitations, errors, or inaccuracies.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sales and development or other collaborations and commercial relationships are not successful and we are not able to offset the resulting impact through our own efforts or through agreements with new partners, our commercialization activities may be impaired and our financial results could be adversely affected.</w:t>
      </w:r>
    </w:p>
    <w:p>
      <w:pPr>
        <w:spacing w:after="0" w:line="13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Part of our business strategy is to develop relationships with health systems, biopharma companies, and other partners to utilize our products and to provide access to data. Developing and commercializing products with third parties reduces our control over such development and commercialization efforts and subjects us to the various risks inherent in a joint effort with a third party, such as delays, operational issues, technical difficulties and other contingencies outside of our influence or control. The financial condition of these third parties could weaken, or they could terminate their relationship with us and/or stop sharing data or other information; reduce their marketing efforts relating to our products; develop and commercialize, or otherwise utilize competing products in addition to or in lieu of our tests; merge with or be acquired by a competitor of us or a company that chooses to de-prioritize the efforts to utilize our products or provide us with adequate data; or otherwise breach their agreements with us. Further, we must expend resources to operationalize our existing collaborations with our health system partners, which requires substantial effort in areas such as integrations for testing workflow, EMR, consents, marketing, and billing. To the extent, we are not successful at operationalizing existing collaborations with health partners, we may not be able to further improve or pursue new agreements with additional partners. Furthermore, our partners may misappropriate our trade secrets or use our proprietary information in such a way as to expose us to litigation and potential liability; and our compliance risk may increase to the extent that we are responsible for our partners' activities. Disagreements or disputes with our health systems and other partners, including disagreements over customers, proprietary or other rights or our or their compliance with financial or other contractual obligations, might cause delays or impair the development or commercialization of our products, services, and technologies, lead to additional responsibilities for us with respect to new products, services and technologies, or result in litigation or arbitration, any of which would divert management attention and resources and be time-consuming and expensive. As is typical for companies in our industry, it is continually evaluating and pursuing various strategic or commercial relationships, some of which may involve the sale and issuance of our Class A common stock, which could result in additional dilution of the percentage ownership of our stockholders and could cause the price of our Class A common stock and warrants to decline.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our relationships are not successful, our ability to develop and improve of products, services and technologies, and to successfully execute our commercial strategy regarding such products, services and technologies, could be compromised.</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deploy and maintain effective sales, marketing and medical affairs capabilities, we will have difficulty achieving market awareness and selling our products and services.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achieve commercial success for our tests and our future products and services, we must continue to develop and grow our sales, marketing and medical affairs organizations to effectively explain to healthcare providers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reliability, effectiveness and benefits of our current and future products and services as compared to alternatives. We may not be able to successfully manage our dispersed or inside sales forces or our sales force may not be effective. Because of the competition for their services, we may be unable to hire, partner with or retain additional qualified sales representatives or marketing or medical affairs personnel, either as our employees or independent contractors or through independent sales or other third-party organizations. Market competition for commercial, marketing and medical affairs talent is significant, and we may not be able to hire or retain such talent on commercially reasonable terms, if at all.</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Establishing and maintaining sales, marketing and medical affairs capabilities will be expensive and time-consuming. Our expenses associated with maintaining our sales force may be disproportionate to the revenues we may be able to generate on sales of the certain tests or any future products or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never become profitable.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Sema4 has incurred losses since Sema4 was formed and we expect to continue to generate significant operating losses for the foreseeable future. As of December 31, 2021 and December 31, 2020, we have an accumulated deficit of approximately $575.4 million and $330.1 million, respectively. We expect to continue investing significantly toward development and commercialization of our health information technology and other products and services. If our revenue does not grow significantly, we will not be profitable. We cannot be certain that the revenue from the sale of any products or services based on our technologies will be sufficient to make us profitable.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operating results could be subject to significant fluctuation, which could increase the volatility of our stock and warrant prices and cause losses to our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results of operations may fluctuate significantly, depending on a variety of factors, including the following:</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success in marketing and selling, and changes in demand for, our tests, and the level of reimbursement and collection obtained for such tests;</w:t>
      </w:r>
    </w:p>
    <w:p>
      <w:pPr>
        <w:spacing w:after="0" w:line="194"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seasonal and environmental variations affecting healthcare provider recommendations for our tests and patient compliance with healthcare provider recommendations, including without limitation holidays, weather events, and circumstances such as the outbreak of coronavirus or influenza that may limit patient access to medical practices for diagnostic tests and preventive services;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success in collecting payments from third-party payors, patients and collaborative partners, variation in the timing of these payments and recognition of these payments as revenues;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pricing of our tests, including potential changes in CMS or other reimbursement rates;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circumstances affecting our ability to provide our tests, including weather events, supply shortages, or regulatory or other circumstances that adversely affect our ability to manufacture our tests or process tests in our clinical laboratories;</w:t>
      </w:r>
    </w:p>
    <w:p>
      <w:pPr>
        <w:spacing w:after="0" w:line="116"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circumstances affecting our ability to provide health information and data science services to biopharma partners, including software or hardware failures, insufficient capacity, regulatory changes or other circumstances that adversely affect the ability of us to deliver these services;</w:t>
      </w:r>
    </w:p>
    <w:p>
      <w:pPr>
        <w:spacing w:after="0" w:line="6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the amount and timing of our selling and marketing costs and our ability to manage costs and expenses and effectively implement our business;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research and development activities, including the timing of clinical trials;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collect, use, and commercialize data in a changing regulatory environment at a time when the public is growing increasingly concerned about privacy.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 growth rate could decline over time, and it may experience downward pressure on our operating margins in the future.</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revenue growth rate could decline over time as a result of a number of factors, including increasing competition and the continued expansion of our business into a variety of new fields. Changes in geographic mix and product and service mix and an increasing competition for tests may also affect our revenue growth rate. We may also experience a decline in our revenue growth rate as our revenues increase to higher levels, if there is a decrease in the rate of adoption of our products, services, and technologies, among other factors.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a decline in our revenue growth rate, we may also experience downward pressure on our gross operating margins resulting from a variety of factors, such as the continued expansion of our business into new fields, including new products and services, as well as significant investments in new areas, all of which may have margins lower than those that we generate from testing. We may also experience downward pressure on our gross operating margins from increasing competition and increased costs for many aspects of our business. We may also pay increased fees to our partners as well as increased acquisition costs. We may also face an increase in infrastructure costs, supporting other businesses. Additionally, our expenditures to promote new products and services or to distribute certain products and services or increased investment in our innovation efforts across our Centrellis platform may affect our operating margins.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these factors and the evolving nature of our business, our historical projected revenue growth rate and historical gross operating margins may not be indicative of our future performance.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to raise additional capital to fund our existing operations, develop additional products and services, commercialize new products and services or expand our operations.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Sema4 has incurred net losses and negative cash flows from operations since its inception, including net losses of $245.4 million, $241.3 million and $29.7 million for the years ended December 31, 2021, 2020 and 2019, respectively. As of December 31, 2021, we had an accumulated deficit of $575.4 million. We expect to continue to generate significant operating losses for the foreseeable future, and we may therefore also seek to sell common or preferred equity or convertible debt securities, enter into a credit facility or another form of third-party funding or seek other debt financing.</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may also consider raising additional capital in the future to expand our business, to pursue strategic investments, to take advantage of financing opportunities or for other reasons, including to:</w:t>
      </w:r>
    </w:p>
    <w:p>
      <w:pPr>
        <w:spacing w:after="0" w:line="11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sales and marketing efforts to drive market adoption of our current and future products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fund development efforts for our current and future products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our products and services into other disease indications and clinical applications;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license or invest in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or invest in complementary businesses or assets;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finance capital expenditures and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achieve revenue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rate of progress in establishing payer coverage and reimbursement arrangements with commercial third-party payors and government payers;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expanding our laboratory operations and offerings, including our sales and marketing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4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our Centrellis solution;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rate of progress in, and cost of research and development activities associated with, products and services in research and early development;</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competing technological, product and market developments;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potential cost of and delays in product development as a result of any regulatory oversight applicable to our products and services.</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various ways we could raise additional capital carry potential risks. If we raise funds by issuing equity securities, dilution to our stockholders could result. Any preferred equity securities issued also could provide for rights, preferences or privileges senior to those of holders of our Class A common stock.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technologies or products and services or grant licenses on terms that are not favorable to us.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expect to make significant investments in our continued research and development of new products and services, which may not be successful.</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seeking to leverage and deploy our Centrellis and Traversa platforms to develop a pipeline of future disease-specific research, diagnostic and therapeutic products and services. For example, we are attempting to extend current products into additional indications and sample types, and we are developing our population health program, and our pharmacogenomics solutions with a view toward advancing the development of tests designed to identify genetic variants for drug response that are associated with medically actionable and clinically relevant data to make more informed treatment decisions. We expect to incur significant expenses to advance these development efforts, but they may not be successful.</w:t>
      </w:r>
    </w:p>
    <w:p>
      <w:pPr>
        <w:spacing w:after="0" w:line="1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Developing new products and services is a speculative and risky endeavor. Products or services that initially show promise may fail to achieve the desired results or may not achieve acceptable levels of analytical accuracy or clinical utility. We may need to alter our products in development and repeat analysis or clinical studies before we identify a potentially successful product or service. Product development is expensive, may take years to complete and can have uncertain outcomes. Failure can occur at any stage of the development. If, after development, a product or service appears successful, we or our collaborators may, depending on the nature of the product or service, still need to obtain FDA and other regulatory clearances, authorizations or approvals before we can market it. In the case of clinical products, the FDA’s clearance, authorization or approval pathways are likely to involve significant time, as well as additional research, development and clinical study expenditures. The FDA may not clear, authorize or approve any future product or service we develop. Even if we develop a product or service that receives regulatory clearance, authorization or approval, or succeeds in initial product testing, we or our collaborators would need to commit substantial resources to commercialize, sell and market it before it could be profitable, and the product or service may never be commercially successful. Additionally, development of any product or service may be disrupted or made less viable by the development of competing products or services.</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New potential products and services may fail at any stage of development or recalled after commercialization and if we determine that any of our current or future products or services are unlikely to succeed, we may abandon them without any return on our investment. If we are unsuccessful in developing additional products or services, our potential for growth may be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course of preparing Legacy Sema4’s financial statements for 2020, 2019 and 2018, we identified material weaknesses in our internal control over financial reporting as of December 31, 2020, which could, if not remediated, result in material misstatements in our financial statements. These material weaknesses had not been fully remediated as of December 31, 2021. In addition, during 2021, management identified a misclassification related to certain costs included within cost of services for the years ended December 31, 2021, 2020 and 2019.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related to the fact that we did not design and maintain accounting policies, procedures and controls to ensure complete, accurate and timely financial reporting in accordance with U.S. GAAP. Specifically, the material weaknesses identified included the following:</w:t>
      </w:r>
    </w:p>
    <w:p>
      <w:pPr>
        <w:spacing w:after="0" w:line="124" w:lineRule="exact"/>
        <w:rPr>
          <w:sz w:val="20"/>
          <w:szCs w:val="20"/>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did not design and maintain accounting policies, processes and controls to analyze, account for and report our revenue arrangements in accordance with ASC 606, Revenue from Contracts with Customers, and ASC 605, Revenue Recognition.</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procedures and controls to achieve complete, accurate and timely financial accounting, reporting and disclosures, including controls over the preparation and review of account reconciliations and journal entries; the accounting for cost capitalization policies in accordance with ASC 330, Inventory, and ASC 350-40, Intangibles – Goodwill and Other – Internal-Use Software; and the application of ASC 840, Leases.</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had not developed and effectively communicated to our employees our accounting policies and procedures, which resulted in inconsistent practices. Since these entity level programs have a pervasive effect across the organization, management has determined that these circumstances constitute a material weakness.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accounting and operating systems lacked controls over access, and program change management that are needed to ensure access to financial data is adequately restricted to appropriate personnel.</w:t>
      </w:r>
    </w:p>
    <w:p>
      <w:pPr>
        <w:spacing w:after="0" w:line="116"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 accounting policies, processes and controls related to complex transactions necessary for an effective financial reporting process.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is in the process of implementing a remediation plan that is expected to include policies and procedures to support internal control over financial reporting for a public company as well as supplementing the accounting and finance function with robust technical accounting and financial reporting experience and training. However, we cannot guarantee that the steps we have taken or may subsequently take have been or will be sufficient to remediate the material weaknesses or ensure that our internal controls are effective. However, as noted above, as of December 31, 2021, the material weaknesses have not yet been fully remediated.</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as a public company, we are required to comply with certain rules and requirements related to our disclosure controls and procedures and our internal control over financial reporting. Any failure to develop or maintain effective controls as a public company, any deficiencies found in the technology system we use to support our controls, or any difficulties encountered in their implementation or improvement, could harm our operating results or cause us to fail to meet our reporting obligations and may result in a restatement of our financial statements for prior periods. For more information, see “</w:t>
      </w:r>
      <w:r>
        <w:rPr>
          <w:rFonts w:ascii="Arial" w:cs="Arial" w:eastAsia="Arial" w:hAnsi="Arial"/>
          <w:sz w:val="18"/>
          <w:szCs w:val="18"/>
          <w:i w:val="1"/>
          <w:iCs w:val="1"/>
          <w:color w:val="auto"/>
        </w:rPr>
        <w:t>Risks Related to Being a Public Company—Our internal controls over financial reporting may not be effective and our independent registered public</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firm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4" w:lineRule="exact"/>
        <w:rPr>
          <w:sz w:val="20"/>
          <w:szCs w:val="20"/>
          <w:color w:val="auto"/>
        </w:rPr>
      </w:pPr>
    </w:p>
    <w:p>
      <w:pPr>
        <w:ind w:right="1960"/>
        <w:spacing w:after="0" w:line="464" w:lineRule="auto"/>
        <w:rPr>
          <w:sz w:val="20"/>
          <w:szCs w:val="20"/>
          <w:color w:val="auto"/>
        </w:rPr>
      </w:pPr>
      <w:r>
        <w:rPr>
          <w:rFonts w:ascii="Arial" w:cs="Arial" w:eastAsia="Arial" w:hAnsi="Arial"/>
          <w:sz w:val="17"/>
          <w:szCs w:val="17"/>
          <w:i w:val="1"/>
          <w:iCs w:val="1"/>
          <w:color w:val="auto"/>
        </w:rPr>
        <w:t>not be able to certify as to their effectiveness, which could have a significant and adverse effect on our business and reputation.</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color w:val="auto"/>
        </w:rPr>
        <w:t>Our ability to use our net operating loss carry forwards and certain other tax attributes may be limited.</w:t>
      </w:r>
    </w:p>
    <w:p>
      <w:pPr>
        <w:jc w:val="both"/>
        <w:spacing w:after="0" w:line="259" w:lineRule="auto"/>
        <w:rPr>
          <w:sz w:val="20"/>
          <w:szCs w:val="20"/>
          <w:color w:val="auto"/>
        </w:rPr>
      </w:pPr>
      <w:r>
        <w:rPr>
          <w:rFonts w:ascii="Arial" w:cs="Arial" w:eastAsia="Arial" w:hAnsi="Arial"/>
          <w:sz w:val="18"/>
          <w:szCs w:val="18"/>
          <w:color w:val="auto"/>
        </w:rPr>
        <w:t>At December 31, 2021, our total gross deferred tax assets were $160.5 million. Due to our lack of earnings history, future deductible temporary differences related to compensation and uncertainties surrounding our ability to generate future taxable income, our net deferred tax assets have been fully offset by a valuation allowance. The deferred tax assets are primarily comprised of federal and state tax net operating losses and tax credit carryforwards, stock-based compensation and other tax deductible temporary differences.</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Furthermore, under Section 382 of the Code, if a corporation undergoes an “ownership change,” the corporation’s ability to use its pre-change net operating loss carryforwards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Our existing NOLs and tax credit carryovers may be subject to limitations arising from previous ownership changes, and if we undergo one or more ownership changes in connection with completed acquisitions, including the Business Combination or the Acquisition, or future transactions in our stock, our ability to utilize NOLs and tax credit carryovers could be further limited by Section 382 of the Code. As a result, if we earn future taxable income, our ability to use our pre-change net operating loss and tax credit carryforwards to offset U.S. federal taxable income may be subject to limitations, which could potentially result in increased future tax liability to us. In addition, the Tax Cuts and Jobs Act limits the deduction for NOLs to 80% of current year taxable income and eliminates NOL carrybacks. Further, there may also be periods during which the use of NOLs is suspended or otherwise limited, which could accelerate or permanently increase state liability.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Key Relationships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laboratories to perform certain elements of our service offerings.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limited but meaningful portion of our genomic analysis services is performed by third-party laboratories and service providers, while the remaining portion is performed in our laboratories. The third-party laboratories are subject to contractual obligations to perform these services for us, but are not otherwise under our control. We therefore do not control the capacity and quality control efforts of these third-party laboratories other than through our ability to enforce contractual obligations on volume and quality systems, and we have no control over such laboratories’ compliance with applicable legal and regulatory requirements. We also have no control over the timeliness of such laboratories’ performance of their obligations to us, and the third-party laboratories that we have contracted with have in the past had, and occasionally continue to have, issues with delivering results to us or resolving issues with us within the time frames we expected or established in our contracts with them, which sometimes results in longer than expected turnaround times for, or negatively impacts the performance of, these tests and services. In the event of any adverse developments with these third-party laboratories or their ability to perform their obligations in a timely manner and in accordance with the standards that we and our customers expect, our ability to service customers may be delayed, interrupted or otherwise adversely affected, which could result in a loss of customers and harm to our reputation. Furthermore, when these issues arise, we have had to expend time, management’s attention and other resources to address and remedy such issues.</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not have sufficient alternative backup if one or more of the third-party laboratories that we contract with are unable to satisfy their obligations to us with sufficient performance, quality and timeliness, including as a result of the ongoing COVID-19 pandemic. Any natural or other disaster, acts of war or terrorism, shipping embargoes, labor unrest, political instability, outbreaks of disease or similar events at one or more of these third-party laboratories’ facilities that causes a loss of capacity would heighten the risks that we face. Changes to or termination of agreements or inability to renew agreements with these third-party laboratories or enter into new agreements with other laboratories that are able to perform such portions of our service offerings could impair, delay or suspend our efforts to market and sell these services. In addition, certain third-party payors, including some state Medicaid payers, that we are under contract with may take the position that sending out testing to third-party laboratories and billing for such tests is contrary to the terms of its provider agreement and may refuse to pay us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testing. If any of these events occur, our business, financial condition and results of operations could suffer. Further, some state laws impose anti-markup restrictions that prevent an entity from realizing a profit margin on outsourced testing. If we are unable to markup outsourced testing, our revenues and operating margins may suffer.</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Mount Sinai, a related party, and its clinicians for a portion of our test volume in connection with our diagnostic solutions and for data programs, and we have entered into certain other arrangements with Mount Sinai.</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Mount Sinai, which is a related party, and its clinicians for a portion of our test volumes in connection with our diagnostic solutions and for a significant portion of the de-identified clinical records in our databases. In addition, we sublease certain facilities from Mount Sinai, we provide certain research and data services to Mount Sinai, and we and Mount Sinai have entered into certain collaborative and commercial arrangements. Furthermore, we may in the future enter into other contracts for services or other engagements with Mount Sinai.</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Mount Sinai is primarily made up of not-for-profit hospitals, a medical and graduate school and employed clinicians. The charitable missions of the Mount Sinai entities include patient care, teaching and research. As such, the Mount Sinai entities are required to deal with us strictly on an arms-length, fair market value basis, and the interests of Mount Sinai may not necessarily be aligned with our interests or those of our other stockholders.</w:t>
      </w:r>
    </w:p>
    <w:p>
      <w:pPr>
        <w:spacing w:after="0" w:line="1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are subject to risks as a result of our reliance on Mount Sinai, and if our transactions and relationship with Mount Sinai were to cease, our business could be disrupted and it could have a material adverse effect on our business, research, financial condition and results of operations.</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ISMMS is one of our significant stockholders. ISMMS may choose to dispose of some or all of the shares of our Class A common stock held by it. Any disposal of shares of Class A common stock by ISMMS, or the perception that these sales could occur, could cause the market price of our stock or warrants to decline.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commercial courier delivery services to transport samples to our facilities in a timely and cost-efficient manner and if these delivery services are disrupted, our business could be harmed.</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core business depends on our ability to quickly and reliably deliver test results to our customers. We typically receive blood, saliva, or tissue samples for analysis at our laboratory facilities within days of collection from the patient. Disruptions and errors in these delivery service and accessioning errors and breaches, whether due to error by the courier service, labor disruptions, bad weather, natural disaster, terrorist acts or threats, outbreaks of disease or for other reasons,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Acquisitions</w:t>
      </w:r>
    </w:p>
    <w:p>
      <w:pPr>
        <w:spacing w:after="0" w:line="17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As a result of the Acquisition, OPKO became a substantial holder of shares of our Class A common stock and sales by OPKO into the market in the future could cause the market price of our Class A common stock to drop significantly, even if our business is doing well.</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Acquisition, OPKO became the owner of 80 million shares of Class A common stock as of the Closing Date. OPKO is subject to transfer restrictions and requirements to dispose of its shares in marketed sales processes under the Shareholder Agreements, but those restrictions and requirements are finite and subject to exceptions.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shares held by OPKO or the other Lock-Up Holders are sold, or if it is perceived that they will be sold in the public market, the trading price of our Class A common stock could decline. For more information on the Lock-Up Shares and the applicable Lock-Up Periods see “</w:t>
      </w:r>
      <w:r>
        <w:rPr>
          <w:rFonts w:ascii="Arial" w:cs="Arial" w:eastAsia="Arial" w:hAnsi="Arial"/>
          <w:sz w:val="18"/>
          <w:szCs w:val="18"/>
          <w:i w:val="1"/>
          <w:iCs w:val="1"/>
          <w:color w:val="auto"/>
        </w:rPr>
        <w:t>Certain Relationships and</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Party Transactions—Related Party Transactions Related to the Acquisition—Shareholder Agreements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4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Our ability to be successful following the Acquisition is dependent upon the efforts of our key personnel, including the key personnel of GeneDx. The loss of key personnel could negatively impact our operations and profitability our financial condition could suffer as a result.</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ability to be successful following the Acquisition is dependent upon the efforts of our key personnel, including the key personnel of GeneDx (who became our employees as of the Closing). Although our key personnel are expected to continue remain with the Company in their current roles, it is possible that we will lose some key personnel, the loss of which could negatively impact the operations and profitability of our business.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GeneDx’s success depends to a significant degree upon the continued contributions of senior management, certain of whom would be difficult to replace. Departure by certain of GeneDx’s officers could have a material adverse effect on GeneDx’s business, financial condition, or operating results. The services of such personnel may not continue to be available to 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and will continue to incur significant transaction and transition costs in connection with the Acquisition.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incurred significant, non-recurring costs in connection with consummating the Acquisition. Furthermore, we expect to incur additional significant, non-recurring costs in connection with the integration of the businesses of our company and GeneDx. We may also incur additional costs to retain key employees.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anticipated benefits of the Acquisition may not be realized fully or at all or may take longer to realize than expected.</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Acquisition involves the integration of two companies that have previously operated independently. Prior to the announcement, we and GeneDx did not conduct any integration planning for the two companies, and our ability to do so prior to consummation of the Acquisition was limited by applicable law. Following the Closing, we are devoting significant management attention and resources to integrating the two businesses. Delays in this process could adversely affect the combined company’s business, financial results, financial condition and stock price. Even if we are able to integrate the two companies’ business operations successfully, there can be no assurance that this integration will result in the realization of the full benefits of synergies, cost savings, innovation and operational efficiencies that we expected from this integration or that these benefits will be achieved within the anticipated time frame.</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 Acquisition’s benefits do not meet the expectations of investors, stockholders or financial analysts, the market price of our securities may decline.</w:t>
      </w: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benefits of the Acquisition do not meet the expectations of investors or securities analysts, the market price of our securities may decline. For additional factors that may affect the trading price of our securities see “</w:t>
      </w:r>
      <w:r>
        <w:rPr>
          <w:rFonts w:ascii="Arial" w:cs="Arial" w:eastAsia="Arial" w:hAnsi="Arial"/>
          <w:sz w:val="18"/>
          <w:szCs w:val="18"/>
          <w:b w:val="1"/>
          <w:bCs w:val="1"/>
          <w:color w:val="auto"/>
        </w:rPr>
        <w:t>—</w:t>
      </w:r>
      <w:r>
        <w:rPr>
          <w:rFonts w:ascii="Arial" w:cs="Arial" w:eastAsia="Arial" w:hAnsi="Arial"/>
          <w:sz w:val="18"/>
          <w:szCs w:val="18"/>
          <w:i w:val="1"/>
          <w:iCs w:val="1"/>
          <w:color w:val="auto"/>
        </w:rPr>
        <w:t>Risks Related to Being a Public Company</w:t>
      </w:r>
      <w:r>
        <w:rPr>
          <w:rFonts w:ascii="Arial" w:cs="Arial" w:eastAsia="Arial" w:hAnsi="Arial"/>
          <w:sz w:val="18"/>
          <w:szCs w:val="18"/>
          <w:b w:val="1"/>
          <w:bCs w:val="1"/>
          <w:color w:val="auto"/>
        </w:rPr>
        <w:t>—</w:t>
      </w:r>
      <w:r>
        <w:rPr>
          <w:rFonts w:ascii="Arial" w:cs="Arial" w:eastAsia="Arial" w:hAnsi="Arial"/>
          <w:sz w:val="18"/>
          <w:szCs w:val="18"/>
          <w:i w:val="1"/>
          <w:iCs w:val="1"/>
          <w:color w:val="auto"/>
        </w:rPr>
        <w:t>If we do not meet the expectations of</w:t>
      </w:r>
      <w:r>
        <w:rPr>
          <w:rFonts w:ascii="Arial" w:cs="Arial" w:eastAsia="Arial" w:hAnsi="Arial"/>
          <w:sz w:val="18"/>
          <w:szCs w:val="18"/>
          <w:color w:val="auto"/>
        </w:rPr>
        <w:t xml:space="preserve"> </w:t>
      </w:r>
      <w:r>
        <w:rPr>
          <w:rFonts w:ascii="Arial" w:cs="Arial" w:eastAsia="Arial" w:hAnsi="Arial"/>
          <w:sz w:val="18"/>
          <w:szCs w:val="18"/>
          <w:i w:val="1"/>
          <w:iCs w:val="1"/>
          <w:color w:val="auto"/>
        </w:rPr>
        <w:t>investors, stockholders or financial analysts, the market price of our securities may decline</w:t>
      </w:r>
      <w:r>
        <w:rPr>
          <w:rFonts w:ascii="Arial" w:cs="Arial" w:eastAsia="Arial" w:hAnsi="Arial"/>
          <w:sz w:val="18"/>
          <w:szCs w:val="18"/>
          <w:color w:val="auto"/>
        </w:rPr>
        <w:t>.”</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unaudited pro forma financial information included elsewhere in this prospectus may not be indicative of our future operating results or financial position.</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unaudited pro forma combined financial information in this prospectus is presented for illustrative purposes only and is not necessarily indicative of what our actual financial condition or results of operations would have been had the Acquisition been completed on the dates indicated. The unaudited pro forma combined financial information is subject to a number of assumptions, and does not take into account any synergies related to the Acquisition. Further, our actual results and financial condition after the Acquisition may differ materially and adversely from the unaudited pro forma combined financial data that is included in this prospectus. The unaudited pro forma combined financial information includes adjustments which are preliminary and may be revised after closing. There can be no assurance that such revisions will not result in material changes. The unaudited pro forma combined financial information is presented for illustrative purposes only and is not necessarily indicative of the results or financial position that would have occurred or that may occur in the future had the Acquisition and PIPE Investment been completed on the dates indicated, nor is it necessarily indicative of the future operating results or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Sema4 after the Acquisition. Future results may vary significantly from the results reflected because of various factors. For further discussion, see the section entitled “</w:t>
      </w:r>
      <w:r>
        <w:rPr>
          <w:rFonts w:ascii="Arial" w:cs="Arial" w:eastAsia="Arial" w:hAnsi="Arial"/>
          <w:sz w:val="18"/>
          <w:szCs w:val="18"/>
          <w:i w:val="1"/>
          <w:iCs w:val="1"/>
          <w:color w:val="auto"/>
        </w:rPr>
        <w:t>Unaudited Pro Forma Combined Financial Information</w:t>
      </w:r>
      <w:r>
        <w:rPr>
          <w:rFonts w:ascii="Arial" w:cs="Arial" w:eastAsia="Arial" w:hAnsi="Arial"/>
          <w:sz w:val="18"/>
          <w:szCs w:val="18"/>
          <w:color w:val="auto"/>
        </w:rPr>
        <w:t>.”</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been the target of transaction related lawsuits as result of the Acquisition, which could result in substantial costs, and we have also assumed GeneDx’s risks arising from various legal proceedings.</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Acquisition, two lawsuits were filed in federal courts against us and our directors. The complaints assert claims under Section 14(a) and Section 20(a) of the Exchange Act, and Rule 14a-19 promulgated thereunder, generally allege that the proxy statement we mailed to our stockholders in connection with the approval of certain matters related to the Acquisition misrepresented and/or omitted certain purportedly material information, and seek a variety of equitable and injunctive relief. In addition, five purported stockholders of our company have sent us demand letters making similar allegations about the proxy statement and demanding we provide supplemental disclosures. Although we believe that these allegations, claims and demands are without merit, we cannot predict the outcome of these legal proceedings, or whether additional stockholders will file lawsuits.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as of the Closing, we assumed GeneDx’s risks arising from legal proceedings. Furthermore, following the Closing of the Acquisition, the strategies or motivations of a party or parties with respect to actual or potential litigation against us may change. We cannot predict with certainty the eventual outcome of GeneDx’s pending or future legal proceedings and the ultimate outcome of such matters could be material to our results of operations, cash flows and financial condition.</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Finally, the Acquisition may result in post-transaction disputes with OPKO or the other counterparties to the Merger Agreement and the Related Agreements regarding a number of matters, including any post-closing adjustments to the Cash Consideration, the occurrence or non-occurrence of any Milestone Event or payment of any Milestone Payment or any liabilities for which we or OPKO believes it was indemnified under the Merger Agreement.</w:t>
      </w:r>
    </w:p>
    <w:p>
      <w:pPr>
        <w:spacing w:after="0" w:line="9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We may seek to grow our business through additional acquisitions of complementary products or technologies, and the failure to manage these acquisitions, or the failure to integrate them with our existing business, could have a material adverse effect on our business, financial condition and operating results.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may consider additional opportunities to acquire other products or technologies that may enhance our product platform or technology, expand the breadth of our markets or customer base, or advance our business strategies. Potential acquisitions involve numerous risks, including:</w:t>
      </w:r>
    </w:p>
    <w:p>
      <w:pPr>
        <w:spacing w:after="0" w:line="130"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compliance with regulatory matters.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do not know if we will be able to identify any other acquisitions we deem suitable, whether we will be able to successfully complete any acquisitions on favorable terms or at all, or whether we will be able to successfully integrate any acquired products or technologies. Our potential inability to integrate any acquired products or technologies effectively may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Regulatory and Compliance</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increased compliance risks as a result of our rapid growth, including our dependence on our sales, marketing and billing efforts.</w:t>
      </w:r>
    </w:p>
    <w:p>
      <w:pPr>
        <w:spacing w:after="0" w:line="20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had to expand our training and compliance efforts in line with our increasing reliance on personnel in our sales, marketing and billing functions, and our expansion of these functions in line with the overall growth in our business. We continue to monitor our personnel, but we have in the past experienced, and may in the future experience, situations in which employees fail to strictly adhere to our policies. In addition, sales and marketing activities in the healthcare space are subject to various rules and regulations. Moreover, our billing and marketing messaging can be complex and nuanced, and there may be errors or misunderstandings in our employees' communication of such messaging. Furthermore, we utilize text messaging, email, phone calls and other similar methods to communicate with patients who are existing or potential users of our products for various business purposes. These activities subject us to laws and regulations relating to communications with consumers, such as the CAN-SPAM Act and the Telephone Consumer Protection Act, violations of which could subject us to claims by consumers, who may seek actual or statutory damages, which could be material in the aggregate. As we continue to scale up our sales and marketing efforts in line with the growth in our business, in particular our increased pace of product launches as well as further geographical expansion, we face an increased need to continuously monitor and improve our policies, processes and procedures to maintain compliance with a growing number and variety of laws and regulations, including with respect to consumer marketing. To the extent that there is any violation, whether actual, perceived or alleged, of our policies or applicable laws and regulations, we may incur additional training and compliance costs, may receive inquiries from third-party payors or other third parties, or be held liable or otherwise responsible for such acts of non-compliance. Any of the foregoing could adversely affect our cash flow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injury, we could be liable for resulting damages.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activities currently require the use of hazardous chemicals and biological material.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compliance with these laws and regulations may become significant, and our failure to comply may result in substantial fines or other consequences, and either could negatively affect our operating results.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our partners will have to maintain compliance with FDA requirements for research, products and services and failure to maintain compliance with FDA requirements may prevent or delay the marketing of our products and services.</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Even if we have obtained marketing authorization, we will have to comply with the scope of that clearance, authorization or approval. Failure to secure and to comply with clearance, authorization or approval or the additional, extensive and ongoing post-marketing obligations imposed by the FDA or other regulatory requirements of other regulatory agencies could result in unanticipated compliance expenditures, a range of administrative enforcement actions, injunctions and criminal prosecution. FDA post-market obligations include, among other things, compliance with the FDA QSR, establishing registration and device listings, labeling requirements, reporting of certain adverse events and malfunctions, and reporting of certain recalls. In addition, circumstances may arise that cause us to recall equipment used in connection with our research, products and services. Such recalls could have an adverse effect on our ability to provide those products and services, which in turn would adversely affect our financial condition. our collaborators will also be required to maintain FDA clearance, authorization or approval for the products and services that we jointly develop. Any failure by us or our collaborators to maintain such clearance, authorization or approval could impair or cause a delay in our ability to profit from these collaborations.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changes in FDA enforcement discretion for LDTs could subject our operations to much more significant regulatory requirements.</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We currently offer a LDT version of certain tests. The FDA has a policy of enforcement discretion with respect to LDTs whereby the FDA does not actively enforce its medical device regulatory requirements for such tests. However, 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the enforcement of FDA regulatory requirements. The FDA Commissioner and the Director of the Center for Devices and Radiological Health (“CRDH”) have expressed significant concerns regarding disparities between some LDTs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diagnostics that have been reviewed, cleared, authorized or approved by the FDA. If the FDA were to determine that certain tests offered by us as LDTs are not within the policy for LDTs for any reason, including new rules, policies or guidance, or due to changes in statute, our tests may become subject to extensive FDA requirements or our business may otherwise be adversely affected. If the FDA were to disagree with our LDT status or modify our approach to regulating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or approval of a PMA. Furthermore, pending legislative proposals, if passed,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or at all. In addition, if the FDA inspects our laboratory in relation to the marketing of any FDA-authorized test, any enforcement action the FDA takes might not be limited to the FDA-authorized test carried by us and could encompass our other testing services.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Recently, the FDA has also taken a more active role in certain diagnostic areas, including the oversight of pharmacogenetic (“PGx”) and COVID-19 tests. In 2019, the FDA contacted several laboratories to demand changes to PGx test reports and marketing materials. In February 2020, the FDA issued a statement indicating that it continues to have concerns about the claims that certain clinical laboratories make with respect to their PGx tests, and published tables that list PGx associations for which the FDA has determined that the data support therapeutic management recommendations, a potential impact on safety or response, or a potential impact on pharmacokinetic properties only, respectively. To date, however, the FDA has not provided any general guidance on the types of claims or other characteristics that will cause a PGx test to fall outside FDA’s enforcement discretion. As such, the extent to which the FDA will allow any laboratory to offer PGx tests in their current form without meeting FDA regulatory requirements for medical devices is unclear at this time.</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For each product and service we are developing that may require FDA premarket review prior to marketing, the FDA may not grant clearance, authorization or premarket approval and failure to obtain necessary approvals for our future products and services would adversely affect our ability to grow our business.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Before we begin to manufacture, label and market additional clinical diagnostic products for commercial diagnostic use in the United States, we may be required to obtain either clearance, marketing authorization or approval from the FDA, unless an exemption applies or the FDA exercises its enforcement discretion and refrains from enforcing its requirements. For example, the FDA currently has a policy of refraining from enforcing its medical device requirements with respect to LDTs, which the FDA considers to be a type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test that is designed, manufactured and used within a single properly licensed laboratory.</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process of obtaining PMA is much more rigorous, costly, lengthy and uncertain than the 510(k) clearance process. In the PMA approval process, the FDA must determine that a proposed device is safe and effective for its intended use based, in part, on extensive data, including, but not limited to, technical, preclinical, clinical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manufacturing and labeling data. Conversely, in the 510(k) clearance process, the FDA must determine that a proposed device is “substantially equivalent” to a legally marketed “predicate” device in order for the product to be cleared for marketing. To be “substantially equivalent,” the proposed device must have the same intended use as the predicate device, and either have the same technological characteristics or if it has different technological characteristics as the predicate device, the proposed device must be as safe and effective as, and not raise different questions of safety or effectiveness than, the predicate device. Clinical data is sometimes required to support substantial equivalence. For lower-risk devices that would otherwise automatically be placed into Class III, which require a PMA because no predicate device is available and the devices do not fall within an existing 510(k)-exempt classification, an applicant may submit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to down classify the device into Class II or Class I, which would not require a PMA. In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process, the FDA must determine that general and special controls are sufficient to provide reasonable assurance of the safety and effectiveness of a device, which is low to moderate risk and has no predicate. In other words, the applicant must justify the “down-classification” to Class I or II for a new product type that would otherwise automatically be placed into Class III, but is lower risk. Clinical data may be required. For laboratory tests for which FDA clearance, authorization or approval is required, the FDA may also require data to support analytical and clinical validity.</w:t>
      </w:r>
    </w:p>
    <w:p>
      <w:pPr>
        <w:spacing w:after="0" w:line="1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510(k),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and PMA processes can be expensive and lengthy and require the payment of significant fees, unless an exemption applies. The FDA’s 510(k) clearance pathway usually takes from three to nine months from submission, but it can take longer for a novel type of product. The FDA’s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pathway usually takes from six to 12 months, but for many applicants can take up to 18 months or more.</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process of obtaining a PMA generally takes from one to three years, or even longer, from the time the PMA is submitted to the FDA until an approval is obtained. Any delay or failure to obtain necessary regulatory clearances, authorizations or approvals would have a material adverse effect on our business, financial condition and prospects.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FDA can delay, limit or deny clearance, authorization or approval of a device for many reasons, including:</w:t>
      </w:r>
    </w:p>
    <w:p>
      <w:pPr>
        <w:spacing w:after="0" w:line="17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demonstrate to the satisfaction of the FDA that the products are safe or effective for their intended uses;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disagreement of the FDA with the design, conduct or implementation of the clinical trials or the analysis or interpretation of data from preclinical studies, analytical studies or clinical trials;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clinical trials;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data from preclinical studies, analytical studies and clinical trials may be insufficient to support clearance, authorization or approval, where required;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demonstrate that the clinical and other benefits of the device outweigh the risks;</w:t>
      </w:r>
    </w:p>
    <w:p>
      <w:pPr>
        <w:spacing w:after="0" w:line="171"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 advisory committee, if convened by the FDA, may recommend against approval of a PMA or other application or may recommend that the FDA require, as a condition of approval, additional preclinical studies or clinical trials, limitations on approved labeling or distribution and use restrictions, or even if an advisory committee makes a favorable recommendation, the FDA may still not approve the product;</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may identify deficiencies in our marketing application;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may identify deficiencies in our or our collaborators’ manufacturing processes, facilities or analytical methods;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for policies or regulations of the FDA or applicable foreign regulatory bodies to change significantly in a manner rendering clinical data or regulatory filings insufficient for clearance, authorization or approval;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FDA or foreign regulatory authorities may audit clinical trial data and conclude that the data is not sufficiently reliable to support a PMA.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are numerous FDA personnel assigned to review different aspects of marketing submissions, which can present uncertainties based on their ability to exercise judgment and discretion during the review process. During the course of review, the FDA may request or require additional data and information, and the development and provision of these data and information may be time-consuming and expensive. The process of obtaining regulatory clearances, authorizations or approvals to market a medical device can be costly and time-consuming, and we may not be able to obtain these clearances, authorizations or approvals on a timely basis, or at all for our products in development. If we are unable to obtain clearance, authorization or approval for any products for which it plans to seek clearance, authorization or approval, our business may be harmed.</w:t>
      </w:r>
    </w:p>
    <w:p>
      <w:pPr>
        <w:spacing w:after="0" w:line="1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Modifications to our products with FDA marketing authorization may require new FDA clearances, authorizations or approvals, or may require it to cease marketing or recall the modified clinical diagnostic products or future clinical products until clearances are obtained.</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Any modification to a 510(k)-cleared device that significantly affects its safety or effectiveness, or that constitutes a major change in its intended use, could require a new 510(k) clearance, a new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authorization or approval of a PMA. The FDA requires every manufacturer to make this determination in the first instance, but the FDA may review any manufacturer’s decision. The FDA may not agree with our decisions regarding whether new clearances, authorizations or approvals are necessary.</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any product approved pursuant to a PMA, we would be required to seek supplemental approval for many types of modifications to the approved product. The FDA requires manufacturers in the first instance to determine whether a PMA supplement or other regulatory filing is needed or whether the change may be reported via the PMA Annual Report, but may disagree with a company’s assessment.</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the FDA disagrees with our determination, which it may not review until we submit an annual report or the FDA conducts an inspection or other inquiry, and requires us to seek new clearances, authorizations or approvals for modifications to our previously cleared, authorized or approved clinical diagnostic products for which we have concluded new clearances, authorizations or approvals are unnecessary, we may be required to cease marketing or distribution of these clinical diagnostic products or to recall the modified products until we obtain clearance, authorization or approval. We may also be subject to enforcement action, including, among other things, significant regulatory fines or penalties.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for example, we plan to match our test reports for certain indications to identified mutations with FDA-approved targeted therapies or relevant clinical trials of targeted therapies. If a patient or physician who orders a test using one of our products is unable to obtain, or be reimbursed for the use of, targeted therapies because they are not indicated in the FDA-approved label for treatment, the patient is unable to enroll in an identified clinical trial due to the enrollment criteria of the trial, or some other reason, the ordering physician may conclude the test report does not contain actionable information. If physicians do not believe our products consistently generate actionable information about their patients’ disease or condition, they may be less likely to use our products.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we cannot provide assurance that customers will always use these products in the manner in which they are intended. Any intentional or unintentional misuse of these products by customers could lead to substantial civil and criminal monetary and non-monetary penalties, and could result in significant legal and investigatory fees.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various complex laws and regulations applicable to clinical diagnostics. We could be subject to significant fines and penalties if we or our partners fail to comply with these laws and regulations.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provider of clinical diagnostic products and services, we and our partners are subject to extensive and frequently changing federal, state, local and foreign laws and regulations governing various aspects of our business.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particular, the clinical laboratory and healthcare industry is subject to significant governmental certification and licensing regulations, as well as federal, state and foreign laws regarding:</w:t>
      </w:r>
    </w:p>
    <w:p>
      <w:pPr>
        <w:spacing w:after="0" w:line="11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test ordering and billing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marketing, sales and pricing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health information privacy and security, including HIPAA and comparable state 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insurance;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anti-markup legislation;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fraud and abuse;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consumer protection.</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also required to comply with FDA regulations, including with respect to our labeling and promotion activities. In addition, advertising and marketing of our clinical products are subject to regulation by the Federal Trade Commission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our business. Most states also have similar regulatory and enforcement authority for devices. Additionally, most foreign countries have authorities comparable to the FDA and processes for obtaining marketing approvals. Obtaining and maintaining these approvals, and complying with all laws and regulations, may subject us to similar risks and delays as those we could experience under FDA, FTC and state regulation. We incur various costs in complying and overseeing compliance with these laws and regulations. The growth of our business and sales organization, the acquisition of additional businesses or products and services and our expansion outside of the U.S. may increase the potential of violating these laws, regulations or our internal policies and procedures.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Healthcare policy has been a subject of extensive discussion in the executive and legislative branches of the federal and many state governments and healthcare laws and regulations are subject to change. Development of the existing commercialization strategy for our tests and planned development of products in our pipeline has been based on existing healthcare policies. We cannot predict what additional changes, if any, will be proposed or adopted or the effect that such proposals or adoption may have on our business, financial condition and results of operations.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we or our partners, fail to comply with these laws and regulations, it could incur significant fines and penalties and our reputation and prospects could suffer. Additionally, any such partners could be forced to cease offering our products and services in certain jurisdictions, which could materially disrupt our business. An adverse outcome could include us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our business,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the HIPAA security, privacy and breach notification regulations may increase our costs.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HIPAA privacy, security and breach notification regulations, including the expanded requirements under HITECH, establish comprehensive federal standards with respect to the uses and disclosures of protected health information (“PHI”) by health plans, healthcare providers and healthcare clearinghouses, in addition to setting standards to protect the confidentiality, integrity and security of PHI. The regulations establish a complex regulatory framework on a variety of subjects, including:</w:t>
      </w:r>
    </w:p>
    <w:p>
      <w:pPr>
        <w:spacing w:after="0" w:line="133" w:lineRule="exact"/>
        <w:rPr>
          <w:sz w:val="20"/>
          <w:szCs w:val="20"/>
          <w:color w:val="auto"/>
        </w:rPr>
      </w:pPr>
    </w:p>
    <w:p>
      <w:pPr>
        <w:ind w:left="660" w:right="20" w:hanging="328"/>
        <w:spacing w:after="0" w:line="308"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circumstances under which uses and disclosures of PHI are permitted or required without a specific authorization by the patient, including but not limited to treatment purposes, activities to obtain payments for our services, and our healthcare operations activities;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patient’s rights to access, amend and receive an accounting of certain disclosures of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requirements to notify individuals if there is a breach of their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contents of notices of privacy practices for PHI;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4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administrative, technical and physical safeguards required of entities that use or receive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deidentification of PHI;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protection of computing systems maintaining electronic PHI.</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implemented practices intended to meet the requirements of the HIPAA privacy, security and breach notification regulations, as required by law. We are required to comply with federal privacy, security and breach notification regulations as well as varying state privacy, security and breach notification laws and regulations, which may be more stringent than federal HIPAA requirements. In addition, for healthcare data transfers from other countries relating to citizens and/or residents of those countries, we must comply with the laws of those countries. The federal privacy regulations under HIPAA restrict our ability to use or disclose patient identifiable data, without patient authorization, for purposes other than payment, treatment, healthcare operations and certain other specified disclosures such as public health and governmental oversight of the healthcare industry.</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HIPAA provides for significant fines and other penalties for wrongful use or disclosure of PHI, including potential civil and criminal fines and penalties.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Unauthorized persons may be able to gain access to PHI stored in such third-parties computer networks. Any wrongful use or disclosure of PHI by us or such third-parties, including disclosure due to data theft or unauthorized access to us or our third-parties computer networks, could subject it to fines or penalties that could adversely affect our business and results of operations. Although the HIPAA statute and regulations do not expressly provide for a private right of damages, we could also be liable for damages under state laws to private parties for the wrongful use or disclosure of confidential health information or other private personal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activities may subject it to risks under federal and state laws prohibiting ‘kickbacks’ and false or fraudulent claims.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 federal law commonly known as the Medicare/Medicaid anti-kickback law, and several similar state laws, which prohibit payments intended to induce healthcare providers or others either to refer patients or to acquire or arrange for or recommend the acquisition of healthcare products or services. While the federal law applies only to referrals, products or services for which payment may be made by a federal healthcare program, state laws often apply regardless of whether federal funds may be involved. These laws constrain the sales, marketing and other promotional activities of manufacturers of medical devices and providers of laboratory services by limiting the kinds of financial arrangements, including sales programs, that may be used with hospitals, healthcare providers, laboratories and other potential purchasers or prescribers of medical devices and laboratory services. Other federal and state laws generally prohibit individuals or entities from knowingly presenting, or causing to be presented, claims for payment from Medicare, Medicaid, or other third-party payors that are false or fraudulent, or are for items or services that were not provided as claimed.</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2018, Congress passed the Eliminating Kickbacks in Recovery Act (“EKRA”) as part of the Substance Use-Disorder Prevention that Promotes Opioid Recovery and Treatment for Patients and Communities Act. Similar to the Medicare/Medicaid anti-kickback law,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Medicare/Medicaid anti-kickback law,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Medicare/Medicaid anti-kickback law includes certain exceptions that are widely relied upon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healthcare industry, including compensating employees on a percentage basis, not all of those same exceptions apply under EKRA. EKRA expressly does not protect employee compensation that varies by the number of individuals referred to a laboratory, the number of tests performed by a laboratory, or the amount billed to or received from a health benefit program from individuals referred to a laboratory. Because EKRA is a relatively new law, there is no agency guidance and only one court has addressed the application of EKRA. That case was decided by the United States District Court of Hawaii and involved a lawsuit between a laboratory and an employee. The Court ruled that the commission-based compensation provisions of the laboratory employee’s contract did not violate EKRA. Although this may be a favorable interpretation of EKRA for laboratory compensation structures, we cannot be assured that courts in our jurisdiction will reach the same conclusion or that the decision will not be overturned if there is an appeal. Because EKRA is a relatively new law, there is no agency guidance or court precedent to indicate how and to what extent it will be applied and enforced. We cannot assure you that our relationships with healthcare providers, hospitals, customers, our own sales representatives, or any other party will not be subject to scrutiny or will survive regulatory challenge under EKRA.</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Additionally, to avoid liability under federal false claims laws, we or our partners must carefully and accurately code claims for reimbursement, proactively monitor the accuracy and appropriateness of claims and payments received, diligently investigate any credible information indicating that we or our partners may have received an overpayment, and promptly return any overpayments. Medicare payments are subject to audit, including through the Comprehensive Error Rate Testing (“CERT”) program, and payments may be recouped by CMS if it is determined that they were improperly made. Currently, a small percentage of our revenues are generated by payments from Medicare. The federal anti-kickback statute and certain state-level false claims laws prescribe civil and criminal penalties (including fines) for noncompliance that can be substantial. In addition, various states have enacted false claim laws analogous to the federal laws that apply where a claim is submitted to any third-party payor and not only a governmental payer program. While we continually strive to comply with these complex requirements, interpretations of the applicability of these laws to marketing and billing practices are constantly evolving and even an unsuccessful challenge could cause adverse publicity and be costly to respond to, and thus could harm our business and prospects. Our failure to comply with applicable laws could result in various adverse consequences that could have a material adverse effect upon our business, including the exclusion of our products and services from government programs and the imposition of civil or criminal sanctions.</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business could be harmed by the loss, suspension or other restriction on a license, certification or accreditation, or by the imposition of a fine or penalties, under CLIA, our implementing regulations or other state, federal and foreign laws and regulations affecting licensure or certification, or by future changes in these laws or regulations.</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laboratory research and clinical diagnostic testing services. For example, as a condition of our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 CMS-approved accreditation organization, such as CAP. Sanctions for failure to comply with CLIA requirements, 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we are subject to regulation under certain state laws and regulations governing laboratory licensure. Some states have enacted laboratory licensure and compliance laws that are more stringent than CLIA. Changes in state licensure laws that affect our ability to offer and provide research and diagnostic products and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never obtain approval in the EU or in any other foreign country for any of our products or services and, even if we do, we or our partners and collaborators may never be able to commercialize them in another jurisdiction, which would limit our ability to realize their full market potential.</w:t>
      </w:r>
    </w:p>
    <w:p>
      <w:pPr>
        <w:spacing w:after="0" w:line="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order to eventually market any of our current or future products and services in any particular foreign jurisdiction, we must establish compliance with numerous and varying regulatory requirements on a jurisdiction-by-jurisdiction basis regarding quality, safety, performance, privacy and efficacy. In addition, clinical trials or clinical investigations conducted in one 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Seeking foreign regulatory clearance, authorization or approval could result in difficulties and costs for us and our collaborators and require additional preclinical studies, clinical trials or clinical investigations which could be costly and time-consuming. Regulatory requirements and ethical approval obligations can vary widely from country to country and could delay or prevent the introduction of our products and services in those countries. The foreign regulatory clearance, authorization or approval process involves all of the risks and uncertainties associated with FDA clearance, authorization or approval. We currently have limited experience in obtaining regulatory clearance, authorization or approval in international markets.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and services will be unrealized.</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16" w:lineRule="exact"/>
        <w:rPr>
          <w:sz w:val="20"/>
          <w:szCs w:val="20"/>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HIPAA, which establishes comprehensive federal standards with respect to the privacy and security of protected health information and requirements for the use of certain standardized electronic transactions;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General Data Protection Regulation (“GPDR”), which imposes strict privacy and security requirements on controllers and processors of European personal data, including enhanced protections for “special categories” of personal data, including sensitive information such as health and genetic information of data subjects;</w:t>
      </w:r>
    </w:p>
    <w:p>
      <w:pPr>
        <w:spacing w:after="0" w:line="129"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CCPA, which, among other things, regulates how subject businesses may collect, use, disclose and/or sell the personal information of consumers who reside in California, affords rights to consumers that they may exercise against businesses that collect their information, and requires implementation of reasonable security measures to safeguard personal information of California consumers;</w:t>
      </w:r>
    </w:p>
    <w:p>
      <w:pPr>
        <w:spacing w:after="0" w:line="111"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44" w:lineRule="exact"/>
        <w:rPr>
          <w:sz w:val="20"/>
          <w:szCs w:val="20"/>
          <w:color w:val="auto"/>
        </w:rPr>
      </w:pPr>
    </w:p>
    <w:p>
      <w:pPr>
        <w:ind w:left="328"/>
        <w:spacing w:after="0"/>
        <w:rPr>
          <w:sz w:val="20"/>
          <w:szCs w:val="20"/>
          <w:color w:val="auto"/>
        </w:rPr>
      </w:pPr>
      <w:r>
        <w:rPr>
          <w:rFonts w:ascii="Arial" w:cs="Arial" w:eastAsia="Arial" w:hAnsi="Arial"/>
          <w:sz w:val="18"/>
          <w:szCs w:val="18"/>
          <w:color w:val="auto"/>
        </w:rPr>
        <w:t>facility, item or service for which payment may be made, in whole or in part, under a federal healthcare program;</w:t>
      </w:r>
    </w:p>
    <w:p>
      <w:pPr>
        <w:spacing w:after="0" w:line="171" w:lineRule="exact"/>
        <w:rPr>
          <w:sz w:val="20"/>
          <w:szCs w:val="20"/>
          <w:color w:val="auto"/>
        </w:rPr>
      </w:pPr>
    </w:p>
    <w:p>
      <w:pPr>
        <w:ind w:left="328" w:right="20" w:hanging="328"/>
        <w:spacing w:after="0" w:line="277" w:lineRule="auto"/>
        <w:tabs>
          <w:tab w:leader="none" w:pos="323" w:val="left"/>
        </w:tabs>
        <w:numPr>
          <w:ilvl w:val="0"/>
          <w:numId w:val="25"/>
        </w:numPr>
        <w:rPr>
          <w:rFonts w:ascii="Arial" w:cs="Arial" w:eastAsia="Arial" w:hAnsi="Arial"/>
          <w:sz w:val="18"/>
          <w:szCs w:val="18"/>
          <w:color w:val="auto"/>
        </w:rPr>
      </w:pPr>
      <w:r>
        <w:rPr>
          <w:rFonts w:ascii="Arial" w:cs="Arial" w:eastAsia="Arial" w:hAnsi="Arial"/>
          <w:sz w:val="18"/>
          <w:szCs w:val="18"/>
          <w:color w:val="auto"/>
        </w:rPr>
        <w:t>EKRA, which prohibits payments for referrals to recovery homes, clinical treatment facilities, and laboratories and reaches beyond federal health care programs, to include private insurance;</w:t>
      </w:r>
    </w:p>
    <w:p>
      <w:pPr>
        <w:spacing w:after="0" w:line="116" w:lineRule="exact"/>
        <w:rPr>
          <w:rFonts w:ascii="Arial" w:cs="Arial" w:eastAsia="Arial" w:hAnsi="Arial"/>
          <w:sz w:val="18"/>
          <w:szCs w:val="18"/>
          <w:color w:val="auto"/>
        </w:rPr>
      </w:pPr>
    </w:p>
    <w:p>
      <w:pPr>
        <w:jc w:val="both"/>
        <w:ind w:left="328" w:hanging="328"/>
        <w:spacing w:after="0" w:line="259" w:lineRule="auto"/>
        <w:tabs>
          <w:tab w:leader="none" w:pos="32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spacing w:after="0" w:line="132"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false claims law, which imposes liability on any person or entity that, among other things, knowingly presents, or causes to be presented, a false or fraudulent claim for payment to the federal government;</w:t>
      </w:r>
    </w:p>
    <w:p>
      <w:pPr>
        <w:spacing w:after="0" w:line="116" w:lineRule="exact"/>
        <w:rPr>
          <w:rFonts w:ascii="Arial" w:cs="Arial" w:eastAsia="Arial" w:hAnsi="Arial"/>
          <w:sz w:val="18"/>
          <w:szCs w:val="18"/>
          <w:color w:val="auto"/>
        </w:rPr>
      </w:pPr>
    </w:p>
    <w:p>
      <w:pPr>
        <w:jc w:val="both"/>
        <w:ind w:left="328" w:hanging="328"/>
        <w:spacing w:after="0" w:line="286" w:lineRule="auto"/>
        <w:tabs>
          <w:tab w:leader="none" w:pos="323"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11" w:lineRule="exact"/>
        <w:rPr>
          <w:rFonts w:ascii="Arial" w:cs="Arial" w:eastAsia="Arial" w:hAnsi="Arial"/>
          <w:sz w:val="17"/>
          <w:szCs w:val="17"/>
          <w:color w:val="auto"/>
        </w:rPr>
      </w:pPr>
    </w:p>
    <w:p>
      <w:pPr>
        <w:jc w:val="both"/>
        <w:ind w:left="328" w:hanging="328"/>
        <w:spacing w:after="0" w:line="263" w:lineRule="auto"/>
        <w:tabs>
          <w:tab w:leader="none" w:pos="32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spacing w:after="0" w:line="129"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payer, including private insurers;</w:t>
      </w:r>
    </w:p>
    <w:p>
      <w:pPr>
        <w:spacing w:after="0" w:line="129"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21st Century Cures Act information blocking prohibition, which prohibits covered actors from engaging in certain practices that are likely to interfere with the access, exchange, or use of electronic health information;</w:t>
      </w:r>
    </w:p>
    <w:p>
      <w:pPr>
        <w:spacing w:after="0" w:line="116" w:lineRule="exact"/>
        <w:rPr>
          <w:rFonts w:ascii="Arial" w:cs="Arial" w:eastAsia="Arial" w:hAnsi="Arial"/>
          <w:sz w:val="18"/>
          <w:szCs w:val="18"/>
          <w:color w:val="auto"/>
        </w:rPr>
      </w:pPr>
    </w:p>
    <w:p>
      <w:pPr>
        <w:jc w:val="both"/>
        <w:ind w:left="328" w:hanging="328"/>
        <w:spacing w:after="0" w:line="259" w:lineRule="auto"/>
        <w:tabs>
          <w:tab w:leader="none" w:pos="32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Physician Payments Sunshine Act and similar state laws that require reporting of certain payments and other transfers of value made by applicable manufacturers, directly or indirectly, to or on behalf of covered recipients including physicians (defined to include doctors, dentists, optometrists, podiatrists and chiropractors) and teaching hospitals as well as ownership and investment interests held by physicians and their immediate family members.</w:t>
      </w:r>
    </w:p>
    <w:p>
      <w:pPr>
        <w:spacing w:after="0" w:line="132" w:lineRule="exact"/>
        <w:rPr>
          <w:rFonts w:ascii="Arial" w:cs="Arial" w:eastAsia="Arial" w:hAnsi="Arial"/>
          <w:sz w:val="18"/>
          <w:szCs w:val="18"/>
          <w:color w:val="auto"/>
        </w:rPr>
      </w:pPr>
    </w:p>
    <w:p>
      <w:pPr>
        <w:ind w:left="328" w:hanging="328"/>
        <w:spacing w:after="0" w:line="342" w:lineRule="auto"/>
        <w:tabs>
          <w:tab w:leader="none" w:pos="323" w:val="left"/>
        </w:tabs>
        <w:numPr>
          <w:ilvl w:val="0"/>
          <w:numId w:val="25"/>
        </w:numPr>
        <w:rPr>
          <w:rFonts w:ascii="Arial" w:cs="Arial" w:eastAsia="Arial" w:hAnsi="Arial"/>
          <w:sz w:val="16"/>
          <w:szCs w:val="16"/>
          <w:color w:val="auto"/>
        </w:rPr>
      </w:pPr>
      <w:r>
        <w:rPr>
          <w:rFonts w:ascii="Arial" w:cs="Arial" w:eastAsia="Arial" w:hAnsi="Arial"/>
          <w:sz w:val="16"/>
          <w:szCs w:val="16"/>
          <w:color w:val="auto"/>
        </w:rPr>
        <w:t>Beginning in 2022, applicable manufacturers also will be required to report such information regarding its relationships with physician assistants, nurse practitioners, clinical nurse specialists, certified registered nurse anesthetists and certified nurse midwives during the previous year;</w:t>
      </w:r>
    </w:p>
    <w:p>
      <w:pPr>
        <w:spacing w:after="0" w:line="69" w:lineRule="exact"/>
        <w:rPr>
          <w:rFonts w:ascii="Arial" w:cs="Arial" w:eastAsia="Arial" w:hAnsi="Arial"/>
          <w:sz w:val="16"/>
          <w:szCs w:val="16"/>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state laws that limit or prohibit the provision of certain payments and other transfers of value to certain covered healthcare providers;</w:t>
      </w:r>
    </w:p>
    <w:p>
      <w:pPr>
        <w:spacing w:after="0" w:line="171"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16"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payers;</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similar foreign laws and regulations that may apply to us in the countries in which we operate or may operate in the future;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51" w:name="page52"/>
    <w:bookmarkEnd w:id="51"/>
    <w:p>
      <w:pPr>
        <w:spacing w:after="0" w:line="144" w:lineRule="exact"/>
        <w:rPr>
          <w:sz w:val="20"/>
          <w:szCs w:val="20"/>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 that relate to maintaining accurate information and control over activities that may fall within the purview of the U.S. Foreign Corrupt Practices Act, its books and records provisions, or anti-bribery provisions.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adopted policies and procedures designed to comply with these laws and regulations. In the ordinary course of our business, we conduct internal reviews of our compliance with these laws. Our compliance may also be subject to governmental review. The growth of our business and our expansion outside of the United States may increase the potential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and curtailment or cessation of our operations, which may impact existing contracts with key payors, collaborators, health systems, and commercial partners. Any of the foregoing consequences could seriously harm our business and our financial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uncertainty related to healthcare reform, pricing, coverage and reimbursement, which could reduce our revenue.</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Healthcare reform laws, including the Patient Protection and Affordable Care Act (“ACA”) and the Protecting Access to Medicare Act of 2014 (“PAMA”), are significantly affecting the U.S. healthcare and medical services 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our current and future products and services. The ACA has also been the subject of various legal challenges and in December 2018, a federal district court in Texas found that the ACA’s “individual mandate” was unconstitutional such that the whole of the ACA is invalid. The decision was appealed, and in December 2019, the Fifth Circuit Court of Appeals affirmed certain portions of the district court’s decision but remanded to the district court to determine if any portions of the ACA may still be valid. If the plaintiffs in this case, or in any other case challenging the ACA, are ultimately successful, insurance coverage for our tests could be materially and adversely affected. Any change in reimbursement policy could result in a change in patient cost-sharing, which could adversely affect a provider’s willingness to prescribe and patient’s willingness and ability to use our tests and any other product or service we may develop. Healthcare reforms, which may intend to reduce healthcare costs, may have the effect of discouraging third-party payors from covering certain kinds of medical products and services, particularly newly developed technologies, or other products or tests we may develop in the future. We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us, which may adversely affect our business, financial condition and results of operations.</w:t>
      </w:r>
    </w:p>
    <w:p>
      <w:pPr>
        <w:spacing w:after="0" w:line="1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PAMA presents significant uncertainty for future CMS reimbursement rates for our tests. Because Medicare currently covers a significant number of patients, any reduction in the CMS reimbursement rate for our tests would negatively affect our revenues and our business prospects. Under PAMA,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payer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our tests. Congress could modify or repeal PAMA in the future or CMS could modify regulations under PAMA, and any such action could have the effect of reducing the CMS reimbursement rate for our tests. Further, it is possible that Medicare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federal payers that provide reimbursement for our tests may suspend, revoke or discontinue coverage at any time, may require co-payments from patients, or may reduce the reimbursement rates payable to us. Any such action could have a negative impact on our revenues.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Coverage of our screening products that we may develop may also depend, in whole or in part, on whether payers determine, or courts and/or regulatory authorities determine, coverage is required under applicable federal or state laws mandating coverage of certain cancer screening services.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Several states have laws mandating coverage for preventive services, such as certain cancer screening services, applicable to certain health insurers. However, not all of these laws apply to our current tests and not all of these laws presently mandate coverage for patients within the certain age ranges. We and payers may disagree about how these mandates apply to our tests and we may find the mandates difficult to enforce. Further, if the ACA is repealed, replaced or overturned, or even if it is not, states may decide to modify their laws, which may include repeal of those coverage mandates that we believe currently apply to our oncology tests.</w:t>
      </w:r>
    </w:p>
    <w:p>
      <w:pPr>
        <w:spacing w:after="0" w:line="13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Outside of the U.S., we would largely depend on public or government-controlled payers for coverage of our oncology tests. As compared to many more routine diagnostic tests, our oncology tests are more complicated, expensive and are performed in a central, specialized lab. In order to accommodate the unique characteristics of our diagnostic products, public payers in certain non-U.S. markets have designed reimbursement frameworks specifically for each test type. These payers could decide to modify or discontinue these special frameworks, potentially leading to lower reimbursement prices or the impossibility of providing the test in the market. These changes could also impose additional administrative burdens on us, if it were to ever sell our tests in foreign jurisdictions, including complex public tendering procedures, or on ordering physicians, which could adversely affect the number of payers covering the test or the number of orders placed. Public payers could condition reimbursement of our tests upon performance of our tests locally or, even in laboratories owned or operated by the payers. Any such change would adversely affect our ability to continue to serve those patients through our labs. We may develop future oncologic tests that could be performed locally by laboratory partners and in hospitals around the world, however those developments efforts may be unsuccessful and any such tests that we may develop may not be approved by regulators or accepted by payers or patients.</w:t>
      </w:r>
    </w:p>
    <w:p>
      <w:pPr>
        <w:spacing w:after="0" w:line="1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Product and professional liability suits against us could result in expensive and time-consuming litigation, payment of substantial damages and increases in our insurance rates.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sale and use of our solutions, products and services could lead to product or professional liability claims, including class action lawsuits. We may also be subject to liability for errors in the test results including health information it provides to healthcare providers or patients or for a misunderstanding of, or inappropriate reliance upon, the information it provides. Claims could also arise out of clinical studies we may conduct or any of our other activities. A product or professional liability claim could result in substantial damages, be costly and time consuming to defend, and cause material harm to our business, reputation or financial condition. We cannot assure you that our liability insurance would protect our assets from the financial impact of defending a product or professional liability claim. Any claim brought against us, with or without merit, could increase our liability insurance rates or prevent it from securing insurance coverage in the future.</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Errors, defects, or mistakes in our products or services, and operations could harm our reputation, decrease market acceptance of our products or services.</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creating new products and services, many of which are initially based on largely untested technologies. As all of our products and services progress, we or others may determine that it made product or service-level 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our processes may initially result in unanticipated issues that reduce the efficiency or increase variability. In particular, sequencing, which is a key component of these processes, could be inefficient with higher than expected variability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increasing total sequencing costs and reducing the number of samples we can process in a given time period. Therefore, inefficient or variable processes can cause variability in our operating results and damage our reputation.</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our laboratory operations could result in any number of errors or defects. Our quality assurance system may fail to prevent it from inadvertent problems with samples, sample quality, lab processes including sequencing, software, data upload or analysis, raw materials, reagent manufacturing, assay quality or design, or other components or processes. In addition, our assays may have quality or design errors, and we may have inadequate procedures or instrumentation to process samples, assemble our proprietary primer mixes and commercial materials, upload and analyze data, or otherwise conduct our laboratory operations. If we provide products or services with undiscovered errors to our customers, our clinical diagnostics may falsely indicate a patient has a disease or genetic variant, fail to assess a patient’s risk of getting a disease or having a child with a disease, or fail to detect disease or variant in a patient who requires or could benefit from treatment or intervention. We believe our customers are likely to be particularly sensitive to product and service defects, errors and delays, including if our products and services fail to indicate the presence of residual disease with high accuracy from clinical specimens or if we fail to list or inaccurately indicate the presence or absence of disease in our test report or analysis. In drug discovery, such errors may interfere with our collaborators’ clinical studies or result in adverse safety or efficacy profiles for their products in development. This may harm our customers’ businesses and may cause it to incur significant costs, divert the attention of key personnel, encourage regulatory enforcement action against it, create a significant customer relations problem for us and cause our reputation to suffer. We may also be subject to warranty and liability claims for damages related to errors or defects in our products or services. Any of these developments could harm our business and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increasingly complex taxation rules and practices, which may affect how we conduct our business and our results of operations.</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our business grows, we are required to comply with increasingly complex taxation rules and practices. We are subject to tax in multiple U.S. tax jurisdictions and may be subject to foreign tax jurisdictions in the future. The development of our tax strategies requires additional expertise and may impact how we conduct our business. Our future effective tax rates could be unfavorably affected by changes in, or interpretations of, tax rules and regulations in the jurisdictions in which we do business or by changes in the valuation of our deferred tax assets and liabilities. Furthermore, we provide for certain tax liabilities that involve significant judgment. We are and may be subject to the examination of our tax returns by federal, state and foreign tax authorities. If our tax strategies are ineffective or it is not in compliance with domestic and international tax laws, as applicable, our financial position, operating results and cash flows could be adversely affected.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Trade Secrets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inability to effectively protect our proprietary products, processes, and technologies, including the confidentiality of our trade secrets, could harm our competitive position.</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currently rely upon trade secret protection and copyright, as well as non-disclosure agreements and invention assignment agreements with our employees, consultants and third parties, and to a limited extent patent protection, to protect our confidential and proprietary information. Although our competitors have utilized and are expected to continue utilizing similar methods and have aggregated and are expected to continue to aggregate similar databases of genetic testing information, our success will depend upon our ability to develop proprietary methods and databases and to defend any advantages afforded by our methods and databases relative to our competitors. If we do not protect our intellectual property adequately, competitors may be able to use our methods and databases and thereby erode any competitive advantages we may have.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be able to protect our proprietary rights from unauthorized use by third parties only to the extent that our proprietary technologies are covered by valid and enforceable patents or are effectively maintained as trade secrets. In this regard, we have applied, and we intend to continue applying, for patents covering such aspects of our technologies as it deems appropriate. However, we expect that potential patent coverage we may obtain will not be sufficient to prevent substantial competition. In this regard, we believe it is probable that others will independently develop similar or alternative technologies or design around those technologies for which we may obtain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protection. In addition, any patent applications we file may be challenged and may not result in issued patents or may be invalidated or narrowed in scope after they are issued. Questions as to inventorship or ownership may also arise. Any finding that our patents or applications are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we lose, we may lose some of our intellectual property rights. Furthermore, these lawsuits may divert the attention of our management and technical personnel.</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expect to rely substantially upon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and confidential information by entering into confidentiality agreements with employees and consultants. There can be no assurance that any confidentiality agreements that we have with our employees and consultants will provide meaningful protection for our trade secrets and confidential information or will provide adequate remedies in the event of unauthorized use or disclosure of such information. Accordingly, there also can be no assurance that our trade secrets will not otherwise become known or be independently developed by competitors.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inability to effectively protect our proprietary technologies under certain jurisdictions and legal regimes could harm our competitive position.</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success and ability to compete in certain jurisdictions and under certain legal regimes depend to a large extent on our ability to develop proprietary products and technologies and to maintain adequate protection of our intellectual property in the United States and other countries; this becomes increasingly important as we expand our operations and enter into strategic collaborations with partners to develop and commercialize products. The laws of some foreign countries do not protect proprietary rights to the same extent as the laws of the United States, and we may encounter difficulties in establishing and enforcing its proprietary rights outside of the United States. In addition, the proprietary positions of companies developing and commercializing tools for molecular diagnostics, including our own, generally are uncertain and involve complex legal and factual questions. This uncertainty may materially affect our ability to defend or obtain patents or to address the patents and patent applications owned or controlled by our collaborators and licensors.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Any of these factors could adversely affect our ability to obtain commercially relevant or competitively advantageous patent protection for our products.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patent regulations or standards are modified, such changes could have a negative impact on our business.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From time to time, the U.S. Supreme Court, other federal courts, the U.S. Congress or the USPTO may change the standards of patentability and validity of patents within the cancer screening and diagnostics space, and any such changes could have a negative impact on our business.</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There have been several cases involving “gene patents” and diagnostic claims that have been considered by the U.S. Supreme Court. In March 2012, the Supreme Court </w:t>
      </w:r>
      <w:r>
        <w:rPr>
          <w:rFonts w:ascii="Arial" w:cs="Arial" w:eastAsia="Arial" w:hAnsi="Arial"/>
          <w:sz w:val="18"/>
          <w:szCs w:val="18"/>
          <w:i w:val="1"/>
          <w:iCs w:val="1"/>
          <w:color w:val="auto"/>
        </w:rPr>
        <w:t>in Mayo Collaborative Services v. Prometheus Laboratories, Inc,</w:t>
      </w:r>
      <w:r>
        <w:rPr>
          <w:rFonts w:ascii="Arial" w:cs="Arial" w:eastAsia="Arial" w:hAnsi="Arial"/>
          <w:sz w:val="18"/>
          <w:szCs w:val="18"/>
          <w:color w:val="auto"/>
        </w:rPr>
        <w:t xml:space="preserve"> found a patented diagnostic method claim unpatentable because the relationship between a metabolite concentration and optimized dosage was a patent-ineligible “law of nature.” In June 2013, the Supreme Court ruled in </w:t>
      </w:r>
      <w:r>
        <w:rPr>
          <w:rFonts w:ascii="Arial" w:cs="Arial" w:eastAsia="Arial" w:hAnsi="Arial"/>
          <w:sz w:val="18"/>
          <w:szCs w:val="18"/>
          <w:i w:val="1"/>
          <w:iCs w:val="1"/>
          <w:color w:val="auto"/>
        </w:rPr>
        <w:t xml:space="preserve">ACLU v. Myriad Genetics, Inc, </w:t>
      </w:r>
      <w:r>
        <w:rPr>
          <w:rFonts w:ascii="Arial" w:cs="Arial" w:eastAsia="Arial" w:hAnsi="Arial"/>
          <w:sz w:val="18"/>
          <w:szCs w:val="18"/>
          <w:color w:val="auto"/>
        </w:rPr>
        <w:t>that an isolated genomic DNA sequence is not patent eligible while cDNA is eligible. The</w:t>
      </w:r>
      <w:r>
        <w:rPr>
          <w:rFonts w:ascii="Arial" w:cs="Arial" w:eastAsia="Arial" w:hAnsi="Arial"/>
          <w:sz w:val="18"/>
          <w:szCs w:val="18"/>
          <w:i w:val="1"/>
          <w:iCs w:val="1"/>
          <w:color w:val="auto"/>
        </w:rPr>
        <w:t xml:space="preserve"> Prometheus and Myriad </w:t>
      </w:r>
      <w:r>
        <w:rPr>
          <w:rFonts w:ascii="Arial" w:cs="Arial" w:eastAsia="Arial" w:hAnsi="Arial"/>
          <w:sz w:val="18"/>
          <w:szCs w:val="18"/>
          <w:color w:val="auto"/>
        </w:rPr>
        <w:t>decisions, as well as subsequent case law, affect the legal concept of subject matter eligibility by seemingly narrowing the scope of the statute defining patentable inventions.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2014 and again in 2019, the USPTO published revised guidelines for patent examiners to apply when examining process claims for patent eligibility in view of several recent Supreme Court decisions,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Mayo, Association for Molecular Pathology v. Myriad Genetics, Inc.</w:t>
      </w:r>
      <w:r>
        <w:rPr>
          <w:rFonts w:ascii="Arial" w:cs="Arial" w:eastAsia="Arial" w:hAnsi="Arial"/>
          <w:sz w:val="18"/>
          <w:szCs w:val="18"/>
          <w:color w:val="auto"/>
        </w:rPr>
        <w:t>, and</w:t>
      </w:r>
      <w:r>
        <w:rPr>
          <w:rFonts w:ascii="Arial" w:cs="Arial" w:eastAsia="Arial" w:hAnsi="Arial"/>
          <w:sz w:val="18"/>
          <w:szCs w:val="18"/>
          <w:i w:val="1"/>
          <w:iCs w:val="1"/>
          <w:color w:val="auto"/>
        </w:rPr>
        <w:t xml:space="preserve"> Alice Corporation Pty. Ltd. v. CLS Bank International</w:t>
      </w:r>
      <w:r>
        <w:rPr>
          <w:rFonts w:ascii="Arial" w:cs="Arial" w:eastAsia="Arial" w:hAnsi="Arial"/>
          <w:sz w:val="18"/>
          <w:szCs w:val="18"/>
          <w:color w:val="auto"/>
        </w:rPr>
        <w:t>, and others. The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indicates that claims directed to a law of nature, a natural phenomenon, or an abstract idea that do not meet the eligibility requirements should be rejected as non-statutory, patent ineligible subject matter. While these guidelines may be subject to review and modification by the USPTO over time, we cannot assure you that our intellectual property strategy or patent portfolio will not be negatively impacted by the decisions described above, rulings in other cases or changes in guidance or procedures issued by the USPTO.</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substantive changes to patent law, whether new or associated with the America Invents Act—which substantially revised the U.S. patent system —may affect our ability to obtain, enforce or defend our patents. Accordingly, it is not clear what, if any, impact these substantive changes will ultimately have on the cost of prosecuting our patent applications, our ability to obtain patents based on our discoveries and our ability to enforce or defend our issued patents, all of which could have a material adverse effect on our business.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not able to adequately protect our trade secrets and other proprietary information, including the databases we manage and to which we have access, the value of our technology and products could be significantly diminished.</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rely on trade secret and proprietary know-how protection for our confidential and proprietary information and have taken security measures to protect this information. These measures, however, may not provide adequate protection. For example, we have a policy of requiring our consultants, advisors and collaborators, including, for example, our strategic collaborators with whom we seek to develop and commercialize products, to enter into confidentiality agreements and our employees to enter into invention, non-disclosure and in certain cases non-compete agreements. However, breaches of our physical or electronic security systems, or breaches caused by our employees who failing to abide by their confidentiality obligations during or upon termination of their employment with us, could compromise these protection efforts. Any action we take to enforce our rights may be time-consuming, expensive, and possibly unsuccessful. Even if successful, the resulting remedy may not adequately compensate us for the harm caused by the breach. These risks are heightened in countries where laws or law enforcement practices may not protect proprietary rights as fully as in the United States or Europe. Any unauthorized use or disclosure of, or access to, our trade secrets, know-how or other proprietary information, whether accidentally or through willful misconduct, could have a material adverse effect on our programs and our strategy, and on our ability to compete effectively.</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Failure to maintain our trademark registrations, or to obtain new trademark registrations in the future, could limit our ability to protect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our trademark rights and prevent infringement, we may be required to file trademark claims against third parties or initiate trademark opposition proceedings. This can be expensive and time-consuming, and possibly unsuccessful. our registered or unregistered trademarks or trade names may be challenged, infringed, circumvented, declared generic or determined to infringe on other marks.</w:t>
      </w:r>
    </w:p>
    <w:p>
      <w:pPr>
        <w:spacing w:after="0" w:line="1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pending trademark applications in the United States and in other foreign jurisdictions where we may file may not be successful. Even if these applications result in registered trademarks, third parties may challenge these trademarks in the future. Over the long term, if we are unable to establish name recognition based on our trademarks and trade names, then we may not be able to compete effectively, and our business may be adversely affected.</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Litigation or other proceedings resulting from either third-party claims of patent infringement, or asserting infringement by third parties of our technology, could be costly, time-consuming, and could limit our ability to commercialize our products or services.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success depends in part on our non-infringement of the patents or intellectual property rights of third parties, and our ability to successfully prevent third parties from infringing our intellectual property. We operate in a crowded technology area in which there has been substantial litigation and other proceedings regarding patent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intellectual property rights in the genetic diagnostics industry. Third parties, including our competitors, have asserted and may in the future assert that we are infringing their intellectual property rights. We may also become subject to and/or initiate future intellectual property litigation as our product portfolio and the level of competition in our industry grow.</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Because the U.S. Patent &amp; Trademark Office (“USPTO”) maintains patent applications in secrecy until a patent application publishes or the patent is issued, we have no way of knowing if others may have filed patent applications covering technologies used by it or our partners. Additionally, there may be third-party patents, patent applications and other intellectual property relevant to our technologies that may block or compete with our technologies. From time-to-time we have received correspondence from third parties alleging to hold intellectual property rights that could block our development or commercialization of products. While none of these inquiries to date have had any material effect on it, we may receive inquiries in the future that could have a material effect on our business. Even if third-party claims are without merit, defending a lawsuit may result in substantial expense to us and may divert the attention of management and key personnel. In addition, we cannot provide assurance that it would prevail in any such suits to the extent necessary to conduct our business according to our strategic plan or that the damages or other remedies, if any, awarded against it would not be substantial. Claims of intellectual property infringement may require that we, or our strategic partners, enter into unsustainably high royalty or license agreements with third parties that may only be available on unacceptable terms, if at all. In addition, we could experience delays in product introductions or sales growth while we attempt to develop non-infringing alternatives. These claims could also result in injunctions against the further development and commercial sale of services or products containing our technologies, which would have a material adverse effect on our business, financial condition and results of operations.</w:t>
      </w:r>
    </w:p>
    <w:p>
      <w:pPr>
        <w:spacing w:after="0" w:line="13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patents and patent applications owned by us may become the subject of interference proceedings in the USPTO to determine priority of invention, which could result in substantial cost to us as well as a possible adverse decision as to the priority of invention of the patent or patent application involved. An adverse decision in an interference proceeding may result in the loss of rights under a patent or patent application subject to such a proceeding. We cannot predict whether, or offer any assurance that, the patent infringement claims may initiate in the future will be successful. We are and may become subject to counterclaims by patent infringement defendants. Our patents may be declared invalid or unenforceable, or narrowed in scope. Even if we prevail in an infringement action, we cannot assure you that it would be adequately compensated for the harm to our business. If we are unable to enjoin third-party infringement, our revenues may be adversely impacted and we may lose market share; and such third-party product may continue to exist in the market, but fail to meet our regulatory or safety standards, thereby causing irreparable harm to our reputation as a provider of quality products, which in turn could result in loss of market share and have a material adverse effect on our business, financial condition and our results of operations.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our agreements with some of our customers, suppliers, and other entities with whom we do business require us to defend or indemnify these parties to the extent they become involved in patent infringement claims, including the types of claims described in this risk factor. We have agreed, and may in the future agree, to defend or indemnify third parties if we determine it to be in the best interests of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use of open-source software could subject our business to possible litigation or cause us to subject our platform to unwanted open-source license conditions that could negatively impact our sales.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limited but meaningful portion of our platforms and products incorporate open-source software, and we will incorporate open-source software into other offerings or products in the future. Such open-source software is generally licensed by its authors or other third parties under open-source licenses. There is little legal precedent governing the interpretation of certain terms of these licenses, and therefore the potential impact of these terms on our business is unknown and may result in unanticipated obligations regarding our products and technologies. If an author or other third party that distributes such open-source software were to allege that we had not complied with the conditions of one or more of these licenses, we could be required to incur significant legal expenses defending against such allegations. In addition, if we combine our proprietary software with open-source software in a certain manner, under some open-source licenses, we could be required to release the source code of our proprietary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software, which could substantially help our competitors develop products that are similar to or better than our products.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strategic collaborative and licensing arrangements with third parties to develop critical intellectual property. We may not be able to successfully establish and maintain such intellectual property.</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development and commercialization of our products and services rely, directly or indirectly, upon strategic collaborations and licensing agreements with third parties. Such arrangements provide us with intellectual property and other business rights crucial to our product development and commercialization. We have incorporated licensed technology into our tests. Our dependence on licensing, collaboration and other similar agreements with third parties may subject it to a number of risks. There can be no assurance that any current contractual arrangements between us and third parties or between our strategic partners and other third parties will be continued on materially similar 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expect to continue and expand our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we agree to work exclusively with one collaborator in a given area, our opportunities to collaborate with other entities could be limited. Potential collaborators or licensors may reject collaborations with it based upon their assessment of our financial, regulatory or intellectual property position or other factors. Even if we successfully establish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our collaborators will continue to be successful and, as a result, we may expend considerable time and resources developing products or services that will not ultimately be commercialized.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Privacy and Information Technology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Interruption, interference with, or failure of our information technology and communications systems could hurt our ability to effectively provide our products and services, which could harm our reputation, financial condition, and operating results.</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availability of our products and services and fulfillment of our customer contracts depend on the continuing operation of our information technology and communications systems. Our systems are vulnerable to damage, interference, or interruption from terrorist attacks, natural disasters, the effects of climate change (such as sea level rise, drought, flooding, wildfires, and increased storm severity), power loss, telecommunications failures, computer viruses, ransomware attacks, computer denial of service attacks, phishing schemes, or other attempts to harm or access our systems. Some of our data centers are located in areas with a high risk of major earthquakes or other natural disasters. Our data centers are also subject to break-ins, sabotage, and intentional acts of vandalism, and, in some cases, to potential disruptions resulting from problems experienced by facility operators. Some of our systems are not fully redundant, and disaster recovery planning cannot account for all eventualities.</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occurrence of a natural disaster, closure of a facility, or other unanticipated problems at our data centers could result in lengthy interruptions in our service. In addition, our products and services are highly technical and complex and may contain errors or vulnerabilities, which could result in interruptions in or failure of our services or systems.</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ordinary course of our business, we collect and store sensitive data, including PHI, personally identifiable information, genetic information, credit card information, intellectual property and proprietary business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owned or controlled by us or our customers, payers and other parties. We manage and maintain our applications and data utilizing a combination of on-site systems, managed data center systems and cloud-based systems. We also communicate PHI and other sensitive patient data through our various customer tools and platforms.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We face a number of risks relative to protecting this critical information, including loss of access risk, inappropriate disclosure, inappropriate modification, and the risk of our being unable to adequately monitor and modify our controls over our critical information. Any technical problems that may arise in connection with the data that we access and our systems, including those that are hosted by third-party providers, could result in interruptions to our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our business and operations.</w:t>
      </w:r>
    </w:p>
    <w:p>
      <w:pPr>
        <w:spacing w:after="0" w:line="11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secure processing, storage, maintenance and transmission of this critical information are vital to our operations and business strategy, and we devote significant resources to protecting such information. Although we take what we believe to be reasonable and appropriate measures, including a formal, dedicated enterprise security program, to protect sensitive information from various compromises (including unauthorized access, disclosure, or modification or lack of availability), our information technology and infrastructure may be vulnerable to attacks by hackers or viruses or breached due to employee error, malfeasance or other disruptions. Any such breach or interruption could compromise our networks and the information stored therein could be accessed by unauthorized parties, altered, publicly disclosed, lost or stolen.</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Further, some of our customer tools and platforms are currently accessible through a portal and there is no guarantee that we can protect our portal from a security breach. Unauthorized access, loss or dissemination could also disrupt our operations (including our ability to conduct our analyses, provide test results, bill payers or patients,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and damage our reputation, any of which could adversely affect our business. In addition to data security risks, we also face privacy risks. Should we actually violate, or be perceived to have violated, any privacy promises our business makes to patients or consumers, it could be subject to a complaint from an affected individual or interested privacy regulator, such as the FTC, a state Attorney General, an EU Member State Data Protection Authority, or a data protection authority in another international jurisdiction. This risk is heightened given the sensitivity of the data we collect.</w:t>
      </w:r>
    </w:p>
    <w:p>
      <w:pPr>
        <w:spacing w:after="0" w:line="1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 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 Penalties for unfair or deceptive acts or practices under the FTC Act or state Unfair and Deceptive Acts and Practices (“UDAP”) statutes may also vary significantly.</w:t>
      </w:r>
    </w:p>
    <w:p>
      <w:pPr>
        <w:spacing w:after="0" w:line="12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There has been unprecedented activity in the development of data protection regulation around the world. As a result, the interpretation and application of consumer, health-related and data protection laws in the United States, Europe and elsewhere are often uncertain, contradictory and in flux. The GDPR took effect on May 25, 2018. The GDPR took effect on May 25, 2018. The GDPR applies to any entity established in the EU as well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 million euros or 4% of an organization’s annual global revenue, whichever is greater.</w:t>
      </w:r>
    </w:p>
    <w:p>
      <w:pPr>
        <w:spacing w:after="0" w:line="1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Further, the United Kingdom’s decision to leave the EU, often referred to as Brexit, has created uncertainty with regard to data protection regulation in the United Kingdom. The relationship between the United Kingdom and the EU remains uncertain, for example how data transfers between the United Kingdom and the EU and other jurisdictions will be treated and the role of the United Kingdom’s supervisory authority. For example, on June 28, 2021, the European Commission adopted the adequacy decision (the “UK Adequacy Decision”) in the wake of a non-binding vote by the European Parliament against the then-draft UK Adequacy Decision the month prior. Consequently, personal data can continue to flow from the EEA to the United Kingdom without the need for appropriate safeguards. The UK Adequacy Decision includes a “sunset clause”, rendering the decision valid for four years only, after which it will be reviewed by the European Commission and renewed only if the European Commission considers that the United Kingdom continues to ensure an adequate level of data protection. The European Commission also stated that it would intervene at any point within the four years if the United Kingdom deviates from the level of protection presently in place. If this adequacy decision reversed by the European Commission, it would require that companies implement protection measures such as the standard contractual clauses for data transfers between the EU and the United Kingdom.</w:t>
      </w:r>
    </w:p>
    <w:p>
      <w:pPr>
        <w:spacing w:after="0" w:line="11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(“CPRA”) that is scheduled to go into effect on January 1, 2023. The CPRA would, among other things, amend the CCPA to give California residents the ability to limit the use of their sensitive information, provide for penalties for CPRA violations concerning California residents under the age of 16, and establish a new California Privacy Protection Agency to implement and enforce the law. Other jurisdictions in the United States are beginning to propose laws similar to CCPA. Some observers have noted that the CCPA could mark the beginning of a trend toward more stringent privacy legislation, which could increase our potential liability and adversely affect our business, results of operations, and financial condition.</w:t>
      </w:r>
    </w:p>
    <w:p>
      <w:pPr>
        <w:spacing w:after="0" w:line="1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possible the GDPR, CCPA and other emerging United States and international data protection laws may be interpreted and applied in manner that is inconsistent with our practices. If so, this could result in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imposed fines or orders requiring that we change our practices, which could adversely affect our business. In addition, these privacy laws and regulations may differ from country to country and state to state, and our obligations under these laws and regulations vary based on the nature of our activities in the particular jurisdiction, such as whether we collect samples from individuals in the local jurisdiction, perform testing in the local jurisdiction, or process personal information regarding employees or other individuals in the local jurisdiction. Complying with these various laws and regulations could cause us to incur substantial costs or require it to change our business practices and compliance procedures in a manner adverse to our business. We can provide no assurance that it is or will remain in compliance with diverse privacy and data security requirements in all of the jurisdictions in which we do business. Failure to comply with privacy and data security requirements could result in a variety of consequences, or damage to our reputation, any of which could have a material adverse effect on our business.</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Data privacy and security concerns relating to our technology and our practices could damage our reputation, subject it to significant legal and financial exposure,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products and services involve the storage and transmission of protected health information and other personal information, proprietary information, and bugs, theft, misuse, defects, vulnerabilities in our products and services, and security breaches expose it to a risk of loss of this information, improper use and disclosure of such information, litigation, and other potential liability. Systems and control failures, security breaches, failure to comply with our privacy policies, and/or inadvertent disclosure of user data could result in government and legal exposure, seriously harm our reputation and brand and, therefore, our business, and impair our ability to attract and retain users or customers. We expect to continue to expend significant resources to maintain security protections that shield against bugs, theft, misuse, or security vulnerabilities or breaches.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experience cyber-attacks and other attempts to gain unauthorized access to our systems on a regular basis. We may experience future security issues, whether due to employee error or malfeasance or system errors or vulnerabilities in our or other parties’ systems, which could result in significant legal and financial exposure. Government inquiries and enforcement actions, litigation, and adverse press coverage could harm our business. We may be unable to anticipate or detect attacks or vulnerabilities or implement adequate preventative measures. Attacks and security issues could also compromise trade secrets and other sensitive information, harming our business.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have dedicated significant resources to privacy and security incident response capabilities, including dedicated worldwide incident response teams, our response process may not be adequate, may fail to accurately assess the severity of an incident, may not respond quickly enough, or may fail to sufficiently remediate an incident. As a result, we may suffer significant legal, reputational, or financial exposure, which could harm our business, financial condition, and operating results.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our scientific computing and information technology and management systems and any failure of these systems could harm our business.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depend on scientific computing and information technology and management systems, including third-party cloud computing infrastructure, operating systems and artificial intelligence platforms, for significant elements of our operations, including our laboratory information management system, clinical database, analytical platform, laboratory workflow tools, customer and collaborator reporting and related functions. We also depend on our proprietary workflow software to support new product and service launches and regulatory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installed, and expects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we have installed, and intends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billing and collections provider depends upon technology and telecommunications systems provided by outside vendors.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these systems or those used by our collaborators or subcontractors could prevent it from conducting our comprehensive screening analysis, clinical diagnostics and drug discovery, preparing and providing reports to researchers, clinicians and our collaborators, billing payers, handling physician inquiries, conducting research and development activities and managing the administrative aspects of our business. Any disruption or loss of information technology or telecommunications systems on which critical aspects of our operations depend could have an adverse effect on our business and our reputation, and we may be unable to regain or repair our reputation in the future.</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ability to transfer data stored outside of the United States could be limited by international regulations or other action by foreign governments, which could adversely affect our business.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the data we process in the ordinary course of our business may be stored outside of the United States. In order to process such data, we may need to transfer them to countries other than those where they are stored. Should a foreign government adopt a regulation restricting the international transfer of such data, we may not be able to process them, which could adversely impact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incur increased costs and demands on management as a result of compliance with laws and regulations applicable to public companies, which could harm our operating results.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public company, we incur significant legal, accounting and other expenses, including costs associated with public company reporting requirements. In addition, the Sarbanes-Oxley Act of 2002, the Sarbanes-Oxley Act, as well as rules implemented by the SEC and Nasdaq, impose a number of requirements on public companies, including with respect to corporate governance practices. The SEC and other regulators have continued to adopt new rules and regulations and make additional changes to existing regulations that require the company’s compliance. In addition, the Dodd-Frank Wall Street Reform and Consumer Protection Act (the “Dodd-Frank Act”), enacted in 2010, includes significant corporate governance and executive-compensation-related provisions. Our management and other personnel will need to devote a substantial amount of time to these compliance and disclosure obligations. If these requirements divert the attention of our management and personnel from other aspects of our business concerns, they could have a material adverse effect on our business, financial condition and results of operations. Moreover, these rules and regulations applicable to public companies substantially could increase our legal, accounting and financial compliance costs, require that we hire additional personnel and make some activities more time consuming and costly.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market for our securities may not continue, which would adversely affect the liquidity and price of our securities.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price of our securities may fluctuate significantly due to general market and economic conditions. An active trading market for our securities may not be sustained. In addition, the price of our securities can vary due to general economic conditions and forecasts, our general business condition and the release of our financial reports. You may be unable to sell your securities when desired or at an acceptable price unless an active trading market can be sustained.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meet the expectations of investors, stockholders or financial analysts, the market price of our securities may decline.</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we do not meet the expectations of investors or securities analysts, the market price of our securities may decline. In addition, fluctuations in the price of our securities could contribute to the loss of all or part of your investment. If an active market for our securities does not continue,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17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financial results or the quarterly financial results of companies perceived to be similar to us;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announcements of technological innovation, new products, acquisitions, strategic alliances, significant agreements by us or competitors;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 of competitors;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operating results falling below our financial guidance or other projections or failing to meet the expectation of securities analysts or investors in a particular period;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market new and enhanced products on a timely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that the Acquisition disrupts our current plans and operations or affects our ability to retain or recruit key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related to the Acquisition diverting management’s or employees’ attention from ongoing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44" w:lineRule="exact"/>
        <w:rPr>
          <w:sz w:val="20"/>
          <w:szCs w:val="20"/>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 of the Acquisition on our business relationships (including, without limitation customers, strategic partners, collaborators and suppliers), operating results and business generally;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of the costs, fees, expenses and charges related to the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volume of shares of our Class A common stock available for public sale;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substantial amounts of Class A common stock by our directors, officers or significant stockholders or the perception that such sales could occur;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expiration of the market stand-off or contractual lock-up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realization of any of the risk factors described herein;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comply with the requirements of Nasdaq;</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comply with the Sarbanes-Oxley Act or other laws or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potential or perceived control, accounting or reporting problems;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accounting principles, policies and guidelines;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inflation and interest rates, fuel prices, international currency fluctuations and acts of war or terrorism.</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cease publishing research or reports about us, our business, or our market, or if they change their recommendations regarding our Class A common stock adversely, then the price and trading volume of our Class A common stock could decline.</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trading market for our Class A common stock is influenced by the research and reports that industry or securities analysts publish about us, our business, our market, or our competitors. If any of the analysts who cover us change their recommendation regarding our stock adversely, or provide more favorable relative recommendations about our competitors, the price of our Class A common stock would likely decline. If any analyst who covers us were to cease coverage of us or fail to regularly publish reports on us, we could lose visibility in the financial markets, which could cause our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Anti-takeover provisions contained in our Charter and Bylaws, as well as provisions of Delaware law, could impair a takeover attempt.</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Charter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spacing w:after="0" w:line="13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the Board;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 that directors may only be removed from the Board for cause;</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prohibition on stockholders calling a special meeting and the requirement that a meeting of stockholders may only be called by a majority of the board, our chairman of the board or our chief executive officer and may not be called by any other person, which may delay the ability of our stockholders to force consideration of a proposal or to take action, including the removal of directors;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 that changes or amendments to certain provisions of our Charter must be approved by holders of at least two-thirds of our Class A common stock; and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regarding executive compensation in our periodic reports. As a result, our stockholders may not have access to certain information they deem important. We will remain an emerging growth company until the earliest of (i) the last day of the fiscal year: (a) following September 1, 2025, the fifth anniversary of the initial public offering of CMLS; (b) in which we have total annual gross revenue of at least $1.07 billion; or (c) in which we are deemed to be a large accelerated filer, which means the market value of our Class A common stock that is held by non-affiliates exceeds $700.0 million as of the prior June 30th, and (ii) the date on which we have issued more than $1.0 billion in non-convertible debt during the prior three-year period.</w:t>
      </w:r>
    </w:p>
    <w:p>
      <w:pPr>
        <w:spacing w:after="0" w:line="10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(i) the market value of our Class A common stock held by non-affiliates exceeds $250 million as of the prior June 30, or (ii) our annual revenues exceeded $100 million during such completed fiscal year and the market value of our Class A common stock held by non-affiliates exceeds $700 million as of the prior June 30.</w:t>
      </w:r>
    </w:p>
    <w:p>
      <w:pPr>
        <w:spacing w:after="0" w:line="12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cannot predict if investors will find our Class A common stock less attractive because we rely on these exemptions. If some investors find our Class A common stock less attractive as a result, there may be a less active trading market for our Class A common stock and our stock price may be more volatile.</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public company, we are required to comply with the SEC’s rules implementing Sections 302 and 404 of Sarbanes-Oxley Act, which require management to certify financial and other information in our quarterly and annual reports and provide an annual management report on the effectiveness of internal control over financial reporting. To comply with the requirements of being a public company, we are required to provide management’s assessment on internal controls, and we may need to undertake various actions, such as implementing additional internal controls and procedures and hiring additional accounting or internal audit staff.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company are documented, designed or operating.</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Testing and maintaining these controls can divert our management’s attention from other matters that are important to the operation of our business. If we identify material weaknesses in the internal control over financial reporting of the company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reports and the market price of our Class A common stock could be negatively affected, and we could become subject to investigations by the SEC or other regulatory authorities, which could require additional financial and management resources.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Charter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Charter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Charter provides that, subject to limited exceptions, the Court of Chancery of the State of Delaware and federal court within the State of Delaware will be exclusive forums for any:</w:t>
      </w:r>
    </w:p>
    <w:p>
      <w:pPr>
        <w:spacing w:after="0" w:line="11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derivative action or proceeding brought on our behalf;</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action asserting a claim of breach of a fiduciary duty owed by, or other wrongdoing by, any of our directors, officers, stockholders, employees or agents to us or our stockholders;</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action asserting a claim against the us or any of our directors, officers, stockholders, employees or agents arising pursuant to any provision of the DGCL, our Charter or our Bylaws or as to which the DGCL confers jurisdiction on the Court of Chancery of the State of Delaware:</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action to interpret, apply, enforce or determine the validity of our Charter or our Bylaws; or</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action asserting a claim against us or any of our directors, officers, stockholders, employees or agents that is governed by the internal affairs doctrine.</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choice of forum provision does not apply to actions brought to enforce a duty or liability created under the Exchange Act or any other claim for which federal courts have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Any person or entity purchasing or otherwise acquiring or holding any interest in any of our securities shall be deemed to have notice of and consented to our exclusive forum provision in our Bylaws and the choice of forum provision in our Charter.</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provisions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Charter to be inapplicable or unenforceable in an action, we may incur additional costs associated with resolving such action in other jurisdictions, which could harm our business, results of operations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The stockholders will not be deemed to have waived our compliance with the federal securities laws and the regulations promulgated thereunder.</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choice of forum provision. These provisions may limit a stockholders’ ability to bring a claim, and may result in increased costs for a stockholder to bring a claim in a judicial forum of their choosing for disputes with us or our directors, officers, or other employees, which may discourage lawsuits against us and our directors, officers, and other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Warrants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warrants are exercisable for our Class A common stock, which will increase the number of shares eligible for future resale in the public market and result in dilution to our stockholders.</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December 31, 2021, our public warrants are exercisable for 14,758,305 shares of Class A common stock at $11.50 per share. Our private warrants are exercisable for 7,236,667 shares of Class A common stock at $11.50 per share. The additional shares of our Class A common stock issuable upon exercise of our warrants will result in dilution to the then existing holders of our Class A common stock and increase the number of shares eligible for resale in the public market. Sales of substantial numbers of such shares in the public market could adversely affect the market price of our Class A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the changes in value of our warrants could have a material effect on our financial results.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Included on our balance sheet as of December 31, 2021 are derivative liabilities related to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resales of our Class A common stock could cause the market price of our common stock to drop significantly, even if our business is doing well.</w:t>
      </w:r>
    </w:p>
    <w:p>
      <w:pPr>
        <w:spacing w:after="0" w:line="20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w:t>
      </w:r>
    </w:p>
    <w:p>
      <w:pPr>
        <w:spacing w:after="0" w:line="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had outstanding 377,249,186 shares of Class A common stock as of April 30, 2022. The registration statement to which this prospectus relates registers the offer and sale from time to time by the Selling Stockholders of up to 160,864,198 shares of common stock, although the 110,864,198 shares registered on behalf of OPKO will be subject to transfer restrictions pursuant to the Shareholder Agreements. See “</w:t>
      </w:r>
      <w:r>
        <w:rPr>
          <w:rFonts w:ascii="Arial" w:cs="Arial" w:eastAsia="Arial" w:hAnsi="Arial"/>
          <w:sz w:val="17"/>
          <w:szCs w:val="17"/>
          <w:i w:val="1"/>
          <w:iCs w:val="1"/>
          <w:color w:val="auto"/>
        </w:rPr>
        <w:t>Certain Relationships and Related Party</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Transactions—Related Party Transactions Related to the Acquisition—Shareholder Agreements</w:t>
      </w:r>
      <w:r>
        <w:rPr>
          <w:rFonts w:ascii="Arial" w:cs="Arial" w:eastAsia="Arial" w:hAnsi="Arial"/>
          <w:sz w:val="17"/>
          <w:szCs w:val="17"/>
          <w:color w:val="auto"/>
        </w:rPr>
        <w:t>” for more information regarding these transfer restrictions.</w:t>
      </w:r>
      <w:r>
        <w:rPr>
          <w:rFonts w:ascii="Arial" w:cs="Arial" w:eastAsia="Arial" w:hAnsi="Arial"/>
          <w:sz w:val="17"/>
          <w:szCs w:val="17"/>
          <w:i w:val="1"/>
          <w:iCs w:val="1"/>
          <w:color w:val="auto"/>
        </w:rPr>
        <w:t xml:space="preserve"> </w:t>
      </w:r>
      <w:r>
        <w:rPr>
          <w:rFonts w:ascii="Arial" w:cs="Arial" w:eastAsia="Arial" w:hAnsi="Arial"/>
          <w:sz w:val="17"/>
          <w:szCs w:val="17"/>
          <w:color w:val="auto"/>
        </w:rPr>
        <w:t>In addition, we have filed a separate registration statement that the registers the offer and sale from time to time by certain selling security holders of up to an additional 229,657,978 shares of our Class A common stock. Furthermore, beginning on July 29, 2022, Rule 144 will become available for the resale of any shares that are restricted or control securities, subject to volume and other restrictions as applicable under Rule 144. To the extent shares are sold into the market pursuant to this prospectus, under Rule 144 or otherwise, particularly in substantial quantities and including following the end of the transfer restrictions provided for in the Shareholder Agreements in the case of OPKO and the other Lock-Up Holders, the market price of our Class A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All of the securities offered by the Selling Stockholders pursuant to this prospectus will be sold by the Selling Stockholders for their respective accounts.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will not receive any of the proceeds from these sales.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Selling Stockholders will pay any underwriting discounts and commissions and expenses incurred by the Selling Stockholders for brokerage, accounting, tax or legal services or any other expenses incurred by the Selling Stockholders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INFORMATION FOR COMMON STOCK AND DIVIDEND POLICY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Class A common stock is listed on the Nasdaq under the symbol “SMFR”. On April 29, 2022, the closing sale price of our Class A common stock was $2.15 per share and the closing price of the public warrants was $0.40 per warrant. As of April 29, 2022, there were approximately 76 holders of record of our Class A common stock. Such numbers do not include beneficial owners whose shares were held of record by nominees or broker dealers.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paid any cash dividends on our capital stock. We anticipate that we will retain earnings, if any, to support operations and to finance the growth and development of our business. In addition, the terms of the revolving credit facility with Silicon Valley Bank (“SVB”) precludes us from paying cash dividends without the prior written consent of SVB. Therefore, we do not expect to pay cash dividends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FINANCIAL INFORMATION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Defined terms included below have the same meaning as terms defined and included elsewhere in the prospectus. Unless otherwise indicated or the context otherwise requires, references in this section to (i) “we,” “our,” “Sema4” and the “Company” refer to Sema4 Holdings Corp., a Delaware corporation, and its consolidated subsidiary and to (ii) “GeneDx,” refers to (a) GeneDx, Inc., a New Jersey corporation prior to the Closing of the Acquisition and (b) GeneDx, LLC, a Delaware limited liability company following the Closing of the Acquisition.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combined financial statements are based on the historical consolidated financial statements of Sema4 and historical combined financial statements of GeneDx and are adjusted to illustrate the estimated effects of the Acquisition as described below. In order to finance the Acquisition, Sema4 entered into Subscription Agreements with the PIPE Investors. The PIPE Investment closed substantially concurrently with the closing of the Acquisition.</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Sema4 is a patient-centered, health intelligence company with a mission to use artificial intelligence, or AI, and machine learning to enable personalized medicine for all. Sema4’s integrated information platform leverages longitudinal patient data, AI-driven predictive modeling, and genomics in combination with other molecular and high-dimensional data in our efforts both to deliver better outcomes for patients and to transform the practice of medicine, including how disease is diagnosed, treated, and prevented. Sema4 is headquartered in Stamford, Connecticut.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GeneDx, is a patient-centric health information company and leader in delivering clinical genomic answers to an ever-increasing community of patients, families and healthcare providers. With more than 20 years of experience in diagnosing rare disorders and diseases, GeneDx have pioneered panels, exome and whole genome sequencing and have developed a proprietary genomic interpretation and information services platform in support of healthcare partners and patients globally. GeneDx is headquartered in Elmwood Park in New Jersey.</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combined balance sheet as of December 31, 2021, combines the audited historical consolidated balance sheet of Sema4 as of December 31, 2021, with the audited historical combined carve out balance sheets of GeneDx as of December 31, 2021, giving effect to the Acquisition, the PIPE Investment and all factually supportable adjustments that are directly attributable to the Transactions, as if they had been consummated as of that date.</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combined statements of operations for the year ended December 31, 2021, combine the historical consolidated statements of comprehensive loss of Sema4 and the historical combined carve out statements of comprehensive loss of GeneDx for such periods, giving effect to the Acquisition, the PIPE Investment and all factually supportable adjustments that are directly attributable to the Transactions, as if they had been consummated on January 1, 2021, the beginning of the earliest period presented.</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unaudited pro forma combined financial information presented is based on the estimates, assumptions and adjustments described in the accompanying notes. The unaudited pro forma combined financial information is derived from the respective historical consolidated financial statements of Sema4 and combined carve out financial statements of GeneDx as described further in Note 2 — Basis of Presentation. The unaudited pro forma combined financial information includes adjustments which are preliminary and may be revised after closing. There can be no assurance that such revisions will not result in material changes. The unaudited pro forma combined financial information is presented for illustrative purposes only and is not necessarily indicative of the results or financial position that would have occurred or that may occur in the future had the Acquisition and PIPE Investment been completed on the dates indicated, nor is it necessarily indicative of the future operating results or financial position of Sema4 after the Acquisition. Future results may vary significantly from the results reflected because of various factors.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pro forma combined financial information has been compiled in a manner consistent with the accounting policies adopted by Sema4. Subsequent to completion of the Acquisition, Sema4 will perform a more detailed review of the GeneDx accounting policies. As a result of that review, differences could be identified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between the accounting policies of the two companies that, when conformed, have a material impact on the combined financial statements.</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UNAUDITED PRO FORMA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Historical</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Pro Forma</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Sema4</w:t>
            </w:r>
          </w:p>
        </w:tc>
        <w:tc>
          <w:tcPr>
            <w:tcW w:w="400" w:type="dxa"/>
            <w:vAlign w:val="bottom"/>
          </w:tcPr>
          <w:p>
            <w:pPr>
              <w:spacing w:after="0"/>
              <w:rPr>
                <w:sz w:val="11"/>
                <w:szCs w:val="11"/>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GeneDx</w:t>
            </w:r>
          </w:p>
        </w:tc>
        <w:tc>
          <w:tcPr>
            <w:tcW w:w="1560" w:type="dxa"/>
            <w:vAlign w:val="bottom"/>
            <w:gridSpan w:val="2"/>
          </w:tcPr>
          <w:p>
            <w:pPr>
              <w:jc w:val="right"/>
              <w:ind w:right="19"/>
              <w:spacing w:after="0" w:line="135" w:lineRule="exact"/>
              <w:rPr>
                <w:sz w:val="20"/>
                <w:szCs w:val="20"/>
                <w:color w:val="auto"/>
              </w:rPr>
            </w:pPr>
            <w:r>
              <w:rPr>
                <w:rFonts w:ascii="Arial" w:cs="Arial" w:eastAsia="Arial" w:hAnsi="Arial"/>
                <w:sz w:val="14"/>
                <w:szCs w:val="14"/>
                <w:b w:val="1"/>
                <w:bCs w:val="1"/>
                <w:color w:val="auto"/>
                <w:w w:val="97"/>
              </w:rPr>
              <w:t>Pro forma Adjustment</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jc w:val="right"/>
              <w:ind w:right="99"/>
              <w:spacing w:after="0" w:line="135" w:lineRule="exact"/>
              <w:rPr>
                <w:sz w:val="20"/>
                <w:szCs w:val="20"/>
                <w:color w:val="auto"/>
              </w:rPr>
            </w:pPr>
            <w:r>
              <w:rPr>
                <w:rFonts w:ascii="Arial" w:cs="Arial" w:eastAsia="Arial" w:hAnsi="Arial"/>
                <w:sz w:val="14"/>
                <w:szCs w:val="14"/>
                <w:b w:val="1"/>
                <w:bCs w:val="1"/>
                <w:color w:val="auto"/>
                <w:w w:val="95"/>
              </w:rPr>
              <w:t>Pro Forma Balance</w:t>
            </w:r>
          </w:p>
        </w:tc>
        <w:tc>
          <w:tcPr>
            <w:tcW w:w="0" w:type="dxa"/>
            <w:vAlign w:val="bottom"/>
          </w:tcPr>
          <w:p>
            <w:pPr>
              <w:spacing w:after="0"/>
              <w:rPr>
                <w:sz w:val="1"/>
                <w:szCs w:val="1"/>
                <w:color w:val="auto"/>
              </w:rPr>
            </w:pPr>
          </w:p>
        </w:tc>
      </w:tr>
      <w:tr>
        <w:trPr>
          <w:trHeight w:val="188"/>
        </w:trPr>
        <w:tc>
          <w:tcPr>
            <w:tcW w:w="4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439"/>
              <w:spacing w:after="0"/>
              <w:rPr>
                <w:sz w:val="20"/>
                <w:szCs w:val="20"/>
                <w:color w:val="auto"/>
              </w:rPr>
            </w:pPr>
            <w:r>
              <w:rPr>
                <w:rFonts w:ascii="Arial" w:cs="Arial" w:eastAsia="Arial" w:hAnsi="Arial"/>
                <w:sz w:val="14"/>
                <w:szCs w:val="14"/>
                <w:b w:val="1"/>
                <w:bCs w:val="1"/>
                <w:color w:val="auto"/>
              </w:rPr>
              <w:t>(Note 4)</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539"/>
              <w:spacing w:after="0"/>
              <w:rPr>
                <w:sz w:val="20"/>
                <w:szCs w:val="20"/>
                <w:color w:val="auto"/>
              </w:rPr>
            </w:pPr>
            <w:r>
              <w:rPr>
                <w:rFonts w:ascii="Arial" w:cs="Arial" w:eastAsia="Arial" w:hAnsi="Arial"/>
                <w:sz w:val="14"/>
                <w:szCs w:val="14"/>
                <w:b w:val="1"/>
                <w:bCs w:val="1"/>
                <w:color w:val="auto"/>
              </w:rPr>
              <w:t>Sheet</w:t>
            </w:r>
          </w:p>
        </w:tc>
        <w:tc>
          <w:tcPr>
            <w:tcW w:w="0" w:type="dxa"/>
            <w:vAlign w:val="bottom"/>
          </w:tcPr>
          <w:p>
            <w:pPr>
              <w:spacing w:after="0"/>
              <w:rPr>
                <w:sz w:val="1"/>
                <w:szCs w:val="1"/>
                <w:color w:val="auto"/>
              </w:rPr>
            </w:pPr>
          </w:p>
        </w:tc>
      </w:tr>
      <w:tr>
        <w:trPr>
          <w:trHeight w:val="197"/>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400,569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49,201</w:t>
            </w:r>
          </w:p>
        </w:tc>
        <w:tc>
          <w:tcPr>
            <w:tcW w:w="500" w:type="dxa"/>
            <w:vAlign w:val="bottom"/>
            <w:shd w:val="clear" w:color="auto" w:fill="CCEEFF"/>
          </w:tcPr>
          <w:p>
            <w:pPr>
              <w:jc w:val="right"/>
              <w:ind w:right="327"/>
              <w:spacing w:after="0"/>
              <w:rPr>
                <w:sz w:val="20"/>
                <w:szCs w:val="20"/>
                <w:color w:val="auto"/>
              </w:rPr>
            </w:pPr>
            <w:r>
              <w:rPr>
                <w:rFonts w:ascii="Arial" w:cs="Arial" w:eastAsia="Arial" w:hAnsi="Arial"/>
                <w:sz w:val="11"/>
                <w:szCs w:val="11"/>
                <w:color w:val="auto"/>
                <w:w w:val="81"/>
              </w:rPr>
              <w:t>a1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449,914</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26,509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20,341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46,850</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Due from related parties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Inventory</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33,456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41,284</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307"/>
              <w:spacing w:after="0"/>
              <w:rPr>
                <w:sz w:val="20"/>
                <w:szCs w:val="20"/>
                <w:color w:val="auto"/>
              </w:rPr>
            </w:pPr>
            <w:r>
              <w:rPr>
                <w:rFonts w:ascii="Arial" w:cs="Arial" w:eastAsia="Arial" w:hAnsi="Arial"/>
                <w:sz w:val="16"/>
                <w:szCs w:val="16"/>
                <w:color w:val="auto"/>
              </w:rPr>
              <w:t xml:space="preserve">(594) </w:t>
            </w:r>
            <w:r>
              <w:rPr>
                <w:rFonts w:ascii="Arial" w:cs="Arial" w:eastAsia="Arial" w:hAnsi="Arial"/>
                <w:sz w:val="10"/>
                <w:szCs w:val="10"/>
                <w:color w:val="auto"/>
              </w:rPr>
              <w:t>b5</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21,982</w:t>
            </w:r>
          </w:p>
        </w:tc>
        <w:tc>
          <w:tcPr>
            <w:tcW w:w="0" w:type="dxa"/>
            <w:vAlign w:val="bottom"/>
          </w:tcPr>
          <w:p>
            <w:pPr>
              <w:spacing w:after="0"/>
              <w:rPr>
                <w:sz w:val="1"/>
                <w:szCs w:val="1"/>
                <w:color w:val="auto"/>
              </w:rPr>
            </w:pPr>
          </w:p>
        </w:tc>
      </w:tr>
      <w:tr>
        <w:trPr>
          <w:trHeight w:val="213"/>
        </w:trPr>
        <w:tc>
          <w:tcPr>
            <w:tcW w:w="43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current assets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5,606</w:t>
            </w: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483,544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48,607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565,690</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Property and equipment, net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62,719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28,277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90,996</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Restricted cash</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6,983</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Intangible assets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50,112</w:t>
            </w:r>
          </w:p>
        </w:tc>
        <w:tc>
          <w:tcPr>
            <w:tcW w:w="500" w:type="dxa"/>
            <w:vAlign w:val="bottom"/>
            <w:shd w:val="clear" w:color="auto" w:fill="CCEEFF"/>
          </w:tcPr>
          <w:p>
            <w:pPr>
              <w:jc w:val="right"/>
              <w:ind w:right="327"/>
              <w:spacing w:after="0"/>
              <w:rPr>
                <w:sz w:val="20"/>
                <w:szCs w:val="20"/>
                <w:color w:val="auto"/>
              </w:rPr>
            </w:pPr>
            <w:r>
              <w:rPr>
                <w:rFonts w:ascii="Arial" w:cs="Arial" w:eastAsia="Arial" w:hAnsi="Arial"/>
                <w:sz w:val="11"/>
                <w:szCs w:val="11"/>
                <w:color w:val="auto"/>
                <w:w w:val="81"/>
              </w:rPr>
              <w:t>e1</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217,000</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6,936</w:t>
            </w:r>
          </w:p>
        </w:tc>
        <w:tc>
          <w:tcPr>
            <w:tcW w:w="500" w:type="dxa"/>
            <w:vAlign w:val="bottom"/>
          </w:tcPr>
          <w:p>
            <w:pPr>
              <w:jc w:val="right"/>
              <w:ind w:right="387"/>
              <w:spacing w:after="0"/>
              <w:rPr>
                <w:sz w:val="20"/>
                <w:szCs w:val="20"/>
                <w:color w:val="auto"/>
              </w:rPr>
            </w:pPr>
            <w:r>
              <w:rPr>
                <w:rFonts w:ascii="Arial" w:cs="Arial" w:eastAsia="Arial" w:hAnsi="Arial"/>
                <w:sz w:val="11"/>
                <w:szCs w:val="11"/>
                <w:color w:val="auto"/>
              </w:rPr>
              <w:t>f</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288,960</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Due from Parent and its subsidiaries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307"/>
              <w:spacing w:after="0"/>
              <w:rPr>
                <w:sz w:val="20"/>
                <w:szCs w:val="20"/>
                <w:color w:val="auto"/>
              </w:rPr>
            </w:pPr>
            <w:r>
              <w:rPr>
                <w:rFonts w:ascii="Arial" w:cs="Arial" w:eastAsia="Arial" w:hAnsi="Arial"/>
                <w:sz w:val="16"/>
                <w:szCs w:val="16"/>
                <w:color w:val="auto"/>
              </w:rPr>
              <w:t xml:space="preserve">(5) </w:t>
            </w:r>
            <w:r>
              <w:rPr>
                <w:rFonts w:ascii="Arial" w:cs="Arial" w:eastAsia="Arial" w:hAnsi="Arial"/>
                <w:sz w:val="10"/>
                <w:szCs w:val="10"/>
                <w:color w:val="auto"/>
              </w:rPr>
              <w:t>b2</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Operating lease right of use assets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right"/>
              <w:ind w:right="367"/>
              <w:spacing w:after="0"/>
              <w:rPr>
                <w:sz w:val="20"/>
                <w:szCs w:val="20"/>
                <w:color w:val="auto"/>
              </w:rPr>
            </w:pPr>
            <w:r>
              <w:rPr>
                <w:rFonts w:ascii="Arial" w:cs="Arial" w:eastAsia="Arial" w:hAnsi="Arial"/>
                <w:sz w:val="16"/>
                <w:szCs w:val="16"/>
                <w:color w:val="auto"/>
              </w:rPr>
              <w:t xml:space="preserve">(5,789) </w:t>
            </w:r>
            <w:r>
              <w:rPr>
                <w:rFonts w:ascii="Arial" w:cs="Arial" w:eastAsia="Arial" w:hAnsi="Arial"/>
                <w:sz w:val="10"/>
                <w:szCs w:val="10"/>
                <w:color w:val="auto"/>
              </w:rPr>
              <w:t>c</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Investment in related companies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7"/>
              <w:spacing w:after="0"/>
              <w:rPr>
                <w:sz w:val="20"/>
                <w:szCs w:val="20"/>
                <w:color w:val="auto"/>
              </w:rPr>
            </w:pPr>
            <w:r>
              <w:rPr>
                <w:rFonts w:ascii="Arial" w:cs="Arial" w:eastAsia="Arial" w:hAnsi="Arial"/>
                <w:sz w:val="16"/>
                <w:szCs w:val="16"/>
                <w:color w:val="auto"/>
              </w:rPr>
              <w:t xml:space="preserve">(205) </w:t>
            </w:r>
            <w:r>
              <w:rPr>
                <w:rFonts w:ascii="Arial" w:cs="Arial" w:eastAsia="Arial" w:hAnsi="Arial"/>
                <w:sz w:val="10"/>
                <w:szCs w:val="10"/>
                <w:color w:val="auto"/>
              </w:rPr>
              <w:t>b1</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300" w:type="dxa"/>
            <w:vAlign w:val="bottom"/>
          </w:tcPr>
          <w:p>
            <w:pPr>
              <w:ind w:left="460"/>
              <w:spacing w:after="0"/>
              <w:rPr>
                <w:sz w:val="20"/>
                <w:szCs w:val="20"/>
                <w:color w:val="auto"/>
              </w:rPr>
            </w:pPr>
            <w:r>
              <w:rPr>
                <w:rFonts w:ascii="Arial" w:cs="Arial" w:eastAsia="Arial" w:hAnsi="Arial"/>
                <w:sz w:val="16"/>
                <w:szCs w:val="16"/>
                <w:color w:val="auto"/>
              </w:rPr>
              <w:t>Total assets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554,093</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516,780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99,656</w:t>
            </w:r>
          </w:p>
        </w:tc>
        <w:tc>
          <w:tcPr>
            <w:tcW w:w="5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1,170,529</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44,693</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5,397</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50,090</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35,673</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Due to related parties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2,623</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Current portion of capital lease obligations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3,419</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Current contract liabilities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current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30,539</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Income tax payable</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right"/>
              <w:ind w:right="307"/>
              <w:spacing w:after="0"/>
              <w:rPr>
                <w:sz w:val="20"/>
                <w:szCs w:val="20"/>
                <w:color w:val="auto"/>
              </w:rPr>
            </w:pPr>
            <w:r>
              <w:rPr>
                <w:rFonts w:ascii="Arial" w:cs="Arial" w:eastAsia="Arial" w:hAnsi="Arial"/>
                <w:sz w:val="16"/>
                <w:szCs w:val="16"/>
                <w:color w:val="auto"/>
              </w:rPr>
              <w:t xml:space="preserve">(180) </w:t>
            </w:r>
            <w:r>
              <w:rPr>
                <w:rFonts w:ascii="Arial" w:cs="Arial" w:eastAsia="Arial" w:hAnsi="Arial"/>
                <w:sz w:val="10"/>
                <w:szCs w:val="10"/>
                <w:color w:val="auto"/>
              </w:rPr>
              <w:t>b3</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3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101,284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21,713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122,817</w:t>
            </w:r>
          </w:p>
        </w:tc>
        <w:tc>
          <w:tcPr>
            <w:tcW w:w="0" w:type="dxa"/>
            <w:vAlign w:val="bottom"/>
          </w:tcPr>
          <w:p>
            <w:pPr>
              <w:spacing w:after="0"/>
              <w:rPr>
                <w:sz w:val="1"/>
                <w:szCs w:val="1"/>
                <w:color w:val="auto"/>
              </w:rPr>
            </w:pPr>
          </w:p>
        </w:tc>
      </w:tr>
      <w:tr>
        <w:trPr>
          <w:trHeight w:val="213"/>
        </w:trPr>
        <w:tc>
          <w:tcPr>
            <w:tcW w:w="4300" w:type="dxa"/>
            <w:vAlign w:val="bottom"/>
          </w:tcPr>
          <w:p>
            <w:pPr>
              <w:ind w:left="460"/>
              <w:spacing w:after="0"/>
              <w:rPr>
                <w:sz w:val="20"/>
                <w:szCs w:val="20"/>
                <w:color w:val="auto"/>
              </w:rPr>
            </w:pPr>
            <w:r>
              <w:rPr>
                <w:rFonts w:ascii="Arial" w:cs="Arial" w:eastAsia="Arial" w:hAnsi="Arial"/>
                <w:sz w:val="16"/>
                <w:szCs w:val="16"/>
                <w:color w:val="auto"/>
              </w:rPr>
              <w:t>Long-term debt, net of current portion</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11,000</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Capital lease obligation, net of current portion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18,427</w:t>
            </w:r>
          </w:p>
        </w:tc>
        <w:tc>
          <w:tcPr>
            <w:tcW w:w="0" w:type="dxa"/>
            <w:vAlign w:val="bottom"/>
          </w:tcPr>
          <w:p>
            <w:pPr>
              <w:spacing w:after="0"/>
              <w:rPr>
                <w:sz w:val="1"/>
                <w:szCs w:val="1"/>
                <w:color w:val="auto"/>
              </w:rPr>
            </w:pPr>
          </w:p>
        </w:tc>
      </w:tr>
      <w:tr>
        <w:trPr>
          <w:trHeight w:val="213"/>
        </w:trPr>
        <w:tc>
          <w:tcPr>
            <w:tcW w:w="4300" w:type="dxa"/>
            <w:vAlign w:val="bottom"/>
          </w:tcPr>
          <w:p>
            <w:pPr>
              <w:ind w:left="460"/>
              <w:spacing w:after="0"/>
              <w:rPr>
                <w:sz w:val="20"/>
                <w:szCs w:val="20"/>
                <w:color w:val="auto"/>
              </w:rPr>
            </w:pPr>
            <w:r>
              <w:rPr>
                <w:rFonts w:ascii="Arial" w:cs="Arial" w:eastAsia="Arial" w:hAnsi="Arial"/>
                <w:sz w:val="16"/>
                <w:szCs w:val="16"/>
                <w:color w:val="auto"/>
              </w:rPr>
              <w:t>Other liabilities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3,480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15,800</w:t>
            </w:r>
          </w:p>
        </w:tc>
        <w:tc>
          <w:tcPr>
            <w:tcW w:w="500" w:type="dxa"/>
            <w:vAlign w:val="bottom"/>
          </w:tcPr>
          <w:p>
            <w:pPr>
              <w:jc w:val="right"/>
              <w:ind w:right="327"/>
              <w:spacing w:after="0"/>
              <w:rPr>
                <w:sz w:val="20"/>
                <w:szCs w:val="20"/>
                <w:color w:val="auto"/>
              </w:rPr>
            </w:pPr>
            <w:r>
              <w:rPr>
                <w:rFonts w:ascii="Arial" w:cs="Arial" w:eastAsia="Arial" w:hAnsi="Arial"/>
                <w:sz w:val="11"/>
                <w:szCs w:val="11"/>
                <w:color w:val="auto"/>
                <w:w w:val="81"/>
              </w:rPr>
              <w:t>a3</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19,280</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Earn-out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10,244</w:t>
            </w:r>
          </w:p>
        </w:tc>
        <w:tc>
          <w:tcPr>
            <w:tcW w:w="0" w:type="dxa"/>
            <w:vAlign w:val="bottom"/>
          </w:tcPr>
          <w:p>
            <w:pPr>
              <w:spacing w:after="0"/>
              <w:rPr>
                <w:sz w:val="1"/>
                <w:szCs w:val="1"/>
                <w:color w:val="auto"/>
              </w:rPr>
            </w:pPr>
          </w:p>
        </w:tc>
      </w:tr>
      <w:tr>
        <w:trPr>
          <w:trHeight w:val="213"/>
        </w:trPr>
        <w:tc>
          <w:tcPr>
            <w:tcW w:w="4300" w:type="dxa"/>
            <w:vAlign w:val="bottom"/>
          </w:tcPr>
          <w:p>
            <w:pPr>
              <w:ind w:left="460"/>
              <w:spacing w:after="0"/>
              <w:rPr>
                <w:sz w:val="20"/>
                <w:szCs w:val="20"/>
                <w:color w:val="auto"/>
              </w:rPr>
            </w:pPr>
            <w:r>
              <w:rPr>
                <w:rFonts w:ascii="Arial" w:cs="Arial" w:eastAsia="Arial" w:hAnsi="Arial"/>
                <w:sz w:val="16"/>
                <w:szCs w:val="16"/>
                <w:color w:val="auto"/>
              </w:rPr>
              <w:t>Warrant liability</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21,555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21,555</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Operating lease liabilities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367"/>
              <w:spacing w:after="0"/>
              <w:rPr>
                <w:sz w:val="20"/>
                <w:szCs w:val="20"/>
                <w:color w:val="auto"/>
              </w:rPr>
            </w:pPr>
            <w:r>
              <w:rPr>
                <w:rFonts w:ascii="Arial" w:cs="Arial" w:eastAsia="Arial" w:hAnsi="Arial"/>
                <w:sz w:val="16"/>
                <w:szCs w:val="16"/>
                <w:color w:val="auto"/>
              </w:rPr>
              <w:t xml:space="preserve">(9,936) </w:t>
            </w:r>
            <w:r>
              <w:rPr>
                <w:rFonts w:ascii="Arial" w:cs="Arial" w:eastAsia="Arial" w:hAnsi="Arial"/>
                <w:sz w:val="10"/>
                <w:szCs w:val="10"/>
                <w:color w:val="auto"/>
              </w:rPr>
              <w:t>c</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00" w:type="dxa"/>
            <w:vAlign w:val="bottom"/>
          </w:tcPr>
          <w:p>
            <w:pPr>
              <w:ind w:left="460"/>
              <w:spacing w:after="0"/>
              <w:rPr>
                <w:sz w:val="20"/>
                <w:szCs w:val="20"/>
                <w:color w:val="auto"/>
              </w:rPr>
            </w:pPr>
            <w:r>
              <w:rPr>
                <w:rFonts w:ascii="Arial" w:cs="Arial" w:eastAsia="Arial" w:hAnsi="Arial"/>
                <w:sz w:val="16"/>
                <w:szCs w:val="16"/>
                <w:color w:val="auto"/>
              </w:rPr>
              <w:t>Deferred tax liabilities, net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24,063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right"/>
              <w:ind w:right="307"/>
              <w:spacing w:after="0"/>
              <w:rPr>
                <w:sz w:val="20"/>
                <w:szCs w:val="20"/>
                <w:color w:val="auto"/>
              </w:rPr>
            </w:pPr>
            <w:r>
              <w:rPr>
                <w:rFonts w:ascii="Arial" w:cs="Arial" w:eastAsia="Arial" w:hAnsi="Arial"/>
                <w:sz w:val="16"/>
                <w:szCs w:val="16"/>
                <w:color w:val="auto"/>
              </w:rPr>
              <w:t xml:space="preserve">(24,063) </w:t>
            </w:r>
            <w:r>
              <w:rPr>
                <w:rFonts w:ascii="Arial" w:cs="Arial" w:eastAsia="Arial" w:hAnsi="Arial"/>
                <w:sz w:val="10"/>
                <w:szCs w:val="10"/>
                <w:color w:val="auto"/>
              </w:rPr>
              <w:t>b4</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165,990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55,712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(18,379)</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203,323</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20"/>
              <w:spacing w:after="0"/>
              <w:rPr>
                <w:sz w:val="20"/>
                <w:szCs w:val="20"/>
                <w:color w:val="auto"/>
              </w:rPr>
            </w:pPr>
            <w:r>
              <w:rPr>
                <w:rFonts w:ascii="Arial" w:cs="Arial" w:eastAsia="Arial" w:hAnsi="Arial"/>
                <w:sz w:val="16"/>
                <w:szCs w:val="16"/>
                <w:color w:val="auto"/>
              </w:rPr>
              <w:t>Sema4 Class A common stock, $0.0001 par value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w:t>
            </w:r>
          </w:p>
        </w:tc>
        <w:tc>
          <w:tcPr>
            <w:tcW w:w="500" w:type="dxa"/>
            <w:vAlign w:val="bottom"/>
          </w:tcPr>
          <w:p>
            <w:pPr>
              <w:jc w:val="right"/>
              <w:ind w:right="187"/>
              <w:spacing w:after="0"/>
              <w:rPr>
                <w:sz w:val="20"/>
                <w:szCs w:val="20"/>
                <w:color w:val="auto"/>
              </w:rPr>
            </w:pPr>
            <w:r>
              <w:rPr>
                <w:rFonts w:ascii="Arial" w:cs="Arial" w:eastAsia="Arial" w:hAnsi="Arial"/>
                <w:sz w:val="11"/>
                <w:szCs w:val="11"/>
                <w:color w:val="auto"/>
                <w:w w:val="87"/>
              </w:rPr>
              <w:t>a1,a2</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963,520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660,506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367"/>
              <w:spacing w:after="0"/>
              <w:rPr>
                <w:sz w:val="20"/>
                <w:szCs w:val="20"/>
                <w:color w:val="auto"/>
              </w:rPr>
            </w:pPr>
            <w:r>
              <w:rPr>
                <w:rFonts w:ascii="Arial" w:cs="Arial" w:eastAsia="Arial" w:hAnsi="Arial"/>
                <w:sz w:val="16"/>
                <w:szCs w:val="16"/>
                <w:color w:val="auto"/>
              </w:rPr>
              <w:t xml:space="preserve">(148,292) </w:t>
            </w:r>
            <w:r>
              <w:rPr>
                <w:rFonts w:ascii="Arial" w:cs="Arial" w:eastAsia="Arial" w:hAnsi="Arial"/>
                <w:sz w:val="10"/>
                <w:szCs w:val="10"/>
                <w:color w:val="auto"/>
              </w:rPr>
              <w:t>g</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1,475,734</w:t>
            </w:r>
          </w:p>
        </w:tc>
        <w:tc>
          <w:tcPr>
            <w:tcW w:w="0" w:type="dxa"/>
            <w:vAlign w:val="bottom"/>
          </w:tcPr>
          <w:p>
            <w:pPr>
              <w:spacing w:after="0"/>
              <w:rPr>
                <w:sz w:val="1"/>
                <w:szCs w:val="1"/>
                <w:color w:val="auto"/>
              </w:rPr>
            </w:pPr>
          </w:p>
        </w:tc>
      </w:tr>
      <w:tr>
        <w:trPr>
          <w:trHeight w:val="213"/>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deficit</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(575,441)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(199,438)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266,314</w:t>
            </w:r>
          </w:p>
        </w:tc>
        <w:tc>
          <w:tcPr>
            <w:tcW w:w="500" w:type="dxa"/>
            <w:vAlign w:val="bottom"/>
            <w:tcBorders>
              <w:bottom w:val="single" w:sz="8" w:color="CCEEFF"/>
            </w:tcBorders>
          </w:tcPr>
          <w:p>
            <w:pPr>
              <w:jc w:val="right"/>
              <w:ind w:right="307"/>
              <w:spacing w:after="0"/>
              <w:rPr>
                <w:sz w:val="20"/>
                <w:szCs w:val="20"/>
                <w:color w:val="auto"/>
              </w:rPr>
            </w:pPr>
            <w:r>
              <w:rPr>
                <w:rFonts w:ascii="Arial" w:cs="Arial" w:eastAsia="Arial" w:hAnsi="Arial"/>
                <w:sz w:val="11"/>
                <w:szCs w:val="11"/>
                <w:color w:val="auto"/>
                <w:w w:val="97"/>
              </w:rPr>
              <w:t>b4</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(508,565)</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388,103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461,068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118,035</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967,206</w:t>
            </w:r>
          </w:p>
        </w:tc>
        <w:tc>
          <w:tcPr>
            <w:tcW w:w="0" w:type="dxa"/>
            <w:vAlign w:val="bottom"/>
          </w:tcPr>
          <w:p>
            <w:pPr>
              <w:spacing w:after="0"/>
              <w:rPr>
                <w:sz w:val="1"/>
                <w:szCs w:val="1"/>
                <w:color w:val="auto"/>
              </w:rPr>
            </w:pPr>
          </w:p>
        </w:tc>
      </w:tr>
      <w:tr>
        <w:trPr>
          <w:trHeight w:val="213"/>
        </w:trPr>
        <w:tc>
          <w:tcPr>
            <w:tcW w:w="4300" w:type="dxa"/>
            <w:vAlign w:val="bottom"/>
          </w:tcPr>
          <w:p>
            <w:pPr>
              <w:ind w:left="680"/>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554,093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516,780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99,656</w:t>
            </w:r>
          </w:p>
        </w:tc>
        <w:tc>
          <w:tcPr>
            <w:tcW w:w="5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1,170,529</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UNAUDITED PRO FORMA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Historical</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Pro forma</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Sema4</w:t>
            </w:r>
          </w:p>
        </w:tc>
        <w:tc>
          <w:tcPr>
            <w:tcW w:w="400" w:type="dxa"/>
            <w:vAlign w:val="bottom"/>
          </w:tcPr>
          <w:p>
            <w:pPr>
              <w:spacing w:after="0"/>
              <w:rPr>
                <w:sz w:val="11"/>
                <w:szCs w:val="11"/>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GeneDx</w:t>
            </w:r>
          </w:p>
        </w:tc>
        <w:tc>
          <w:tcPr>
            <w:tcW w:w="15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4"/>
              </w:rPr>
              <w:t>Pro Forma Adjustments</w:t>
            </w:r>
          </w:p>
        </w:tc>
        <w:tc>
          <w:tcPr>
            <w:tcW w:w="500" w:type="dxa"/>
            <w:vAlign w:val="bottom"/>
          </w:tcPr>
          <w:p>
            <w:pPr>
              <w:spacing w:after="0"/>
              <w:rPr>
                <w:sz w:val="11"/>
                <w:szCs w:val="11"/>
                <w:color w:val="auto"/>
              </w:rPr>
            </w:pPr>
          </w:p>
        </w:tc>
        <w:tc>
          <w:tcPr>
            <w:tcW w:w="15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4"/>
              </w:rPr>
              <w:t>Pro Forma Statement of</w:t>
            </w:r>
          </w:p>
        </w:tc>
        <w:tc>
          <w:tcPr>
            <w:tcW w:w="0" w:type="dxa"/>
            <w:vAlign w:val="bottom"/>
          </w:tcPr>
          <w:p>
            <w:pPr>
              <w:spacing w:after="0"/>
              <w:rPr>
                <w:sz w:val="1"/>
                <w:szCs w:val="1"/>
                <w:color w:val="auto"/>
              </w:rPr>
            </w:pPr>
          </w:p>
        </w:tc>
      </w:tr>
      <w:tr>
        <w:trPr>
          <w:trHeight w:val="188"/>
        </w:trPr>
        <w:tc>
          <w:tcPr>
            <w:tcW w:w="4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432"/>
              <w:spacing w:after="0"/>
              <w:rPr>
                <w:sz w:val="20"/>
                <w:szCs w:val="20"/>
                <w:color w:val="auto"/>
              </w:rPr>
            </w:pPr>
            <w:r>
              <w:rPr>
                <w:rFonts w:ascii="Arial" w:cs="Arial" w:eastAsia="Arial" w:hAnsi="Arial"/>
                <w:sz w:val="14"/>
                <w:szCs w:val="14"/>
                <w:b w:val="1"/>
                <w:bCs w:val="1"/>
                <w:color w:val="auto"/>
              </w:rPr>
              <w:t>(Note 4)</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351"/>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211"/>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40"/>
              <w:spacing w:after="0"/>
              <w:rPr>
                <w:sz w:val="20"/>
                <w:szCs w:val="20"/>
                <w:color w:val="auto"/>
              </w:rPr>
            </w:pPr>
            <w:r>
              <w:rPr>
                <w:rFonts w:ascii="Arial" w:cs="Arial" w:eastAsia="Arial" w:hAnsi="Arial"/>
                <w:sz w:val="18"/>
                <w:szCs w:val="18"/>
                <w:color w:val="auto"/>
              </w:rPr>
              <w:t>Diagnostic test 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205,100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116,595</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321,695</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revenue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212,195</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116,595</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328,790</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228,797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313,158</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gross profit (loss)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15,632</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105,162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117,539</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and marketing</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w:t>
            </w:r>
          </w:p>
        </w:tc>
        <w:tc>
          <w:tcPr>
            <w:tcW w:w="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d1,d3</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132,102</w:t>
            </w:r>
          </w:p>
        </w:tc>
        <w:tc>
          <w:tcPr>
            <w:tcW w:w="0" w:type="dxa"/>
            <w:vAlign w:val="bottom"/>
          </w:tcPr>
          <w:p>
            <w:pPr>
              <w:spacing w:after="0"/>
              <w:rPr>
                <w:sz w:val="1"/>
                <w:szCs w:val="1"/>
                <w:color w:val="auto"/>
              </w:rPr>
            </w:pPr>
          </w:p>
        </w:tc>
      </w:tr>
      <w:tr>
        <w:trPr>
          <w:trHeight w:val="229"/>
        </w:trPr>
        <w:tc>
          <w:tcPr>
            <w:tcW w:w="43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205,988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40,294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11,113</w:t>
            </w:r>
          </w:p>
        </w:tc>
        <w:tc>
          <w:tcPr>
            <w:tcW w:w="500" w:type="dxa"/>
            <w:vAlign w:val="bottom"/>
          </w:tcPr>
          <w:p>
            <w:pPr>
              <w:ind w:left="20"/>
              <w:spacing w:after="0"/>
              <w:rPr>
                <w:sz w:val="20"/>
                <w:szCs w:val="20"/>
                <w:color w:val="auto"/>
              </w:rPr>
            </w:pPr>
            <w:r>
              <w:rPr>
                <w:rFonts w:ascii="Arial" w:cs="Arial" w:eastAsia="Arial" w:hAnsi="Arial"/>
                <w:sz w:val="12"/>
                <w:szCs w:val="12"/>
                <w:color w:val="auto"/>
              </w:rPr>
              <w:t>d2,d3</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257,395</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Related party expenses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w:t>
            </w: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2"/>
          </w:tcPr>
          <w:p>
            <w:pPr>
              <w:jc w:val="right"/>
              <w:ind w:right="302"/>
              <w:spacing w:after="0" w:line="230" w:lineRule="exact"/>
              <w:rPr>
                <w:sz w:val="20"/>
                <w:szCs w:val="20"/>
                <w:color w:val="auto"/>
              </w:rPr>
            </w:pPr>
            <w:r>
              <w:rPr>
                <w:rFonts w:ascii="Arial" w:cs="Arial" w:eastAsia="Arial" w:hAnsi="Arial"/>
                <w:sz w:val="18"/>
                <w:szCs w:val="18"/>
                <w:color w:val="auto"/>
              </w:rPr>
              <w:t xml:space="preserve">(16,813) </w:t>
            </w:r>
            <w:r>
              <w:rPr>
                <w:rFonts w:ascii="Arial" w:cs="Arial" w:eastAsia="Arial" w:hAnsi="Arial"/>
                <w:sz w:val="23"/>
                <w:szCs w:val="23"/>
                <w:color w:val="auto"/>
                <w:vertAlign w:val="superscript"/>
              </w:rPr>
              <w:t>e3</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(446,149)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(49,395)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5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(497,063)</w:t>
            </w:r>
          </w:p>
        </w:tc>
        <w:tc>
          <w:tcPr>
            <w:tcW w:w="0" w:type="dxa"/>
            <w:vAlign w:val="bottom"/>
          </w:tcPr>
          <w:p>
            <w:pPr>
              <w:spacing w:after="0"/>
              <w:rPr>
                <w:sz w:val="1"/>
                <w:szCs w:val="1"/>
                <w:color w:val="auto"/>
              </w:rPr>
            </w:pPr>
          </w:p>
        </w:tc>
      </w:tr>
      <w:tr>
        <w:trPr>
          <w:trHeight w:val="210"/>
        </w:trPr>
        <w:tc>
          <w:tcPr>
            <w:tcW w:w="43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3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1"/>
              </w:rPr>
              <w:t>Change in fair value of warrant and earn-out contingent</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198,401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198,401</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liabilities</w:t>
            </w: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5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b1</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200,759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200,755</w:t>
            </w:r>
          </w:p>
        </w:tc>
        <w:tc>
          <w:tcPr>
            <w:tcW w:w="0" w:type="dxa"/>
            <w:vAlign w:val="bottom"/>
          </w:tcPr>
          <w:p>
            <w:pPr>
              <w:spacing w:after="0"/>
              <w:rPr>
                <w:sz w:val="1"/>
                <w:szCs w:val="1"/>
                <w:color w:val="auto"/>
              </w:rPr>
            </w:pPr>
          </w:p>
        </w:tc>
      </w:tr>
      <w:tr>
        <w:trPr>
          <w:trHeight w:val="223"/>
        </w:trPr>
        <w:tc>
          <w:tcPr>
            <w:tcW w:w="4300" w:type="dxa"/>
            <w:vAlign w:val="bottom"/>
          </w:tcPr>
          <w:p>
            <w:pPr>
              <w:ind w:left="460"/>
              <w:spacing w:after="0"/>
              <w:rPr>
                <w:sz w:val="20"/>
                <w:szCs w:val="20"/>
                <w:color w:val="auto"/>
              </w:rPr>
            </w:pPr>
            <w:r>
              <w:rPr>
                <w:rFonts w:ascii="Arial" w:cs="Arial" w:eastAsia="Arial" w:hAnsi="Arial"/>
                <w:sz w:val="18"/>
                <w:szCs w:val="18"/>
                <w:color w:val="auto"/>
              </w:rPr>
              <w:t>Net loss before income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(49,439)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(1,479)</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(296,308)</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or benefit for income taxes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54,329</w:t>
            </w:r>
          </w:p>
        </w:tc>
        <w:tc>
          <w:tcPr>
            <w:tcW w:w="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d4</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66,876</w:t>
            </w:r>
          </w:p>
        </w:tc>
        <w:tc>
          <w:tcPr>
            <w:tcW w:w="0" w:type="dxa"/>
            <w:vAlign w:val="bottom"/>
          </w:tcPr>
          <w:p>
            <w:pPr>
              <w:spacing w:after="0"/>
              <w:rPr>
                <w:sz w:val="1"/>
                <w:szCs w:val="1"/>
                <w:color w:val="auto"/>
              </w:rPr>
            </w:pPr>
          </w:p>
        </w:tc>
      </w:tr>
      <w:tr>
        <w:trPr>
          <w:trHeight w:val="223"/>
        </w:trPr>
        <w:tc>
          <w:tcPr>
            <w:tcW w:w="4300" w:type="dxa"/>
            <w:vAlign w:val="bottom"/>
          </w:tcPr>
          <w:p>
            <w:pPr>
              <w:ind w:left="46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(36,892)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52,850</w:t>
            </w:r>
          </w:p>
        </w:tc>
        <w:tc>
          <w:tcPr>
            <w:tcW w:w="50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(229,432)</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Weighted average shares outstanding, basic and diluted</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108,077,439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130,000,000</w:t>
            </w:r>
          </w:p>
        </w:tc>
        <w:tc>
          <w:tcPr>
            <w:tcW w:w="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238,077,439</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tcPr>
          <w:p>
            <w:pPr>
              <w:ind w:left="20"/>
              <w:spacing w:after="0" w:line="203" w:lineRule="exact"/>
              <w:rPr>
                <w:sz w:val="20"/>
                <w:szCs w:val="20"/>
                <w:color w:val="auto"/>
              </w:rPr>
            </w:pPr>
            <w:r>
              <w:rPr>
                <w:rFonts w:ascii="Arial" w:cs="Arial" w:eastAsia="Arial" w:hAnsi="Arial"/>
                <w:sz w:val="18"/>
                <w:szCs w:val="18"/>
                <w:color w:val="auto"/>
              </w:rPr>
              <w:t>Basic and diluted net loss per share</w:t>
            </w: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(2.27)</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PRO FORMA COMBINED FINANCIAL INFORMATION</w:t>
      </w:r>
    </w:p>
    <w:p>
      <w:pPr>
        <w:spacing w:after="0" w:line="171"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Acquisition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14, 2022, Sema4, Merger Sub I and Merger Sub II entered into the Merger Agreement with GeneDx, a wholly-owned subsidiary of OPKO, Holdco and OPKO.</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the Closing, GeneDx converted into a Delaware limited liability company and became a wholly-owned indirect subsidiary of Sema4. Subject to the terms and conditions of the Merger Agreement, Sema4 (a) agreed to pay consideration to OPKO, for the Acquisition of (i) $150 million in cash at the closing of the Acquisition, subject to certain adjustments as provided in the Acquisition Merger Agreement and (ii) 80 million shares of Sema4’s Class A common stock issued at the Closing and (b) will pay consideration to OPKO of up to $150 million payable following the Closing, if certain revenue-based milestones are achieved for each of the fiscal years ending December 31, 2022 and December 31, 2023. Each Milestone Payment, if and to the extent earned under the terms of the Merger Agreement, will be satisfied through the payment and/or issuance of a combination of cash and shares of Class A common stock (valued at $4.86 per share based on the average of the daily volume average weighted price of Class A common stock over the period of 30 trading days ended January 12, 2022), with such mix to be determined in Sema4’s sole discretion.</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in connection with entering into the Merger Agreement, Sema4 entered into Subscription Agreements for the PIPE Investment to sell $200 million in Class A common stock at a price of $4.00 per share to the PIPE Investors.</w:t>
      </w:r>
    </w:p>
    <w:p>
      <w:pPr>
        <w:spacing w:after="0" w:line="112"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pro forma financial information set out below has been prepared in accordance with Article 11 of Regulation S-X, as amended by the SEC Final Rule Release No. 33 10786, Amendments to Financial Disclosures About Acquired and Disposed Businesses (“</w:t>
      </w:r>
      <w:r>
        <w:rPr>
          <w:rFonts w:ascii="Arial" w:cs="Arial" w:eastAsia="Arial" w:hAnsi="Arial"/>
          <w:sz w:val="18"/>
          <w:szCs w:val="18"/>
          <w:i w:val="1"/>
          <w:iCs w:val="1"/>
          <w:color w:val="auto"/>
        </w:rPr>
        <w:t>Regulation S-X</w:t>
      </w:r>
      <w:r>
        <w:rPr>
          <w:rFonts w:ascii="Arial" w:cs="Arial" w:eastAsia="Arial" w:hAnsi="Arial"/>
          <w:sz w:val="18"/>
          <w:szCs w:val="18"/>
          <w:color w:val="auto"/>
        </w:rPr>
        <w:t>”), using accounting policies in accordance with GAAP.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combined financial statements have been derived from and should be read in conjunction with:</w:t>
      </w:r>
    </w:p>
    <w:p>
      <w:pPr>
        <w:spacing w:after="0" w:line="17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combined financial statements;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audited historical consolidated financial statements of Sema4 as of December 31, 2021, and the related notes, in each case, included in this prospectus;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 audited historical combined carve out financial statements of GeneDx as of and for the year ended December 31, 2021, and the related notes, in each case, included in this prospectus;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section of this prospectus entitled “</w:t>
      </w:r>
      <w:hyperlink w:anchor="page79">
        <w:r>
          <w:rPr>
            <w:rFonts w:ascii="Arial" w:cs="Arial" w:eastAsia="Arial" w:hAnsi="Arial"/>
            <w:sz w:val="18"/>
            <w:szCs w:val="18"/>
            <w:i w:val="1"/>
            <w:iCs w:val="1"/>
            <w:u w:val="single" w:color="auto"/>
            <w:color w:val="0000FF"/>
          </w:rPr>
          <w:t>Management’s Discussion and Analysis of Financial Condition and Results of Operations</w:t>
        </w:r>
      </w:hyperlink>
      <w:r>
        <w:rPr>
          <w:rFonts w:ascii="Arial" w:cs="Arial" w:eastAsia="Arial" w:hAnsi="Arial"/>
          <w:sz w:val="18"/>
          <w:szCs w:val="18"/>
          <w:color w:val="auto"/>
        </w:rPr>
        <w:t>” and the other financial information included elsewhere in this prospectus.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Management elected not to present any adjustments related to synergies or dis-synergies that may exist.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unaudited pro forma combined financial statements have been prepared for illustrative purposes only and are not intended to represent or be indicative of the consolidated financial results of operations in future periods or the results that actually would have been achieved if Sema4 and GeneDx had been a combined company during the periods presented. The actual results of operations may differ significantly from the pro forma amounts reflected herein due to a variety of factors. The unaudited pro forma combined statement of operations does not reflect any operating efficiencies and/or cost savings that Sema4 may achieve with respect to the combined company.</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Acquisition will be accounted for using the acquisition method of accounting in accordance with Accounting Standards Codification (“ASC”) 805 - Business Combinations. Under the acquisition method of accounting, the total purchase price is allocated to the tangible and identifiable intangible assets and liabilities assumed based on their relative fair values. The excess of the purchase price over the net assets is recorded as goodwill. The purchase price allocations are preliminary because valuation of the net assets is still being finalized.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Accordingly, the pro forma adjustments related to the purchase price allocations and certain other estimates, assumptions, and adjustments are preliminary and subject to change, which changes could be significant.</w:t>
      </w:r>
    </w:p>
    <w:p>
      <w:pPr>
        <w:spacing w:after="0" w:line="112"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GeneDx Accounting Policies Historical Financial Statement Reclassification</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GeneDx’s historical combined carve out financial statements were prepared in accordance with U.S. GAAP. Sema4 performed certain procedures for the purposes of identifying material differences in significant accounting policies between Sema4 and GeneDx, and any accounting adjustments that would be required in connection with adopting uniform policies. These procedures included a review of GeneDx’s standalone combined carve out financial statements and preliminary discussion with GeneDx management. Sema4 does not believe there are any differences in the accounting policies that will result in material adjustments to Sema4’s consolidated financial statements. Subsequent to completion of the Acquisition, or as more information becomes available, Sema4 will perform a more detailed review of the GeneDx accounting policies. As a result of that review, differences could be identified between the accounting policies of the two companies that, when conformed, could have a material impact on the combined financial statements.</w:t>
      </w:r>
    </w:p>
    <w:p>
      <w:pPr>
        <w:spacing w:after="0" w:line="11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Additionally, $12.1 million included as selling, general and administrative in GeneDx’s historical financial information included within the unaudited pro forma combined financial information has been reclassified to selling and marketing to conform the presentation to that of Sema4.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4.</w:t>
            </w:r>
          </w:p>
        </w:tc>
        <w:tc>
          <w:tcPr>
            <w:tcW w:w="9400" w:type="dxa"/>
            <w:vAlign w:val="bottom"/>
          </w:tcPr>
          <w:p>
            <w:pPr>
              <w:ind w:left="500"/>
              <w:spacing w:after="0"/>
              <w:rPr>
                <w:sz w:val="20"/>
                <w:szCs w:val="20"/>
                <w:color w:val="auto"/>
              </w:rPr>
            </w:pPr>
            <w:r>
              <w:rPr>
                <w:rFonts w:ascii="Arial" w:cs="Arial" w:eastAsia="Arial" w:hAnsi="Arial"/>
                <w:sz w:val="18"/>
                <w:szCs w:val="18"/>
                <w:b w:val="1"/>
                <w:bCs w:val="1"/>
                <w:color w:val="auto"/>
              </w:rPr>
              <w:t>Adjustments to unaudited pro forma combined financial information</w:t>
            </w:r>
          </w:p>
        </w:tc>
        <w:tc>
          <w:tcPr>
            <w:tcW w:w="1520" w:type="dxa"/>
            <w:vAlign w:val="bottom"/>
          </w:tcPr>
          <w:p>
            <w:pPr>
              <w:spacing w:after="0"/>
              <w:rPr>
                <w:sz w:val="20"/>
                <w:szCs w:val="20"/>
                <w:color w:val="auto"/>
              </w:rPr>
            </w:pPr>
          </w:p>
        </w:tc>
      </w:tr>
      <w:tr>
        <w:trPr>
          <w:trHeight w:val="378"/>
        </w:trPr>
        <w:tc>
          <w:tcPr>
            <w:tcW w:w="9560" w:type="dxa"/>
            <w:vAlign w:val="bottom"/>
            <w:gridSpan w:val="2"/>
          </w:tcPr>
          <w:p>
            <w:pPr>
              <w:spacing w:after="0"/>
              <w:rPr>
                <w:sz w:val="20"/>
                <w:szCs w:val="20"/>
                <w:color w:val="auto"/>
              </w:rPr>
            </w:pPr>
            <w:r>
              <w:rPr>
                <w:rFonts w:ascii="Arial" w:cs="Arial" w:eastAsia="Arial" w:hAnsi="Arial"/>
                <w:sz w:val="18"/>
                <w:szCs w:val="18"/>
                <w:color w:val="auto"/>
              </w:rPr>
              <w:t>The adjustments included in the unaudited preliminary pro forma combined financial statements are as follows:</w:t>
            </w:r>
          </w:p>
        </w:tc>
        <w:tc>
          <w:tcPr>
            <w:tcW w:w="1520" w:type="dxa"/>
            <w:vAlign w:val="bottom"/>
          </w:tcPr>
          <w:p>
            <w:pPr>
              <w:spacing w:after="0"/>
              <w:rPr>
                <w:sz w:val="24"/>
                <w:szCs w:val="24"/>
                <w:color w:val="auto"/>
              </w:rPr>
            </w:pPr>
          </w:p>
        </w:tc>
      </w:tr>
      <w:tr>
        <w:trPr>
          <w:trHeight w:val="378"/>
        </w:trPr>
        <w:tc>
          <w:tcPr>
            <w:tcW w:w="160" w:type="dxa"/>
            <w:vAlign w:val="bottom"/>
          </w:tcPr>
          <w:p>
            <w:pPr>
              <w:spacing w:after="0"/>
              <w:rPr>
                <w:sz w:val="24"/>
                <w:szCs w:val="24"/>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a)  Estimated aggregate purchase price consideration and allocation:</w:t>
            </w:r>
          </w:p>
        </w:tc>
        <w:tc>
          <w:tcPr>
            <w:tcW w:w="1520" w:type="dxa"/>
            <w:vAlign w:val="bottom"/>
          </w:tcPr>
          <w:p>
            <w:pPr>
              <w:spacing w:after="0"/>
              <w:rPr>
                <w:sz w:val="24"/>
                <w:szCs w:val="24"/>
                <w:color w:val="auto"/>
              </w:rPr>
            </w:pPr>
          </w:p>
        </w:tc>
      </w:tr>
      <w:tr>
        <w:trPr>
          <w:trHeight w:val="378"/>
        </w:trPr>
        <w:tc>
          <w:tcPr>
            <w:tcW w:w="9560" w:type="dxa"/>
            <w:vAlign w:val="bottom"/>
            <w:gridSpan w:val="2"/>
          </w:tcPr>
          <w:p>
            <w:pPr>
              <w:spacing w:after="0"/>
              <w:rPr>
                <w:sz w:val="20"/>
                <w:szCs w:val="20"/>
                <w:color w:val="auto"/>
              </w:rPr>
            </w:pPr>
            <w:r>
              <w:rPr>
                <w:rFonts w:ascii="Arial" w:cs="Arial" w:eastAsia="Arial" w:hAnsi="Arial"/>
                <w:sz w:val="18"/>
                <w:szCs w:val="18"/>
                <w:color w:val="auto"/>
              </w:rPr>
              <w:t>The aggregate purchase price consideration is estimated to be approximately $478.8 million as follows (in millions):</w:t>
            </w:r>
          </w:p>
        </w:tc>
        <w:tc>
          <w:tcPr>
            <w:tcW w:w="1520" w:type="dxa"/>
            <w:vAlign w:val="bottom"/>
          </w:tcPr>
          <w:p>
            <w:pPr>
              <w:spacing w:after="0"/>
              <w:rPr>
                <w:sz w:val="24"/>
                <w:szCs w:val="24"/>
                <w:color w:val="auto"/>
              </w:rPr>
            </w:pPr>
          </w:p>
        </w:tc>
      </w:tr>
      <w:tr>
        <w:trPr>
          <w:trHeight w:val="189"/>
        </w:trPr>
        <w:tc>
          <w:tcPr>
            <w:tcW w:w="160" w:type="dxa"/>
            <w:vAlign w:val="bottom"/>
          </w:tcPr>
          <w:p>
            <w:pPr>
              <w:spacing w:after="0"/>
              <w:rPr>
                <w:sz w:val="16"/>
                <w:szCs w:val="16"/>
                <w:color w:val="auto"/>
              </w:rPr>
            </w:pPr>
          </w:p>
        </w:tc>
        <w:tc>
          <w:tcPr>
            <w:tcW w:w="94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0"/>
        </w:trPr>
        <w:tc>
          <w:tcPr>
            <w:tcW w:w="160" w:type="dxa"/>
            <w:vAlign w:val="bottom"/>
          </w:tcPr>
          <w:p>
            <w:pPr>
              <w:spacing w:after="0"/>
              <w:rPr>
                <w:sz w:val="19"/>
                <w:szCs w:val="19"/>
                <w:color w:val="auto"/>
              </w:rPr>
            </w:pPr>
          </w:p>
        </w:tc>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$150.0</w:t>
            </w:r>
          </w:p>
        </w:tc>
      </w:tr>
      <w:tr>
        <w:trPr>
          <w:trHeight w:val="230"/>
        </w:trPr>
        <w:tc>
          <w:tcPr>
            <w:tcW w:w="160" w:type="dxa"/>
            <w:vAlign w:val="bottom"/>
          </w:tcPr>
          <w:p>
            <w:pPr>
              <w:spacing w:after="0"/>
              <w:rPr>
                <w:sz w:val="19"/>
                <w:szCs w:val="19"/>
                <w:color w:val="auto"/>
              </w:rPr>
            </w:pPr>
          </w:p>
        </w:tc>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Closing Net Working Capital Adjustment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(10.2)</w:t>
            </w:r>
          </w:p>
        </w:tc>
      </w:tr>
      <w:tr>
        <w:trPr>
          <w:trHeight w:val="223"/>
        </w:trPr>
        <w:tc>
          <w:tcPr>
            <w:tcW w:w="160" w:type="dxa"/>
            <w:vAlign w:val="bottom"/>
          </w:tcPr>
          <w:p>
            <w:pPr>
              <w:spacing w:after="0"/>
              <w:rPr>
                <w:sz w:val="19"/>
                <w:szCs w:val="19"/>
                <w:color w:val="auto"/>
              </w:rPr>
            </w:pPr>
          </w:p>
        </w:tc>
        <w:tc>
          <w:tcPr>
            <w:tcW w:w="94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Cash Consideration </w:t>
            </w:r>
            <w:r>
              <w:rPr>
                <w:rFonts w:ascii="Arial" w:cs="Arial" w:eastAsia="Arial" w:hAnsi="Arial"/>
                <w:sz w:val="23"/>
                <w:szCs w:val="23"/>
                <w:color w:val="auto"/>
                <w:vertAlign w:val="superscript"/>
              </w:rPr>
              <w:t>(a1)</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139.8</w:t>
            </w:r>
          </w:p>
        </w:tc>
      </w:tr>
      <w:tr>
        <w:trPr>
          <w:trHeight w:val="230"/>
        </w:trPr>
        <w:tc>
          <w:tcPr>
            <w:tcW w:w="160" w:type="dxa"/>
            <w:vAlign w:val="bottom"/>
          </w:tcPr>
          <w:p>
            <w:pPr>
              <w:spacing w:after="0"/>
              <w:rPr>
                <w:sz w:val="19"/>
                <w:szCs w:val="19"/>
                <w:color w:val="auto"/>
              </w:rPr>
            </w:pPr>
          </w:p>
        </w:tc>
        <w:tc>
          <w:tcPr>
            <w:tcW w:w="94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Add: Stock Consideration </w:t>
            </w:r>
            <w:r>
              <w:rPr>
                <w:rFonts w:ascii="Arial" w:cs="Arial" w:eastAsia="Arial" w:hAnsi="Arial"/>
                <w:sz w:val="23"/>
                <w:szCs w:val="23"/>
                <w:color w:val="auto"/>
                <w:vertAlign w:val="superscript"/>
              </w:rPr>
              <w:t>(a2)</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323.2</w:t>
            </w:r>
          </w:p>
        </w:tc>
      </w:tr>
      <w:tr>
        <w:trPr>
          <w:trHeight w:val="230"/>
        </w:trPr>
        <w:tc>
          <w:tcPr>
            <w:tcW w:w="160" w:type="dxa"/>
            <w:vAlign w:val="bottom"/>
          </w:tcPr>
          <w:p>
            <w:pPr>
              <w:spacing w:after="0"/>
              <w:rPr>
                <w:sz w:val="19"/>
                <w:szCs w:val="19"/>
                <w:color w:val="auto"/>
              </w:rPr>
            </w:pPr>
          </w:p>
        </w:tc>
        <w:tc>
          <w:tcPr>
            <w:tcW w:w="9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Add: Fair value of Contingent Consideration </w:t>
            </w:r>
            <w:r>
              <w:rPr>
                <w:rFonts w:ascii="Arial" w:cs="Arial" w:eastAsia="Arial" w:hAnsi="Arial"/>
                <w:sz w:val="23"/>
                <w:szCs w:val="23"/>
                <w:color w:val="auto"/>
                <w:vertAlign w:val="superscript"/>
              </w:rPr>
              <w:t>(a3)</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15.8</w:t>
            </w:r>
          </w:p>
        </w:tc>
      </w:tr>
      <w:tr>
        <w:trPr>
          <w:trHeight w:val="223"/>
        </w:trPr>
        <w:tc>
          <w:tcPr>
            <w:tcW w:w="160" w:type="dxa"/>
            <w:vAlign w:val="bottom"/>
          </w:tcPr>
          <w:p>
            <w:pPr>
              <w:spacing w:after="0"/>
              <w:rPr>
                <w:sz w:val="19"/>
                <w:szCs w:val="19"/>
                <w:color w:val="auto"/>
              </w:rPr>
            </w:pPr>
          </w:p>
        </w:tc>
        <w:tc>
          <w:tcPr>
            <w:tcW w:w="9400" w:type="dxa"/>
            <w:vAlign w:val="bottom"/>
          </w:tcPr>
          <w:p>
            <w:pPr>
              <w:ind w:left="20"/>
              <w:spacing w:after="0"/>
              <w:rPr>
                <w:sz w:val="20"/>
                <w:szCs w:val="20"/>
                <w:color w:val="auto"/>
              </w:rPr>
            </w:pPr>
            <w:r>
              <w:rPr>
                <w:rFonts w:ascii="Arial" w:cs="Arial" w:eastAsia="Arial" w:hAnsi="Arial"/>
                <w:sz w:val="18"/>
                <w:szCs w:val="18"/>
                <w:color w:val="auto"/>
              </w:rPr>
              <w:t>Aggregate Purchase Price Consideration</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$478.8</w:t>
            </w:r>
          </w:p>
        </w:tc>
      </w:tr>
      <w:tr>
        <w:trPr>
          <w:trHeight w:val="20"/>
        </w:trPr>
        <w:tc>
          <w:tcPr>
            <w:tcW w:w="16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This represents cash consideration estimated net of net working capital adjustment ($10.2 million) based on the closing net working capital target of $22 million, as stated in the Merger Agreement. This cash consideration is offset by gross proceeds of $200 million which is based on 50 million shares of Class A common stock at a price of $4.00 per share in accordance with the Subscription Agreements that have been entered into with PIPE investors. The $200 million gross proceeds are offset by the estimated incremental transaction costs to be paid by Sema4 for $11 million, resulting in an approximately $49 million adjustment to cash and cash equivalents. These amounts are estimates.</w:t>
      </w:r>
    </w:p>
    <w:p>
      <w:pPr>
        <w:spacing w:after="0" w:line="138"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80 million shares of Sema4 Class A common stock were issued to the seller upon closing of the Acquisition. We estimated the Stock Consideration based on a per share price of $4.04, which was the closing price of the Class A common stock on January 14, 2022, the date the Merger Agreement was signed. The closing price of Sema4 Class A common stock on April 29, 2022 was $2.15 which would change the value of the purchase price by approximately $151.2 million.</w:t>
      </w:r>
    </w:p>
    <w:p>
      <w:pPr>
        <w:spacing w:after="0" w:line="133" w:lineRule="exact"/>
        <w:rPr>
          <w:sz w:val="20"/>
          <w:szCs w:val="20"/>
          <w:color w:val="auto"/>
        </w:rPr>
      </w:pPr>
    </w:p>
    <w:p>
      <w:pPr>
        <w:jc w:val="both"/>
        <w:ind w:left="1300" w:right="20" w:hanging="647"/>
        <w:spacing w:after="0" w:line="308" w:lineRule="auto"/>
        <w:tabs>
          <w:tab w:leader="none" w:pos="128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7"/>
          <w:szCs w:val="17"/>
          <w:color w:val="auto"/>
        </w:rPr>
        <w:t>The fair value of the $15.8 million Milestone Payment is estimated using a Monte Carlo simulation valuation model. Pay-out of this consideration is dependent upon GeneDx achieving 2022 and 2023 revenue target of $163 million and $219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purchase price allocations for the assets acquired and liabilities assumed are based on preliminary valuations and are subject to change as we obtain additional information (in thousands).</w:t>
      </w:r>
    </w:p>
    <w:p>
      <w:pPr>
        <w:sectPr>
          <w:pgSz w:w="11900" w:h="16838" w:orient="portrait"/>
          <w:cols w:equalWidth="0" w:num="1">
            <w:col w:w="11240"/>
          </w:cols>
          <w:pgMar w:left="320" w:top="1440" w:right="339" w:bottom="1440" w:gutter="0" w:footer="0" w:header="0"/>
        </w:sectPr>
      </w:pP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Inventory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Non-current assets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liabilities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Fair value of 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Identifiable Intangible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Aggregate purchase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2"/>
          <w:szCs w:val="12"/>
          <w:color w:val="auto"/>
        </w:rPr>
        <w:t>d2</w:t>
      </w:r>
    </w:p>
    <w:p>
      <w:pPr>
        <w:spacing w:after="0" w:line="92" w:lineRule="exact"/>
        <w:rPr>
          <w:sz w:val="20"/>
          <w:szCs w:val="20"/>
          <w:color w:val="auto"/>
        </w:rPr>
      </w:pPr>
    </w:p>
    <w:p>
      <w:pPr>
        <w:spacing w:after="0"/>
        <w:rPr>
          <w:sz w:val="20"/>
          <w:szCs w:val="20"/>
          <w:color w:val="auto"/>
        </w:rPr>
      </w:pPr>
      <w:r>
        <w:rPr>
          <w:rFonts w:ascii="Arial" w:cs="Arial" w:eastAsia="Arial" w:hAnsi="Arial"/>
          <w:sz w:val="9"/>
          <w:szCs w:val="9"/>
          <w:color w:val="auto"/>
        </w:rPr>
        <w:t>b1,b2,c</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b3</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b4,c</w:t>
      </w: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color w:val="auto"/>
        </w:rPr>
        <w:t>f</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a</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200" w:hanging="1195"/>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144</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color w:val="auto"/>
        </w:rPr>
        <w:t>20,341</w:t>
      </w:r>
    </w:p>
    <w:p>
      <w:pPr>
        <w:spacing w:after="0" w:line="34"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7,828</w:t>
      </w:r>
    </w:p>
    <w:p>
      <w:pPr>
        <w:spacing w:after="0" w:line="22"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4,632</w:t>
      </w:r>
    </w:p>
    <w:p>
      <w:pPr>
        <w:spacing w:after="0" w:line="2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color w:val="auto"/>
        </w:rPr>
        <w:t>28,330</w:t>
      </w:r>
    </w:p>
    <w:p>
      <w:pPr>
        <w:spacing w:after="0" w:line="34"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(21,533)</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(66,876)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9861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1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(27,134)</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288,960</w:t>
      </w:r>
    </w:p>
    <w:p>
      <w:pPr>
        <w:spacing w:after="0" w:line="3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217,000</w:t>
      </w:r>
    </w:p>
    <w:p>
      <w:pPr>
        <w:spacing w:after="0" w:line="47" w:lineRule="exact"/>
        <w:rPr>
          <w:sz w:val="20"/>
          <w:szCs w:val="20"/>
          <w:color w:val="auto"/>
        </w:rPr>
      </w:pPr>
    </w:p>
    <w:p>
      <w:pPr>
        <w:ind w:left="880" w:hanging="875"/>
        <w:spacing w:after="0"/>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478,826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47625</wp:posOffset>
            </wp:positionV>
            <wp:extent cx="9861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3">
            <w:col w:w="8400" w:space="720"/>
            <w:col w:w="340" w:space="240"/>
            <w:col w:w="1540"/>
          </w:cols>
          <w:pgMar w:left="320" w:top="1440" w:right="339" w:bottom="1440" w:gutter="0" w:footer="0" w:header="0"/>
          <w:type w:val="continuous"/>
        </w:sectPr>
      </w:pPr>
    </w:p>
    <w:p>
      <w:pPr>
        <w:spacing w:after="0" w:line="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estimated value of the purchase price consideration does not purport to represent the actual value of the total Merger Consideration that was paid when the Acquisition was completed. As discussed above, the Stock Consideration would change the purchase price by approximately $151.2 million based on the closing price of Sema4 Class A common stock on April 29, 2022 of $2.15.</w:t>
      </w:r>
    </w:p>
    <w:p>
      <w:pPr>
        <w:spacing w:after="0" w:line="130"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Elimination of GeneDx’s historical balance sheet accounts that are not acquired or assumed by Sema4:</w:t>
      </w:r>
    </w:p>
    <w:p>
      <w:pPr>
        <w:spacing w:after="0" w:line="171"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b1)As part of the pre-closing condition, GeneDx exited the joint venture investment that had a carrying value of $0.2 million. Therefore, the related investment balance and impairment loss of $0.04 million is eliminated.</w:t>
      </w:r>
    </w:p>
    <w:p>
      <w:pPr>
        <w:spacing w:after="0" w:line="11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b2)</w:t>
      </w:r>
      <w:r>
        <w:rPr>
          <w:rFonts w:ascii="Arial" w:cs="Arial" w:eastAsia="Arial" w:hAnsi="Arial"/>
          <w:sz w:val="16"/>
          <w:szCs w:val="16"/>
          <w:color w:val="auto"/>
        </w:rPr>
        <w:t>Represents adjustment to eliminate the carrying value of intercompany receivables.</w:t>
      </w:r>
    </w:p>
    <w:p>
      <w:pPr>
        <w:spacing w:after="0" w:line="17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b3)</w:t>
      </w:r>
      <w:r>
        <w:rPr>
          <w:rFonts w:ascii="Arial" w:cs="Arial" w:eastAsia="Arial" w:hAnsi="Arial"/>
          <w:sz w:val="16"/>
          <w:szCs w:val="16"/>
          <w:color w:val="auto"/>
        </w:rPr>
        <w:t>Represents adjustment to eliminate the income tax payable.</w:t>
      </w:r>
    </w:p>
    <w:p>
      <w:pPr>
        <w:spacing w:after="0" w:line="171" w:lineRule="exact"/>
        <w:rPr>
          <w:rFonts w:ascii="Arial" w:cs="Arial" w:eastAsia="Arial" w:hAnsi="Arial"/>
          <w:sz w:val="18"/>
          <w:szCs w:val="18"/>
          <w:color w:val="auto"/>
        </w:rPr>
      </w:pPr>
    </w:p>
    <w:p>
      <w:pPr>
        <w:ind w:left="1300" w:hanging="648"/>
        <w:spacing w:after="0" w:line="284" w:lineRule="auto"/>
        <w:rPr>
          <w:rFonts w:ascii="Arial" w:cs="Arial" w:eastAsia="Arial" w:hAnsi="Arial"/>
          <w:sz w:val="18"/>
          <w:szCs w:val="18"/>
          <w:color w:val="auto"/>
        </w:rPr>
      </w:pPr>
      <w:r>
        <w:rPr>
          <w:rFonts w:ascii="Arial" w:cs="Arial" w:eastAsia="Arial" w:hAnsi="Arial"/>
          <w:sz w:val="18"/>
          <w:szCs w:val="18"/>
          <w:color w:val="auto"/>
        </w:rPr>
        <w:t>b4)</w:t>
      </w:r>
      <w:r>
        <w:rPr>
          <w:rFonts w:ascii="Arial" w:cs="Arial" w:eastAsia="Arial" w:hAnsi="Arial"/>
          <w:sz w:val="16"/>
          <w:szCs w:val="16"/>
          <w:color w:val="auto"/>
        </w:rPr>
        <w:t>Deferred tax liabilities of $24.1 million were adjusted due to certain deferred tax assets being absorbed by OPKO and the write off of historical intangible assets. Therefore, they do not carry over. Additionally, there are deferred tax liabilities recorded for $66.9 million related to intangible assets that will result in the release of Sema4’s valuation allowance in a corresponding amount. The impact of the valuation allowance release is reflected in the unaudited pro forma combined statement of operations as well as the accumulated deficit.</w:t>
      </w:r>
    </w:p>
    <w:p>
      <w:pPr>
        <w:spacing w:after="0" w:line="10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b5)</w:t>
      </w:r>
      <w:r>
        <w:rPr>
          <w:rFonts w:ascii="Arial" w:cs="Arial" w:eastAsia="Arial" w:hAnsi="Arial"/>
          <w:sz w:val="16"/>
          <w:szCs w:val="16"/>
          <w:color w:val="auto"/>
        </w:rPr>
        <w:t>Represents adjustment to eliminate the prepaid bonus of GeneDx executives.</w:t>
      </w:r>
    </w:p>
    <w:p>
      <w:pPr>
        <w:spacing w:after="0" w:line="171" w:lineRule="exact"/>
        <w:rPr>
          <w:rFonts w:ascii="Arial" w:cs="Arial" w:eastAsia="Arial" w:hAnsi="Arial"/>
          <w:sz w:val="18"/>
          <w:szCs w:val="18"/>
          <w:color w:val="auto"/>
        </w:rPr>
      </w:pPr>
    </w:p>
    <w:p>
      <w:pPr>
        <w:jc w:val="both"/>
        <w:ind w:left="660" w:hanging="328"/>
        <w:spacing w:after="0" w:line="257" w:lineRule="auto"/>
        <w:tabs>
          <w:tab w:leader="none" w:pos="65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adjustment relates to eliminating the affect of the ASC 842, Leases (“ASC 842”) which was adopted by GeneDx because Sema4 did not adopt the ASC 842 as of December 31, 2021. Therefore, the adjustment removed the carrying value of the right of use assets ($5.8 million) and lease liabilities ($9.9 million). As an emerging growth company, the Company elected to adopt the ASC 842 under the extended transition period available, which will be effective for the annual period beginning on January 1, 2022 and all interim periods within the year ended December 31, 2023. Early adoption is permitted.</w:t>
      </w:r>
    </w:p>
    <w:p>
      <w:pPr>
        <w:spacing w:after="0" w:line="133" w:lineRule="exact"/>
        <w:rPr>
          <w:rFonts w:ascii="Arial" w:cs="Arial" w:eastAsia="Arial" w:hAnsi="Arial"/>
          <w:sz w:val="18"/>
          <w:szCs w:val="18"/>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Adjustment of GeneDx’s historical income statement accounts relates to the following (in millions):</w:t>
      </w:r>
    </w:p>
    <w:p>
      <w:pPr>
        <w:spacing w:after="0" w:line="171"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d1)Adjustment of $7.2 million of selling and marketing expense is primarily related to the amortization expense of identifiable intangible assets (e2) and stock-based compensation adjustment (d3).</w:t>
      </w:r>
    </w:p>
    <w:p>
      <w:pPr>
        <w:spacing w:after="0" w:line="116"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d2)Adjustment of $11.1 million of general and administrative expense is primarily related to the amortization expense of identifiable intangible assets (e2) and stock-based compensation adjustment (d3).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7" w:name="page78"/>
    <w:bookmarkEnd w:id="77"/>
    <w:p>
      <w:pPr>
        <w:spacing w:after="0" w:line="144" w:lineRule="exact"/>
        <w:rPr>
          <w:sz w:val="20"/>
          <w:szCs w:val="20"/>
          <w:color w:val="auto"/>
        </w:rPr>
      </w:pPr>
    </w:p>
    <w:p>
      <w:pPr>
        <w:jc w:val="both"/>
        <w:ind w:left="1300" w:hanging="647"/>
        <w:spacing w:after="0" w:line="272" w:lineRule="auto"/>
        <w:tabs>
          <w:tab w:leader="none" w:pos="1280" w:val="left"/>
        </w:tabs>
        <w:rPr>
          <w:sz w:val="20"/>
          <w:szCs w:val="20"/>
          <w:color w:val="auto"/>
        </w:rPr>
      </w:pPr>
      <w:r>
        <w:rPr>
          <w:rFonts w:ascii="Arial" w:cs="Arial" w:eastAsia="Arial" w:hAnsi="Arial"/>
          <w:sz w:val="18"/>
          <w:szCs w:val="18"/>
          <w:color w:val="auto"/>
        </w:rPr>
        <w:t>d3)</w:t>
      </w:r>
      <w:r>
        <w:rPr>
          <w:sz w:val="20"/>
          <w:szCs w:val="20"/>
          <w:color w:val="auto"/>
        </w:rPr>
        <w:tab/>
      </w:r>
      <w:r>
        <w:rPr>
          <w:rFonts w:ascii="Arial" w:cs="Arial" w:eastAsia="Arial" w:hAnsi="Arial"/>
          <w:sz w:val="17"/>
          <w:szCs w:val="17"/>
          <w:color w:val="auto"/>
        </w:rPr>
        <w:t>Stock-based compensation adjustment represents estimated $6.2 million of Sema4 stock awards that are agreed to be granted to certain executives following the transaction closing. We only considered the contingent grants made to certain GeneDx executives who are continuing their employment with Sema4. The grant date fair value for options were calculated using a Black-Scholes option-pricing model, using the closing share price as of January 14, 2022 of $4.04, risk free rate of 1.64%, expected life of 5.5 years, volatility 65.2% and dividend yield of zero. The fair value of the restricted stock units are calculated using Sema4’s closing share price as of January 14, 2022, $4.04. The expense is reduced by $1.2 million of stock-based compensation recorded for the executives and reflected in GeneDx financial information under their current employment agreement with GeneDx.</w:t>
      </w:r>
    </w:p>
    <w:p>
      <w:pPr>
        <w:spacing w:after="0" w:line="123"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d4)</w:t>
      </w:r>
      <w:r>
        <w:rPr>
          <w:sz w:val="20"/>
          <w:szCs w:val="20"/>
          <w:color w:val="auto"/>
        </w:rPr>
        <w:tab/>
      </w:r>
      <w:r>
        <w:rPr>
          <w:rFonts w:ascii="Arial" w:cs="Arial" w:eastAsia="Arial" w:hAnsi="Arial"/>
          <w:sz w:val="18"/>
          <w:szCs w:val="18"/>
          <w:color w:val="auto"/>
        </w:rPr>
        <w:t>Income tax benefit of $12.5 million is eliminated as we expect GeneDx’s parent company to absorb this benefit. In addition, we adjust for $66.9 million of income tax benefit related to the deferred tax liabilities of identifiable intangible assets created in connection with the Acquisition.</w:t>
      </w:r>
    </w:p>
    <w:p>
      <w:pPr>
        <w:spacing w:after="0" w:line="130"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Reflects the adjustment to record the fair values of the identifiable intangible assets created in connection with the Acquisition.</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fair value of GeneDx’s trade name and trademarks and developed technology intangible assets were determined using the relief from royalty method under the income approach, which estimates the cost savings generated by a company related to the ownership of an asset for which it would otherwise have had to pay royalties or license fees on revenues earned through the use of the asset. The discount rate used is determined at the time of measurement based on an analysis of the implied internal rate of return of the transaction, weighted average cost of capital, and weighted average return on assets.</w:t>
      </w:r>
    </w:p>
    <w:p>
      <w:pPr>
        <w:spacing w:after="0" w:line="1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fair value of the customer relationships was calculated using a multi-period excess earnings method, a form of the income approach, which incorporates the estimated future cash flows to be generated from GeneDx’s existing customer base. Excess earnings are the earnings remaining after deducting the market rates of return on the estimated values of contributory assets, including debt-free net working capital, tangible assets, and other identifiable intangible assets. The excess earnings are thereby calculated for each year of a multi-year projection period and discounted to present value. The primary components of this method consist of the customer attrition rate, determination of excess earnings, and an appropriate rate of return.</w:t>
      </w:r>
    </w:p>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estimated fair values of GeneDx’s identifiable intangible assets and their estimated useful lives determined (in million):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Useful Life (in years)</w:t>
            </w:r>
          </w:p>
        </w:tc>
        <w:tc>
          <w:tcPr>
            <w:tcW w:w="200" w:type="dxa"/>
            <w:vAlign w:val="bottom"/>
          </w:tcPr>
          <w:p>
            <w:pPr>
              <w:spacing w:after="0"/>
              <w:rPr>
                <w:sz w:val="16"/>
                <w:szCs w:val="16"/>
                <w:color w:val="auto"/>
              </w:rPr>
            </w:pPr>
          </w:p>
        </w:tc>
        <w:tc>
          <w:tcPr>
            <w:tcW w:w="198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Estimated Fair Value</w:t>
            </w:r>
          </w:p>
        </w:tc>
        <w:tc>
          <w:tcPr>
            <w:tcW w:w="172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Annual Amortization</w:t>
            </w:r>
          </w:p>
        </w:tc>
      </w:tr>
      <w:tr>
        <w:trPr>
          <w:trHeight w:val="229"/>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 (General and administrative)</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60" w:type="dxa"/>
            <w:vAlign w:val="bottom"/>
            <w:tcBorders>
              <w:top w:val="single" w:sz="8" w:color="auto"/>
            </w:tcBorders>
            <w:shd w:val="clear" w:color="auto" w:fill="CCEEFF"/>
          </w:tcPr>
          <w:p>
            <w:pPr>
              <w:spacing w:after="0"/>
              <w:rPr>
                <w:sz w:val="19"/>
                <w:szCs w:val="19"/>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Developed Technology (General and administrative)</w:t>
            </w:r>
          </w:p>
        </w:tc>
        <w:tc>
          <w:tcPr>
            <w:tcW w:w="15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19"/>
                <w:szCs w:val="19"/>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 (Selling and marketing)</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60" w:type="dxa"/>
            <w:vAlign w:val="bottom"/>
            <w:shd w:val="clear" w:color="auto" w:fill="CCEEFF"/>
          </w:tcPr>
          <w:p>
            <w:pPr>
              <w:spacing w:after="0"/>
              <w:rPr>
                <w:sz w:val="19"/>
                <w:szCs w:val="19"/>
                <w:color w:val="auto"/>
              </w:rPr>
            </w:pPr>
          </w:p>
        </w:tc>
      </w:tr>
      <w:tr>
        <w:trPr>
          <w:trHeight w:val="223"/>
        </w:trPr>
        <w:tc>
          <w:tcPr>
            <w:tcW w:w="5700" w:type="dxa"/>
            <w:vAlign w:val="bottom"/>
          </w:tcPr>
          <w:p>
            <w:pPr>
              <w:ind w:left="240"/>
              <w:spacing w:after="0"/>
              <w:rPr>
                <w:sz w:val="20"/>
                <w:szCs w:val="20"/>
                <w:color w:val="auto"/>
              </w:rPr>
            </w:pPr>
            <w:r>
              <w:rPr>
                <w:rFonts w:ascii="Arial" w:cs="Arial" w:eastAsia="Arial" w:hAnsi="Arial"/>
                <w:sz w:val="18"/>
                <w:szCs w:val="18"/>
                <w:color w:val="auto"/>
              </w:rPr>
              <w:t>Total</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217.0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14.3</w:t>
            </w:r>
          </w:p>
        </w:tc>
        <w:tc>
          <w:tcPr>
            <w:tcW w:w="360" w:type="dxa"/>
            <w:vAlign w:val="bottom"/>
          </w:tcPr>
          <w:p>
            <w:pPr>
              <w:jc w:val="right"/>
              <w:ind w:right="162"/>
              <w:spacing w:after="0"/>
              <w:rPr>
                <w:sz w:val="20"/>
                <w:szCs w:val="20"/>
                <w:color w:val="auto"/>
              </w:rPr>
            </w:pPr>
            <w:r>
              <w:rPr>
                <w:rFonts w:ascii="Arial" w:cs="Arial" w:eastAsia="Arial" w:hAnsi="Arial"/>
                <w:sz w:val="12"/>
                <w:szCs w:val="12"/>
                <w:color w:val="auto"/>
                <w:w w:val="89"/>
              </w:rPr>
              <w:t>e2</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Historic GeneDx Intangible Assets</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2"/>
              <w:spacing w:after="0" w:line="230" w:lineRule="exact"/>
              <w:rPr>
                <w:sz w:val="20"/>
                <w:szCs w:val="20"/>
                <w:color w:val="auto"/>
              </w:rPr>
            </w:pPr>
            <w:r>
              <w:rPr>
                <w:rFonts w:ascii="Arial" w:cs="Arial" w:eastAsia="Arial" w:hAnsi="Arial"/>
                <w:sz w:val="18"/>
                <w:szCs w:val="18"/>
                <w:color w:val="auto"/>
              </w:rPr>
              <w:t xml:space="preserve">(16.8) </w:t>
            </w:r>
            <w:r>
              <w:rPr>
                <w:rFonts w:ascii="Arial" w:cs="Arial" w:eastAsia="Arial" w:hAnsi="Arial"/>
                <w:sz w:val="23"/>
                <w:szCs w:val="23"/>
                <w:color w:val="auto"/>
                <w:vertAlign w:val="superscript"/>
              </w:rPr>
              <w:t>e3</w:t>
            </w:r>
          </w:p>
        </w:tc>
      </w:tr>
      <w:tr>
        <w:trPr>
          <w:trHeight w:val="223"/>
        </w:trPr>
        <w:tc>
          <w:tcPr>
            <w:tcW w:w="5700" w:type="dxa"/>
            <w:vAlign w:val="bottom"/>
          </w:tcPr>
          <w:p>
            <w:pPr>
              <w:ind w:left="240"/>
              <w:spacing w:after="0"/>
              <w:rPr>
                <w:sz w:val="20"/>
                <w:szCs w:val="20"/>
                <w:color w:val="auto"/>
              </w:rPr>
            </w:pPr>
            <w:r>
              <w:rPr>
                <w:rFonts w:ascii="Arial" w:cs="Arial" w:eastAsia="Arial" w:hAnsi="Arial"/>
                <w:sz w:val="18"/>
                <w:szCs w:val="18"/>
                <w:color w:val="auto"/>
              </w:rPr>
              <w:t>Pro forma adjustment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620" w:type="dxa"/>
            <w:vAlign w:val="bottom"/>
            <w:gridSpan w:val="3"/>
          </w:tcPr>
          <w:p>
            <w:pPr>
              <w:jc w:val="right"/>
              <w:ind w:right="390"/>
              <w:spacing w:after="0"/>
              <w:rPr>
                <w:sz w:val="20"/>
                <w:szCs w:val="20"/>
                <w:color w:val="auto"/>
              </w:rPr>
            </w:pPr>
            <w:r>
              <w:rPr>
                <w:rFonts w:ascii="Arial" w:cs="Arial" w:eastAsia="Arial" w:hAnsi="Arial"/>
                <w:sz w:val="12"/>
                <w:szCs w:val="12"/>
                <w:color w:val="auto"/>
                <w:w w:val="89"/>
              </w:rPr>
              <w:t>e1</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1"/>
        </w:trPr>
        <w:tc>
          <w:tcPr>
            <w:tcW w:w="5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e3)</w:t>
      </w:r>
      <w:r>
        <w:rPr>
          <w:sz w:val="20"/>
          <w:szCs w:val="20"/>
          <w:color w:val="auto"/>
        </w:rPr>
        <w:tab/>
      </w:r>
      <w:r>
        <w:rPr>
          <w:rFonts w:ascii="Arial" w:cs="Arial" w:eastAsia="Arial" w:hAnsi="Arial"/>
          <w:sz w:val="18"/>
          <w:szCs w:val="18"/>
          <w:color w:val="auto"/>
        </w:rPr>
        <w:t>Represents adjustment to eliminate the amortization of historic GeneDx intangible assets of $16.8 million.</w:t>
      </w:r>
    </w:p>
    <w:p>
      <w:pPr>
        <w:spacing w:after="0" w:line="171" w:lineRule="exact"/>
        <w:rPr>
          <w:sz w:val="20"/>
          <w:szCs w:val="20"/>
          <w:color w:val="auto"/>
        </w:rPr>
      </w:pPr>
    </w:p>
    <w:p>
      <w:pPr>
        <w:ind w:left="660" w:hanging="328"/>
        <w:spacing w:after="0" w:line="277" w:lineRule="auto"/>
        <w:tabs>
          <w:tab w:leader="none" w:pos="658"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the preliminary purchase price allocations performed, the estimated goodwill of $289.0 million is recognized from the Acquisition resulting the adjustment of $7.0 million. The historic GeneDx goodwill of $282.0 million is eliminated.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44" w:lineRule="exact"/>
        <w:rPr>
          <w:sz w:val="20"/>
          <w:szCs w:val="20"/>
          <w:color w:val="auto"/>
        </w:rPr>
      </w:pPr>
    </w:p>
    <w:p>
      <w:pPr>
        <w:ind w:left="660" w:hanging="328"/>
        <w:spacing w:after="0" w:line="277"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elimination of GeneDx’s historical additional paid-in capital and adjustment to Sema4’s common stock and additional paid capital for the stock considerations and PIPE financing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Additional paid-in capital</w:t>
            </w:r>
          </w:p>
        </w:tc>
        <w:tc>
          <w:tcPr>
            <w:tcW w:w="320" w:type="dxa"/>
            <w:vAlign w:val="bottom"/>
          </w:tcPr>
          <w:p>
            <w:pPr>
              <w:spacing w:after="0"/>
              <w:rPr>
                <w:sz w:val="16"/>
                <w:szCs w:val="16"/>
                <w:color w:val="auto"/>
              </w:rPr>
            </w:pPr>
          </w:p>
        </w:tc>
        <w:tc>
          <w:tcPr>
            <w:tcW w:w="1240" w:type="dxa"/>
            <w:vAlign w:val="bottom"/>
          </w:tcPr>
          <w:p>
            <w:pPr>
              <w:jc w:val="right"/>
              <w:ind w:right="453"/>
              <w:spacing w:after="0"/>
              <w:rPr>
                <w:sz w:val="20"/>
                <w:szCs w:val="20"/>
                <w:color w:val="auto"/>
              </w:rPr>
            </w:pPr>
            <w:r>
              <w:rPr>
                <w:rFonts w:ascii="Arial" w:cs="Arial" w:eastAsia="Arial" w:hAnsi="Arial"/>
                <w:sz w:val="14"/>
                <w:szCs w:val="14"/>
                <w:b w:val="1"/>
                <w:bCs w:val="1"/>
                <w:color w:val="auto"/>
              </w:rPr>
              <w:t>Amount</w:t>
            </w:r>
          </w:p>
        </w:tc>
      </w:tr>
      <w:tr>
        <w:trPr>
          <w:trHeight w:val="229"/>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Elimination of GeneDx historical additional paid-in capital</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(660.5)</w:t>
            </w:r>
          </w:p>
        </w:tc>
      </w:tr>
      <w:tr>
        <w:trPr>
          <w:trHeight w:val="230"/>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Stock consideration a2)</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323.2</w:t>
            </w:r>
          </w:p>
        </w:tc>
      </w:tr>
      <w:tr>
        <w:trPr>
          <w:trHeight w:val="22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PIPE financing a1)</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PIPE financing cost a1)</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55" w:lineRule="auto"/>
        <w:rPr>
          <w:rFonts w:ascii="Arial" w:cs="Arial" w:eastAsia="Arial" w:hAnsi="Arial"/>
          <w:sz w:val="18"/>
          <w:szCs w:val="18"/>
          <w:i w:val="1"/>
          <w:iCs w:val="1"/>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financial statements and related notes and other financial information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w:t>
      </w:r>
      <w:hyperlink w:anchor="page18">
        <w:r>
          <w:rPr>
            <w:rFonts w:ascii="Arial" w:cs="Arial" w:eastAsia="Arial" w:hAnsi="Arial"/>
            <w:sz w:val="18"/>
            <w:szCs w:val="18"/>
            <w:i w:val="1"/>
            <w:iCs w:val="1"/>
            <w:u w:val="single" w:color="auto"/>
            <w:color w:val="0000FF"/>
          </w:rPr>
          <w:t>Risk Factors</w:t>
        </w:r>
      </w:hyperlink>
      <w:r>
        <w:rPr>
          <w:rFonts w:ascii="Arial" w:cs="Arial" w:eastAsia="Arial" w:hAnsi="Arial"/>
          <w:sz w:val="18"/>
          <w:szCs w:val="18"/>
          <w:i w:val="1"/>
          <w:iCs w:val="1"/>
          <w:color w:val="auto"/>
        </w:rPr>
        <w:t>” section of this prospectus, our actual results could differ materially from the results described in or implied by the forward-looking statements contained in the following discussion and analysis.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patient-centered, health intelligence company with a mission to use artificial intelligence (“AI”) and machine learning to enable personalized medicine for all. By leveraging leading data scientists and technology, our platform powers remarkable and unique insights that transform the practice of medicine including how disease is diagnosed, treated, and prevented.</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established out of Icahn School of Medicine at Mount Sinai (“ISMMS”) and commenced operations in June 2017 as a commercial entity that could effectively engage diverse patient populations and health care institutions at scale. We have since established and deployed our comprehensive and integrated genomic and clinical data platform and established a mature diagnostic testing business. We now maintain a database that includes more than 12 million de-identified individual clinical records, many with genomic profiles. We also manage a data asset over 47 petabytes in size, that has been expanding at more than 1 petabyte per month with an accelerating growth rate.</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Currently, we derive the majority of our revenue from our diagnostic test solutions. Our diagnostic business generates revenue and engages with healthcare professionals working with patients primarily through our Women’s Health and Oncology solutions.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Women’s Health solutions sequence and analyze an industry-leading number of genes and use interpretive information tools to translate raw sequencing and clinical data efficiently and accurately into digestible clinical reports that guide decision-making by patients and physicians. Our Oncology diagnostic solutions feature both somatic tumor profiling and hereditary cancer screenings, along with a foundational whole exome and whole transcriptome sequencing approach. Our Sema4 Signal Hereditary Cancer solution determines if a patient carries an inherited genetic change that increases the risk of cancer or informs on cancer treatment. We believe our Signal Whole Exome and Transcriptome solution is one of the most comprehensive molecular profiling solutions from a commercial entity to receive New York State approval. Beginning in May of 2020, we also expanded our diagnostic testing services to include testing for the presence of COVID-19, which we intend to discontinue by March 31, 2022.</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also expanded beyond diagnostic testing to enter into service agreements with third parties to provide diagnostic testing, research, and related data aggregation reporting services. We have established and continue to seek strategic relationships with pharmaceutical and biotech (“Biopharma”) companies to enable innovation across the entire drug lifecycle, from next-generation drug discovery and development, to post-market efficacy surveillance, to informing on bioavailability, toxicity, tolerability, and other features critical to drug development.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75"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rFonts w:ascii="Arial" w:cs="Arial" w:eastAsia="Arial" w:hAnsi="Arial"/>
          <w:sz w:val="18"/>
          <w:szCs w:val="18"/>
          <w:i w:val="1"/>
          <w:iCs w:val="1"/>
          <w:color w:val="auto"/>
        </w:rPr>
        <w:t>“</w:t>
      </w:r>
      <w:hyperlink w:anchor="page18">
        <w:r>
          <w:rPr>
            <w:rFonts w:ascii="Arial" w:cs="Arial" w:eastAsia="Arial" w:hAnsi="Arial"/>
            <w:sz w:val="18"/>
            <w:szCs w:val="18"/>
            <w:i w:val="1"/>
            <w:iCs w:val="1"/>
            <w:u w:val="single" w:color="auto"/>
            <w:color w:val="0000FF"/>
          </w:rPr>
          <w:t>Risk Factors</w:t>
        </w:r>
      </w:hyperlink>
      <w:r>
        <w:rPr>
          <w:rFonts w:ascii="Arial" w:cs="Arial" w:eastAsia="Arial" w:hAnsi="Arial"/>
          <w:sz w:val="18"/>
          <w:szCs w:val="18"/>
          <w:i w:val="1"/>
          <w:iCs w:val="1"/>
          <w:color w:val="auto"/>
        </w:rPr>
        <w:t>”</w:t>
      </w:r>
      <w:r>
        <w:rPr>
          <w:rFonts w:ascii="Arial" w:cs="Arial" w:eastAsia="Arial" w:hAnsi="Arial"/>
          <w:sz w:val="18"/>
          <w:szCs w:val="18"/>
          <w:color w:val="auto"/>
        </w:rPr>
        <w:t xml:space="preserve">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resulted tests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historically reported both accessioned and resulted tests as important factors impacting our performance. A test is resulted once the appropriate workflow is completed and details are provided to the ordered patients or healthcare professional for reviews, which corresponds to the timing of our revenue recognition. We believe the number of resulted tests in any period is more important and useful to our investors because it directly correlates with long-term patient relationships and the size of our genomic database. Therefore, we do not plan to report the number of accessioned tests.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obtaining and maintaining reimbursement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continue to focus our resources on increasing the adoption of, and expanding coverage and reimbursement for, our current and any future tests we may develop or acquire. If we fail to expand and maintain broad adoption of, and coverage and reimbursement for, our tests, our ability to generate revenue and our future business prospects may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lower the costs associated with performing our tests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adoption of our services by existing and new customers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platform innovation to support commercial growth</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seeking to leverage and deploy our Centrellis and Traversa platforms to develop a pipeline of future disease-specific research and diagnostic and therapeutic products and services. We have limited experience in the development or commercialization of clinical or research products in connection with our database and our Centrellis platform.</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the following key financial and operating metrics to evaluate our business and operations, measure our performance, identify trends affecting our business, project our future performance, and make strategic decisions. These key financial and operating metrics should be read in conjunction with the following discussion of our results of operations and financial condition together with our consolidated financial statements and the related notes and other financial information included elsewhere in this prospectus.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principal focus of our commercial operations is to offer our diagnostic tests through both our direct sales force and laboratory distribution partners. Test volume correlates with genomic database size and long-term patient relationships. Thus, test volumes drive database diversity and enable potential identification of variants of unknown significance and population-specific insights. The number of tests resulted is a key indicator that we use to assess the operational efficiency of our business. Once the appropriate workflow is completed, the test is resulted and details are provided to ordered patients or healthcare professionals for reviews.</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year ended December 31, 2021, we resulted 709,942 tests in our laboratories, 418,053 tests of which were for COVID-19, compared to the period ended December 31, 2020, in which we resulted approximately 540,407 tests in our laboratories, 332,764 of which were for COVID-19. This 31% increase in resulted volume from 2020 to 2021 largely resulted from newly entered service agreements for COVID-19 testing as well as an increase in non-COVID-19 institutional testing. During the year ended December 31, 2019, we resulted approximately 155,497 tests in our laboratories, none of which were for COVID-19. The 248% increase in resulted volume from 2019 to 2020 largely resulted from newly entered service agreements for COVID-19 testing, offset by a slowdown in the base diagnostic business during the beginning of the COVID-19 pandemic given that many of our customers, including hospitals and clinics, had suspended non-emergency appointments and services.</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above, we no longer report the number of accessioned tests as a key performance indicator because the number of resulted tests more directly correlates with long-term patient relationships and the size of our genomic database.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ongoing COVID-19 pandemic has had, and continues to have, an extensive impact on the global health and economic environments since the initial outbreak in March 2020.</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Beginning in April 2020, our diagnostic test volumes decreased significantly as compared to the prior year as a result of the COVID-19 pandemic and the related limitations and priorities across the healthcare system. In response, beginning in May 2020, we entered into several service agreements with state governments and healthcare institutions to provide testing for the presence of COVID-19 infection. COVID-19 test volumes grew significantly from the introduction of the service offering through the remainder of 2020 and further increased in 2021. To support the rapid expansion of COVID-19 test volumes, we increased our workforce through both temporary contractors and employees. In addition, while most of our revenues from genetic testing rely upon reimbursements from third party payors, healthcare institutions, and individuals, the majority of our COVID-19 test revenues rely upon reimbursements from state governments and healthcare institutions. In addition, COVID-19 testing yields lower revenues per tests and incurs lower costs to perform each test. We have also experienced a slowdown in receivable collections since the onset of the pandemic, but do not expect those collection trends to continue.</w:t>
      </w:r>
    </w:p>
    <w:p>
      <w:pPr>
        <w:spacing w:after="0" w:line="1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part of our response to the ongoing COVID-19 pandemic, we have implemented various strategies to mitigate operating risks, reduce costs and improve cash collections. We have made significant advance purchases of test-related inventory in order to reduce the risk of potential business interruptions related to supply chain disruption. We also contracted with third-party vendors to collect and test COVID-19 samples to reduce operating risks related to employee health. Temporary COVID-19 austerity measures included cancellation of the 2020 annual merit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compensation increase, temporary salary reductions from May through July 2020 and deferral of the 401(k) employer match from May through December 2020. The employer match was reinstated in January 2021, and the deferred portion was funded on March 9, 2021. To support our sales employees with commission-based compensation structure, we implemented temporary minimum commissions during the second quarter of 2020. No such minimums were in place in any quarter after the second quarter nor are any such minimums expected to be implemented again in the near term. No employee layoffs were implemented as part of these austerity measures.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conditions improve, we are focused on overhauling our revenue cycle, and as part of transformational activities hired a Chief Revenue Officer and established a revenue cycle Center of Excellence. As part of our efforts to improve our collection efficiency and overall financial health, we are also undergoing various process transformations within the Order-to-Cash and Procure-to-Pay cycles.</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While test volumes have since improved, we continue to experience changes in the mix of tests due to the impact of the COVID-19 and its variants. We anticipate that demand for COVID-19 tests will decrease as vaccines continue to be developed and deployed to the general population. For this reason, we announced in December 2021 that we had decided to discontinue COVID-19 testing services by March 31, 2022 and began notifying our COVID-19 testing solutions customers of this decision. We intend to dedicate all of our efforts and resources to our core mission to transform healthcare by using artificial intelligence to enable the delivery of precision medicine as the standard of care, and do not expect declines for our other revenue streams during 2022.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or its variants, the actions taken to contain it or treat it and the economic impact on local, regional, national and international markets and supply chains. Therefore, the COVID-19 pandemic could continue to have a material impact on our results of operations, cash flows and financial condition for the foreseeable future.</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2020, the Coronavirus Aid, Relief and Economic Security Act (the “CARES Act”) was signed into law which was a stimulus bill that, among other things, provided assistance to qualifying businesses and individuals and included funding for the healthcare system. We received $5.4 million in 2020 as part of the stimulus, comprised of $2.6 million received under the Provider Relief Fund (“PRF”) distribution and $2.8 million received under the Employee Retention Credit (“ERC”) distribution. During 2021, we received an additional $5.6 million under the PRF distribution.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 with the PRF distribution have been met. As a result, we recorded the PRF distributions in other income (expense), net in the statements of operations and comprehensive loss during the periods in which we received the distributions.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it was reasonably possible the eligibility requirements would be met; however, due to a change in circumstances, we are re-evaluating our position. As such, we deferred the recognition of the ERC distribution and recorded the proceeds in other liabilities on the consolidated balance sheets as of December 31, 2021 and 2020.</w:t>
      </w:r>
    </w:p>
    <w:p>
      <w:pPr>
        <w:spacing w:after="0" w:line="138" w:lineRule="exact"/>
        <w:rPr>
          <w:sz w:val="20"/>
          <w:szCs w:val="20"/>
          <w:color w:val="auto"/>
        </w:rPr>
      </w:pPr>
    </w:p>
    <w:p>
      <w:pPr>
        <w:ind w:right="660"/>
        <w:spacing w:after="0" w:line="438" w:lineRule="auto"/>
        <w:rPr>
          <w:sz w:val="20"/>
          <w:szCs w:val="20"/>
          <w:color w:val="auto"/>
        </w:rPr>
      </w:pPr>
      <w:r>
        <w:rPr>
          <w:rFonts w:ascii="Arial" w:cs="Arial" w:eastAsia="Arial" w:hAnsi="Arial"/>
          <w:sz w:val="18"/>
          <w:szCs w:val="18"/>
          <w:color w:val="auto"/>
        </w:rPr>
        <w:t xml:space="preserve">At this time, we are not certain of the availability, extent or impact of any future relief provided under the CARES Act or other stimulus initiatives. </w:t>
      </w:r>
      <w:r>
        <w:rPr>
          <w:rFonts w:ascii="Arial" w:cs="Arial" w:eastAsia="Arial" w:hAnsi="Arial"/>
          <w:sz w:val="18"/>
          <w:szCs w:val="18"/>
          <w:b w:val="1"/>
          <w:bCs w:val="1"/>
          <w:color w:val="auto"/>
        </w:rPr>
        <w:t>Recent Developments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29, 2022, we consummated the transactions contemplated by the Merger Agreement, whereby we acquired GeneDx through the Mergers and paid OPKO $150 million of Cash Consideration and issued to OPKO 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million of Stock Consideration Shares. Concurrently with the Closing, we also consummated the PIPE Investment, issuing 50 million PIPE Shares for aggregate gross proceeds of $200 million.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GeneDx is a patient-centric health information company and leader in delivering clinical genomic answers to an ever-increasing community of patients, families and healthcare providers. With more than 20 years of experience in diagnosing rare disorders and diseases, GeneDx has pioneered panels, exome and whole genome sequencing and has developed a proprietary genomic interpretation and information services platform in support of healthcare partners and patients globally.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derive the majority of our revenue from diagnostic testing services, which primarily relate to Women’s Health, Oncology and COVID-19. We also recognize revenue from collaboration service agreements with Biopharma companies and other third parties pursuant to which we provide diagnostic testing and related data aggregation reporting services. As discussed above, in December 2021, we announced that we decided to discontinue COVID-19 testing services by March 31, 2022 and begun notifying its COVID-19 testing solutions customers of this decision.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revenue when control of the promised goods or services is transferred to the customer in an amount that reflects the consideration which we expect to be entitled to in exchange for those goods or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primarily generate revenue from performing diagnostic testing services for three groups of customers: healthcare professionals working with patients with third-party insurance coverage or without third-party insurance coverage or those who elect to self-pay; and institutional clients, such as hospitals, clinics, state governments and reference laboratories. Customers are billed upon delivery of test results.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w:t>
      </w:r>
    </w:p>
    <w:p>
      <w:pPr>
        <w:spacing w:after="0" w:line="1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ability to increase our diagnostic test revenue will depend on our ability to increase our market penetration, obtain contracted reimbursement coverage from third-party payers, enter into contracts with institutions, and increase our reimbursement rate for tests performed.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generate revenue from providing diagnostic testing and related data aggregation reporting services under both short-term and long-term project-based collaboration service agreements with third parties. The terms of these contracts generally include non-refundable upfront payments, which we record as contract liabilities, and variable payments based upon the achievement of certain milestones during the contract term.</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existing collaboration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cost of services reflect the aggregate costs incurred in performing services. These costs include expenses for reagents and laboratory supplies, personnel-related expenses (comprising salaries and benefits) and stock-based compensation for employees directly involved in revenue generating activities, shipping and handling fees, costs of third-party reference lab testing and phlebotomy services and allocated genetic counseling, facility and IT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associated with delivery services. Allocated costs include depreciation of laboratory equipment, facility occupancy, and information technology costs. The cost of services are recorded as the services are performed.</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expect the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spacing w:after="0" w:line="11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generally expect our research and development expenses to continue to increase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and marketing expenses primarily consist of personnel-related expenses (comprising salaries, and benefits) and stock-based compensation for employees performing commercial sales, account management, marketing, and allocation of genetic counseling services related to medical education. Selling and marketing costs are expensed as incurred.</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generally expect our selling and marketing expenses will continue to increase in absolute dollars as we expand our commercial sales and marketing and counseling teams and increase marketing activities. However, we expect selling and marketing expenses to decrease as a percentage of revenue in the long term, subject to fluctuations from period to period due to the timing and magnitude of these expenses.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the Nasdaq and of the SEC; director and officer insurance premiums and investor relations. We expect these expenses to decrease as a percentage of revenue in the long term as revenue increases, although the percentage may fluctuate from period to period due to fluctuations in our compensation-related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Related party expenses primarily consist of amounts incurred in connection with transactions occurred with ISMMS for expenses under our transition services agreement (“TSA”) with ISMMS which expired at the end of the first quarter of 2021, and other service agreements. Additional information can be found in our consolidated financial statements in Note 7, </w:t>
      </w:r>
      <w:r>
        <w:rPr>
          <w:rFonts w:ascii="Arial" w:cs="Arial" w:eastAsia="Arial" w:hAnsi="Arial"/>
          <w:sz w:val="17"/>
          <w:szCs w:val="17"/>
          <w:i w:val="1"/>
          <w:iCs w:val="1"/>
          <w:color w:val="auto"/>
        </w:rPr>
        <w:t>“Related Party Transactions”</w:t>
      </w:r>
      <w:r>
        <w:rPr>
          <w:rFonts w:ascii="Arial" w:cs="Arial" w:eastAsia="Arial" w:hAnsi="Arial"/>
          <w:sz w:val="17"/>
          <w:szCs w:val="17"/>
          <w:color w:val="auto"/>
        </w:rPr>
        <w:t xml:space="preserve"> included elsewhere in this prospectus.</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generally expect related party expenses to decrease as we establish our own internal and external resources to fulfill the administrative and other services we have historically procured from ISMMS.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primarily consists of interest earned on money market funds.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consists of interest costs related to our capital leases and our long-term debt arrangements, including unused line fee and the amortization of deferred transaction costs related to the loan and security agreement entered into with Silicon Valley Bank to provide a $125 million revolving credit facility described elsewhere in this prospectus.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net primarily consists of funding received under the CARES Act. We recognized $2.6 million of the $5.4 million of funding received under the CARES Act as other income, net on the statements of operations and comprehensive loss during the year ended December 31, 2020. We recognized $5.6 million of additional funding received under the CARES Act during the year ended December 31, 2021 and the amount is included in other income, net for the year ended December 31, 2021. In addition, the loss incurred due to early payment penalties recognized upon extinguishment of debt of $0.3 million is included in other income, net.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discussion regarding our financial condition and results of consolidated operations for the year ended December 31, 2021 compared to the year ended December 31, 2020 and for the year ended December 31, 2020 compared to the year ended December 31, 2019 is presented below.</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expenses were previously misclassified as cost of services and they are now reported as selling and marketing. The adjustment is reflected in the amounts reported below for years ended December 31, 2021, 2020 and 2019. 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our consolidated financial statements for further information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2021 and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02"/>
        </w:trPr>
        <w:tc>
          <w:tcPr>
            <w:tcW w:w="5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center"/>
              <w:ind w:right="37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8"/>
        </w:trPr>
        <w:tc>
          <w:tcPr>
            <w:tcW w:w="5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2"/>
              <w:spacing w:after="0"/>
              <w:rPr>
                <w:sz w:val="20"/>
                <w:szCs w:val="20"/>
                <w:color w:val="auto"/>
              </w:rPr>
            </w:pPr>
            <w:r>
              <w:rPr>
                <w:rFonts w:ascii="Arial" w:cs="Arial" w:eastAsia="Arial" w:hAnsi="Arial"/>
                <w:sz w:val="14"/>
                <w:szCs w:val="14"/>
                <w:b w:val="1"/>
                <w:bCs w:val="1"/>
                <w:color w:val="auto"/>
                <w:w w:val="93"/>
              </w:rPr>
              <w:t>(Restated)</w:t>
            </w:r>
          </w:p>
        </w:tc>
        <w:tc>
          <w:tcPr>
            <w:tcW w:w="0" w:type="dxa"/>
            <w:vAlign w:val="bottom"/>
          </w:tcPr>
          <w:p>
            <w:pPr>
              <w:spacing w:after="0"/>
              <w:rPr>
                <w:sz w:val="1"/>
                <w:szCs w:val="1"/>
                <w:color w:val="auto"/>
              </w:rPr>
            </w:pPr>
          </w:p>
        </w:tc>
      </w:tr>
      <w:tr>
        <w:trPr>
          <w:trHeight w:val="380"/>
        </w:trPr>
        <w:tc>
          <w:tcPr>
            <w:tcW w:w="5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gridSpan w:val="3"/>
          </w:tcPr>
          <w:p>
            <w:pPr>
              <w:ind w:left="720"/>
              <w:spacing w:after="0"/>
              <w:rPr>
                <w:sz w:val="20"/>
                <w:szCs w:val="20"/>
                <w:color w:val="auto"/>
              </w:rPr>
            </w:pPr>
            <w:r>
              <w:rPr>
                <w:rFonts w:ascii="Arial" w:cs="Arial" w:eastAsia="Arial" w:hAnsi="Arial"/>
                <w:sz w:val="14"/>
                <w:szCs w:val="14"/>
                <w:b w:val="1"/>
                <w:bCs w:val="1"/>
                <w:color w:val="auto"/>
                <w:w w:val="93"/>
              </w:rPr>
              <w:t>(in thousands)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80"/>
              <w:spacing w:after="0"/>
              <w:rPr>
                <w:sz w:val="20"/>
                <w:szCs w:val="20"/>
                <w:color w:val="auto"/>
              </w:rPr>
            </w:pPr>
            <w:r>
              <w:rPr>
                <w:rFonts w:ascii="Arial" w:cs="Arial" w:eastAsia="Arial" w:hAnsi="Arial"/>
                <w:sz w:val="18"/>
                <w:szCs w:val="18"/>
                <w:color w:val="auto"/>
              </w:rPr>
              <w:t>Diagnostic test revenue</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205,100</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175,351</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revenue</w:t>
            </w: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212,195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228,797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175,296</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Gross (loss) profit</w:t>
            </w: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112,738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63,183</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from operations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(446,149)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0" w:type="dxa"/>
            <w:vAlign w:val="bottom"/>
          </w:tcPr>
          <w:p>
            <w:pPr>
              <w:spacing w:after="0"/>
              <w:rPr>
                <w:sz w:val="1"/>
                <w:szCs w:val="1"/>
                <w:color w:val="auto"/>
              </w:rPr>
            </w:pPr>
          </w:p>
        </w:tc>
      </w:tr>
      <w:tr>
        <w:trPr>
          <w:trHeight w:val="398"/>
        </w:trPr>
        <w:tc>
          <w:tcPr>
            <w:tcW w:w="51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Change in fair market value of warrant and earn-out contingent liabilities</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 net</w:t>
            </w: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income (expense), net</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200,759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(241,340)</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1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754"/>
              <w:spacing w:after="0"/>
              <w:rPr>
                <w:sz w:val="20"/>
                <w:szCs w:val="20"/>
                <w:color w:val="auto"/>
              </w:rPr>
            </w:pPr>
            <w:r>
              <w:rPr>
                <w:rFonts w:ascii="Arial" w:cs="Arial" w:eastAsia="Arial" w:hAnsi="Arial"/>
                <w:sz w:val="14"/>
                <w:szCs w:val="14"/>
                <w:b w:val="1"/>
                <w:bCs w:val="1"/>
                <w:color w:val="auto"/>
                <w:w w:val="93"/>
              </w:rPr>
              <w:t>Change</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754"/>
              <w:spacing w:after="0"/>
              <w:rPr>
                <w:sz w:val="20"/>
                <w:szCs w:val="20"/>
                <w:color w:val="auto"/>
              </w:rPr>
            </w:pPr>
            <w:r>
              <w:rPr>
                <w:rFonts w:ascii="Arial" w:cs="Arial" w:eastAsia="Arial" w:hAnsi="Arial"/>
                <w:sz w:val="14"/>
                <w:szCs w:val="14"/>
                <w:b w:val="1"/>
                <w:bCs w:val="1"/>
                <w:color w:val="auto"/>
                <w:w w:val="91"/>
              </w:rPr>
              <w:t>2020 to 2021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6"/>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175,351</w:t>
            </w:r>
          </w:p>
        </w:tc>
        <w:tc>
          <w:tcPr>
            <w:tcW w:w="4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revenue increased by $32.9 million, or 18%, to $212.2 million for the year ended December 31, 2021, from $179.3 million for the year ended December 31, 2020.</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Diagnostic test revenue increased by $29.7 million, or 17%, to $205.1 million for the year ended December 31, 2021, from $175.4 million for the year ended December 31, 2020. The increase was primarily attributable to a 135% increase in oncology test volumes, a 38% increase in women’s health test volumes and an overall increase in volumes of 31%, partially offset by the change in the mix of tests performed and reduced reimbursement rates. COVID-19 testing was introduced in May of 2020, which had a lower impact on total test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7" w:name="page88"/>
    <w:bookmarkEnd w:id="87"/>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volume during the year ended December 31, 2020, compared to the year ended December 31, 2021 (with COVID-19 test volumes growing 26% year over year) .</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revenue increased by $3.1 million, or 79%, to $7.1 million for the year ended December 31, 2021, from $4.0 million for the year ended December 31, 2020. The increase was primarily attributable to growth in collaboration service activities due to the execution of third-party contracts which generated $3.7 million more in revenues in 2021 compared to 2020. This was partially offset by reduced revenues recognized related to an existing third-party contract by $0.8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(2020 amount restated)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spacing w:after="0"/>
              <w:rPr>
                <w:sz w:val="16"/>
                <w:szCs w:val="16"/>
                <w:color w:val="auto"/>
              </w:rPr>
            </w:pPr>
          </w:p>
        </w:tc>
        <w:tc>
          <w:tcPr>
            <w:tcW w:w="1280" w:type="dxa"/>
            <w:vAlign w:val="bottom"/>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Pr>
          <w:p>
            <w:pPr>
              <w:spacing w:after="0"/>
              <w:rPr>
                <w:sz w:val="16"/>
                <w:szCs w:val="16"/>
                <w:color w:val="auto"/>
              </w:rPr>
            </w:pPr>
          </w:p>
        </w:tc>
      </w:tr>
      <w:tr>
        <w:trPr>
          <w:trHeight w:val="183"/>
        </w:trPr>
        <w:tc>
          <w:tcPr>
            <w:tcW w:w="510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228,797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175,296</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4"/>
              </w:rPr>
              <w:t>53,501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r>
    </w:tbl>
    <w:p>
      <w:pPr>
        <w:spacing w:after="0" w:line="24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Cost of services increased by $53.5 million, or 31%, to $228.8 million for the year ended December 31, 2021, from $175.3 million for the year ended December 31, 2020. The increase was primarily driven by the following cost components: a $9.7 million increase in stock-based compensation expense primarily driven by the increase in fair value of the liability-classified awards until July 22, 2021, the closing date of our Business Combination and an increase in the number of stock-based compensation awards granted; a $7.9 million increase in personnel-related expenses driven by an increase in average headcount; a $8.2 million increase in consulting and outside service costs driven by temporary hires contracted to perform COVID-19 testing activities; a $5.0 million increase in logistical expenses and other lab services as a result of an increase in operations; a $9.6 million increase in reagents and laboratory supplies expense due primarily to the 32% increase in volumes; a $2.4 million increase in software expenses due to increased cloud storage and expanded computing capacity requirements from New York City to Stamford, Connecticut for testing data; a $2.1 million increase in the inventory obsolescence reserve for expiring COVID-19 and certain carrier screening testing kits; a $2.2 million increase in occupancy expenses; a $5.1 million increase in depreciation expenses in connection with our laboratory move at the end of 2020, with production activities commencing at the Stamford facility in the first quarter of 2021 and a $1.3 million increase in equipment maintenance and general office expenses.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105,162</w:t>
            </w:r>
          </w:p>
        </w:tc>
        <w:tc>
          <w:tcPr>
            <w:tcW w:w="92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72,700</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4"/>
              </w:rPr>
              <w:t>32,462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bl>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Research and development expenses increased by $32.5 million, or 45%, to $105.2 million for the year ended December 31, 2021, from $72.7 million for the year ended December 31, 2020. The increase was primarily attributable to the following cost components: a $20.5 million increase in stock-based compensation expense driven by the increase in fair value of the liability-classified awards until the closing date of the Business Combination and an increase in the number of stock-based compensation awards granted; a $0.9 million increase in software expenses due to increased cloud storage; a $0.3 million increase in personnel-related expenses driven by an increase in average headcount a $4.8 million increase in depreciation expenses; a $3.6 million increase in expenses for reagents, laboratory supplies and laboratory software for research and development; and a $2.2 million increase in consulting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(2020 amount restated)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112,738</w:t>
            </w:r>
          </w:p>
        </w:tc>
        <w:tc>
          <w:tcPr>
            <w:tcW w:w="9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63,183</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4"/>
              </w:rPr>
              <w:t>49,555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r>
    </w:tbl>
    <w:p>
      <w:pPr>
        <w:spacing w:after="0" w:line="24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Selling and marketing expenses increased by $49.6 million, or 78%, to $112.7 million for the year ended December 31, 2021, from $63.2 million for the year ended December 31, 2020. The increase was primarily attributable to the following cost components: an $17.3 million increase in stock-based compensation expense driven by the increase in fair value of the liability-classified awards until the closing date of the Business Combination and an increase in the number of stock-based compensation awards granted; a $19.6 million increase in personnel-related expenses driven by increased headcount; a $4.1 million increase in consulting service expenses mainly to support revenue cycle transformation initiatives; a $3.2 million increase in information technology-related expenses; a $1.8 million increase in other administrative and office expenses; a $2.0 million increase in travel and business expenses due to the lifting of COVID-19 travel restrictions and a $1.5 million increase in counseling services.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16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6"/>
                <w:szCs w:val="16"/>
                <w:color w:val="auto"/>
              </w:rPr>
            </w:pPr>
          </w:p>
        </w:tc>
        <w:tc>
          <w:tcPr>
            <w:tcW w:w="1320" w:type="dxa"/>
            <w:vAlign w:val="bottom"/>
          </w:tcPr>
          <w:p>
            <w:pPr>
              <w:jc w:val="center"/>
              <w:ind w:left="16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205,988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100,742</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86"/>
              </w:rPr>
              <w:t>105,246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r>
    </w:tbl>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General and administrative expenses increased by $105.3 million, or 104%, to $206.0 million for the year ended December 31, 2021, from $100.7 million for the year ended December 31, 2020. The increase was primarily attributable to the following cost components: an $51.7 million increase in stock-based compensation expense driven by the increase in fair value of the liability-classified awards until the closing date of the Business Combination and an increase in the number of stock-based compensation awards granted; a $21.1 million increase in professional services incurred mainly in connection with the Business Combination transaction; a $20.0 million increase in personnel-related expenses driven by an increase in average headcount including executive headcount; a $5.0 million increase in software expenses due to increased cloud storage requirements; a $7.0 million increase in insurance expenses driven by the commencement of director’s insurance policy; and a $0.8 million increase in capital taxes as a result of the Business Combination transaction. These increases were partially offset by a $0.4 million decrease in occupancy and depreciation expenses in connection with our laboratory move from New York City to Stamford, Connecticut.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6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w w:val="90"/>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5,659</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02"/>
              <w:spacing w:after="0"/>
              <w:rPr>
                <w:sz w:val="20"/>
                <w:szCs w:val="20"/>
                <w:color w:val="auto"/>
              </w:rPr>
            </w:pPr>
            <w:r>
              <w:rPr>
                <w:rFonts w:ascii="Arial" w:cs="Arial" w:eastAsia="Arial" w:hAnsi="Arial"/>
                <w:sz w:val="18"/>
                <w:szCs w:val="18"/>
                <w:color w:val="auto"/>
              </w:rPr>
              <w:t>(3,736)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Related party expenses decreased by $3.7 million, or 40%, to $5.7 million for the year ended December 31, 2021, from $9.4 million for the year ended December 31, 2020. The decrease was primarily attributable to the following cost components: a $3.2 million decrease in rent and facility expenses driven by a reduction of office and lab space leased from ISMMS pursuant to the TSA which ended in the first quarter of 2021; and a $0.5 million decrease in fees associated with information technology support pursuant to the TSA with ISMMS.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w w:val="90"/>
              </w:rPr>
              <w:t>(dollars in thousands)</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20" w:type="dxa"/>
            <w:vAlign w:val="bottom"/>
            <w:shd w:val="clear" w:color="auto" w:fill="CCEEFF"/>
          </w:tcPr>
          <w:p>
            <w:pPr>
              <w:jc w:val="right"/>
              <w:ind w:right="82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602"/>
              <w:spacing w:after="0"/>
              <w:rPr>
                <w:sz w:val="20"/>
                <w:szCs w:val="20"/>
                <w:color w:val="auto"/>
              </w:rPr>
            </w:pPr>
            <w:r>
              <w:rPr>
                <w:rFonts w:ascii="Arial" w:cs="Arial" w:eastAsia="Arial" w:hAnsi="Arial"/>
                <w:sz w:val="18"/>
                <w:szCs w:val="18"/>
                <w:color w:val="auto"/>
              </w:rPr>
              <w:t>(427)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decreased by $0.4 million, or 84%, to $0.1 million for the year ended December 31, 2021, from $0.5 million for the year ended December 31, 2020. The decrease was due to declines in interest rates on money market fund accounts.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gridSpan w:val="3"/>
          </w:tcPr>
          <w:p>
            <w:pPr>
              <w:jc w:val="right"/>
              <w:ind w:right="159"/>
              <w:spacing w:after="0"/>
              <w:rPr>
                <w:sz w:val="20"/>
                <w:szCs w:val="20"/>
                <w:color w:val="auto"/>
              </w:rPr>
            </w:pPr>
            <w:r>
              <w:rPr>
                <w:rFonts w:ascii="Arial" w:cs="Arial" w:eastAsia="Arial" w:hAnsi="Arial"/>
                <w:sz w:val="14"/>
                <w:szCs w:val="14"/>
                <w:b w:val="1"/>
                <w:bCs w:val="1"/>
                <w:color w:val="auto"/>
                <w:w w:val="90"/>
              </w:rPr>
              <w:t>(dollars in thousands)</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2,835</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rPr>
              <w:t>361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increased by $0.4 million, or 15%, to $2.8 million for the year ended December 31, 2021, from $2.5 million for the year ended December 31, 2020. The increase was driven by new capital lease obligations for our Stamford laboratory facility which commenced operations in 2021 as well as the unused line fee and the amortization of deferred transaction costs related to the loan and security agreement entered into with Silicon Valley Bank at the end of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w w:val="90"/>
              </w:rPr>
              <w:t>(dollars in thousands)</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5,114</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rPr>
              <w:t>2,492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net increased by $2.5 million or 95% to $5.1 million for the year ended December 31, 2021, from $2.6 million for the year ended December 31, 2020. The increase in other income, net was primarily attributable to the $5.6 million in funding that we received and recognized as other income under the CARES Act in the first quarter of 2021, partially offset by $0.3 million in penalties related to an early repayment of debt. This is compared to $2.6 million in funding received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2020 and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center"/>
              <w:ind w:right="192"/>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202"/>
        </w:trPr>
        <w:tc>
          <w:tcPr>
            <w:tcW w:w="5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2020 (Restated)</w:t>
            </w:r>
          </w:p>
        </w:tc>
        <w:tc>
          <w:tcPr>
            <w:tcW w:w="420" w:type="dxa"/>
            <w:vAlign w:val="bottom"/>
          </w:tcPr>
          <w:p>
            <w:pPr>
              <w:spacing w:after="0"/>
              <w:rPr>
                <w:sz w:val="17"/>
                <w:szCs w:val="17"/>
                <w:color w:val="auto"/>
              </w:rPr>
            </w:pPr>
          </w:p>
        </w:tc>
        <w:tc>
          <w:tcPr>
            <w:tcW w:w="1140" w:type="dxa"/>
            <w:vAlign w:val="bottom"/>
          </w:tcPr>
          <w:p>
            <w:pPr>
              <w:jc w:val="center"/>
              <w:ind w:right="372"/>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88"/>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2"/>
              <w:spacing w:after="0"/>
              <w:rPr>
                <w:sz w:val="20"/>
                <w:szCs w:val="20"/>
                <w:color w:val="auto"/>
              </w:rPr>
            </w:pPr>
            <w:r>
              <w:rPr>
                <w:rFonts w:ascii="Arial" w:cs="Arial" w:eastAsia="Arial" w:hAnsi="Arial"/>
                <w:sz w:val="14"/>
                <w:szCs w:val="14"/>
                <w:b w:val="1"/>
                <w:bCs w:val="1"/>
                <w:color w:val="auto"/>
                <w:w w:val="93"/>
              </w:rPr>
              <w:t>(Restated)</w:t>
            </w:r>
          </w:p>
        </w:tc>
        <w:tc>
          <w:tcPr>
            <w:tcW w:w="0" w:type="dxa"/>
            <w:vAlign w:val="bottom"/>
          </w:tcPr>
          <w:p>
            <w:pPr>
              <w:spacing w:after="0"/>
              <w:rPr>
                <w:sz w:val="1"/>
                <w:szCs w:val="1"/>
                <w:color w:val="auto"/>
              </w:rPr>
            </w:pPr>
          </w:p>
        </w:tc>
      </w:tr>
      <w:tr>
        <w:trPr>
          <w:trHeight w:val="380"/>
        </w:trPr>
        <w:tc>
          <w:tcPr>
            <w:tcW w:w="5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3"/>
          </w:tcPr>
          <w:p>
            <w:pPr>
              <w:jc w:val="center"/>
              <w:ind w:left="774"/>
              <w:spacing w:after="0"/>
              <w:rPr>
                <w:sz w:val="20"/>
                <w:szCs w:val="20"/>
                <w:color w:val="auto"/>
              </w:rPr>
            </w:pPr>
            <w:r>
              <w:rPr>
                <w:rFonts w:ascii="Arial" w:cs="Arial" w:eastAsia="Arial" w:hAnsi="Arial"/>
                <w:sz w:val="14"/>
                <w:szCs w:val="14"/>
                <w:b w:val="1"/>
                <w:bCs w:val="1"/>
                <w:color w:val="auto"/>
                <w:w w:val="91"/>
              </w:rPr>
              <w:t>(in thousands)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80"/>
              <w:spacing w:after="0"/>
              <w:rPr>
                <w:sz w:val="20"/>
                <w:szCs w:val="20"/>
                <w:color w:val="auto"/>
              </w:rPr>
            </w:pPr>
            <w:r>
              <w:rPr>
                <w:rFonts w:ascii="Arial" w:cs="Arial" w:eastAsia="Arial" w:hAnsi="Arial"/>
                <w:sz w:val="18"/>
                <w:szCs w:val="18"/>
                <w:color w:val="auto"/>
              </w:rPr>
              <w:t>Diagnostic test revenue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191,667</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196,174</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175,296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113,389</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82,785</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63,183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39,352</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0" w:type="dxa"/>
            <w:vAlign w:val="bottom"/>
          </w:tcPr>
          <w:p>
            <w:pPr>
              <w:spacing w:after="0"/>
              <w:rPr>
                <w:sz w:val="1"/>
                <w:szCs w:val="1"/>
                <w:color w:val="auto"/>
              </w:rPr>
            </w:pPr>
          </w:p>
        </w:tc>
      </w:tr>
      <w:tr>
        <w:trPr>
          <w:trHeight w:val="398"/>
        </w:trPr>
        <w:tc>
          <w:tcPr>
            <w:tcW w:w="51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29"/>
        </w:trPr>
        <w:tc>
          <w:tcPr>
            <w:tcW w:w="51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other income, net</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3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48"/>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(32,743)</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834"/>
              <w:spacing w:after="0"/>
              <w:rPr>
                <w:sz w:val="20"/>
                <w:szCs w:val="20"/>
                <w:color w:val="auto"/>
              </w:rPr>
            </w:pPr>
            <w:r>
              <w:rPr>
                <w:rFonts w:ascii="Arial" w:cs="Arial" w:eastAsia="Arial" w:hAnsi="Arial"/>
                <w:sz w:val="14"/>
                <w:szCs w:val="14"/>
                <w:b w:val="1"/>
                <w:bCs w:val="1"/>
                <w:color w:val="auto"/>
                <w:w w:val="89"/>
              </w:rPr>
              <w:t>Change</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 to 2020</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5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191,667</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196,174</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revenue decreased by $16.9 million, or 9%, to $179.3 million for the year ended December 31, 2020, from $196.2 million for the year ended December 31, 2019.</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Diagnostic test revenue decreased by $16.3 million, or 9%, to $175.4 million for the year ended December 31, 2020, from $191.7 million for the year ended December 31, 2019. The decrease was primarily attributable to a change in the mix of tests performed coupled with reduced reimbursement rates. The Company experienced an increase in volumes of 248%, primarily driven by the introduction of COVID-19 testing in May 2020. Despite these increased volumes, diagnostic test revenue decreased due to lower pricing on COVID-19 testing relative to other diagnostic tests and an overall decrease in average pricing on Women’s Health and Oncology testing.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1" w:name="page92"/>
    <w:bookmarkEnd w:id="91"/>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Other revenue decreased by $0.5 million, or 12%, to $4.0 million for the year ended December 31, 2020, from $4.5 million for the year ended December 31, 2019. The decrease was primarily attributable to the completion of one significant third-party contract in 2019 and the completion of one significant contract with ISMMS in early 2020. This decrease was partially offset by growth in collaboration service activities due to the execution of two new third-party contracts in 2020. Other revenues are expected to continue to be driven predominately by services performed pursuant to contracts with third parties.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(2020 and 2019 amounts restated)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175,296</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113,389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rPr>
              <w:t>61,907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r>
    </w:tbl>
    <w:p>
      <w:pPr>
        <w:spacing w:after="0" w:line="2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Cost of services increased by $61.9 million, or 55%, to $175.3 million for the year ended December 31, 2020, from $113.4 million for the year ended December 31, 2019. The increase was primarily attributable to the following cost components: a $17.5 million increase in reagents and laboratory supplies expense due primarily to the 248% increase in resulted volumes coupled with the lower per test cost of performing COVID-19 tests relative to our other tests; a $12.2 million increase in stock-based compensation expenses primarily driven by the increase in fair value of the liability-classified awards; an $11.1 million increase in personnel-related expenses driven by an increase in average headcount, partially offset by COVID-19 austerity measures; a $6.4 million increase in third party reference laboratory expenses due to an increase in tests performed by such third parties; a $4.6 million increase in expenses for other services such as genetic counseling, shipping and phlebotomy services; a $4.4 million increase in depreciation and amortization expenses driven by laboratory sequencing equipment acquired in 2020 and an increase in capitalized software as compared to the prior year; a $3.6 million increase in outside labor costs driven by temporary hires contracted in 2020 to perform COVID-19 testing activities as well as an increase in consultants supporting collaboration services; a $0.2 million increase in software expenses due to increased cloud storage and expanded computing capacity requirements for testing data; a $1.3 million increase in equipment-related expenses, including maintenance expenses on existing equipment and purchases of minor equipment in 2020; and a $0.5 million increase in occupancy costs.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top w:val="single" w:sz="8" w:color="auto"/>
              <w:bottom w:val="single" w:sz="8" w:color="auto"/>
            </w:tcBorders>
          </w:tcPr>
          <w:p>
            <w:pPr>
              <w:spacing w:after="0"/>
              <w:rPr>
                <w:sz w:val="17"/>
                <w:szCs w:val="17"/>
                <w:color w:val="auto"/>
              </w:rPr>
            </w:pPr>
          </w:p>
        </w:tc>
      </w:tr>
      <w:tr>
        <w:trPr>
          <w:trHeight w:val="183"/>
        </w:trPr>
        <w:tc>
          <w:tcPr>
            <w:tcW w:w="5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2"/>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rPr>
              <w:t>37,790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r>
    </w:tbl>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Research and development expense increased by $37.8 million, or 108%, to $72.7 million for the year ended December 31, 2020, from $34.9 million for the year ended December 31, 2019. The increase was primarily attributable to the following cost components: a $25.4 million increase in stock-based compensation expenses primarily due to an increase in fair value of the liability-classified awards and an increase in the number of stock-based compensation awards granted; a $9.3 million increase in personnel-related expenses driven by increased average headcount and retention bonuses offered to employees impacted by the relocation of our New York laboratory in December of 2020, partially offset by COVID-19 austerity measures; a $1.7 million increase in expenses for reagents, laboratory supplies and laboratory software for research and development use; and a $1.1 million increase in consulting and outside services, primarily due to an increase in the number of, and required investment in, research and development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(2020 and 2019 amounts restated)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63,183</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rPr>
              <w:t>23,831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r>
    </w:tbl>
    <w:p>
      <w:pPr>
        <w:spacing w:after="0" w:line="24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Selling and marketing expense increased by $23.8 million, or 61%, to $63.2 million for the year ended December 31, 2020, from $39.4 million for the year ended December 31, 2019. The increase was primarily attributable to the following cost components: a $11.4 million increase in personnel-related expenses driven by an increase in average headcount, partially offset by COVID-19 austerity measures; a $11.1 million increase in stock-based compensation expenses primarily due to an increase in the fair value of the liability-classified awards and an increase in the number of outstanding awards due to increase in the number of stock-based compensation awards granted; a $1.5 million increase in commissions due to an increase in sales employee headcount and the implementation of temporary minimum commissions offered to sales employees in response to the COVID-19 pandemic; a $1.0 million increase in other lab service; and a $0.6 million increase in software expenses due to increased cloud storage requirements. These increases were partially offset by a $1.8 million decrease in travel and business expenses due to reduced business travel during the COVID-19 pandemic.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100,742</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rPr>
              <w:t>71,258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242 %</w:t>
            </w: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and administrative expense increased by $71.3 million, or 242%, to $100.7 million for the year ended December 31, 2020, from $29.5 million for the year ended December 31, 2019. The increase was primarily attributable to the following cost components: a $66.0 million increase in stock-based compensation expenses due to an increase in the fair value of the liability-classified awards and an increase in the number of outstanding awards due to increase in the number of stock-based compensation awards granted; a $1.4 million increase in occupancy expenses due to the execution of additional third party leases; and a $1.3 million increase in personnel-related expenses due to an increase in general and administrative headcount, partially offset by COVID-19 austerity measures.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604"/>
              <w:spacing w:after="0"/>
              <w:rPr>
                <w:sz w:val="20"/>
                <w:szCs w:val="20"/>
                <w:color w:val="auto"/>
              </w:rPr>
            </w:pPr>
            <w:r>
              <w:rPr>
                <w:rFonts w:ascii="Arial" w:cs="Arial" w:eastAsia="Arial" w:hAnsi="Arial"/>
                <w:sz w:val="18"/>
                <w:szCs w:val="18"/>
                <w:color w:val="auto"/>
              </w:rPr>
              <w:t>(57)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24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Related party expenses decreased by $0.1 million, or 0.6%, to $9.4 million for the year ended December 31, 2020, from $9.5 million for the year ended December 31, 2019. The decrease was primarily attributable to a $1.7 million decrease in service fees associated with a reduction of leased ISMMS employees, a $1.0 million decrease in fees associated with information technology support pursuant to the TSA with ISMMS and decreases in other various services provided by ISMMS pursuant to the TSA and service agreements. These decreases were partially offset by a $2.0 million increase in rent and facility expenses driven by additional office and lab space leased from ISMMS pursuant to the transition services agreement and a $0.5 million increase in consultant costs driven by an increase in research and development efforts performed by ISMMS under consulting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04"/>
              <w:spacing w:after="0"/>
              <w:rPr>
                <w:sz w:val="20"/>
                <w:szCs w:val="20"/>
                <w:color w:val="auto"/>
              </w:rPr>
            </w:pPr>
            <w:r>
              <w:rPr>
                <w:rFonts w:ascii="Arial" w:cs="Arial" w:eastAsia="Arial" w:hAnsi="Arial"/>
                <w:sz w:val="18"/>
                <w:szCs w:val="18"/>
                <w:color w:val="auto"/>
              </w:rPr>
              <w:t>(482)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income decreased by $0.5 million, or 49%, to $0.5 million for the year ended December 31, 2020, from $1.0 million for the year ended December 31, 2019. The decrease was due to declines in interest rates on money market deposit accounts and reductions in the average cash balances held throughout the year in these interest-bearing accounts.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rPr>
              <w:t>1,691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expense increased by $1.7 million, or 216%, to $2.5 million for the year ended December 31, 2020, from $0.8 million for the year ended December 31, 2019. The increase was driven by an increase in capital lease obligations, an increase in our interest-bearing loan balance with the Connecticut Department of Economic and Community Development (the “DECD”) and a new interest-bearing bank loan executed in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rPr>
              <w:t>2,118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420 %</w:t>
            </w:r>
          </w:p>
        </w:tc>
      </w:tr>
    </w:tbl>
    <w:p>
      <w:pPr>
        <w:spacing w:after="0" w:line="24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Other income, net increased by $2.1 million or 420% to $2.6 million for the year ended December 31, 2020, from $0.5 million for the year ended December 31, 2019. The increase in other income, net was primarily attributable to $2.6 million in funding that we received under the CARES Act.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our results determined in accordance with GAAP, we believe the following non-GAAP measures are useful in evaluating our operating performance. We use the following non-GAAP financial information to evaluate our ongoing operations, as a component in determining employee bonus compensation,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measures to their most directly comparable GAAP financial measures, and not to rely on any single financial measure to evaluate our business.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30"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expenditures or future requirements for capital expenditures or contractual commitments;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our working capital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provision for income taxes, which may be a necessary element of our costs and ability to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costs of replacing the assets being depreciated, which will often have to be replaced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non-cash component of employee compensation expense;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impact of earnings or charges resulting from matters we consider not to be reflective, on a recurring basis, of our ongoing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and Adjusted Gross Margin</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Adjusted Gross Profit is a non-GAAP financial measure that we define as revenue less cost of services, excluding stock-based compensation expense, labor costs due to our move, and COVID-19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1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is a reconciliation of revenue to our Adjusted Gross Profit and Adjusted Gross Margin for the years ended December 31, 2021, 2020 and 2019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jc w:val="right"/>
              <w:ind w:right="633"/>
              <w:spacing w:after="0" w:line="13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jc w:val="right"/>
              <w:ind w:right="633"/>
              <w:spacing w:after="0" w:line="13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8"/>
        </w:trPr>
        <w:tc>
          <w:tcPr>
            <w:tcW w:w="6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(Restated)</w:t>
            </w:r>
          </w:p>
        </w:tc>
        <w:tc>
          <w:tcPr>
            <w:tcW w:w="320" w:type="dxa"/>
            <w:vAlign w:val="bottom"/>
          </w:tcPr>
          <w:p>
            <w:pPr>
              <w:spacing w:after="0"/>
              <w:rPr>
                <w:sz w:val="16"/>
                <w:szCs w:val="16"/>
                <w:color w:val="auto"/>
              </w:rPr>
            </w:pPr>
          </w:p>
        </w:tc>
        <w:tc>
          <w:tcPr>
            <w:tcW w:w="1360" w:type="dxa"/>
            <w:vAlign w:val="bottom"/>
          </w:tcPr>
          <w:p>
            <w:pPr>
              <w:jc w:val="right"/>
              <w:ind w:right="433"/>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224"/>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212,195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179,322</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196,174</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228,797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175,296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113,389</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(Loss) Profit</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(16,602)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4,026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82,785</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22,567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12,942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Labor costs due to laboratory move </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16,391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COVID-19 costs </w:t>
            </w:r>
            <w:r>
              <w:rPr>
                <w:rFonts w:ascii="Arial" w:cs="Arial" w:eastAsia="Arial" w:hAnsi="Arial"/>
                <w:sz w:val="23"/>
                <w:szCs w:val="23"/>
                <w:color w:val="auto"/>
                <w:vertAlign w:val="superscript"/>
              </w:rPr>
              <w:t>(2)</w:t>
            </w:r>
          </w:p>
        </w:tc>
        <w:tc>
          <w:tcPr>
            <w:tcW w:w="4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3,179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5,965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36,538</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83,495</w:t>
            </w:r>
          </w:p>
        </w:tc>
        <w:tc>
          <w:tcPr>
            <w:tcW w:w="0" w:type="dxa"/>
            <w:vAlign w:val="bottom"/>
          </w:tcPr>
          <w:p>
            <w:pPr>
              <w:spacing w:after="0"/>
              <w:rPr>
                <w:sz w:val="1"/>
                <w:szCs w:val="1"/>
                <w:color w:val="auto"/>
              </w:rPr>
            </w:pPr>
          </w:p>
        </w:tc>
      </w:tr>
      <w:tr>
        <w:trPr>
          <w:trHeight w:val="224"/>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Adjusted Gross Margin</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160" w:hanging="332"/>
        <w:spacing w:after="0" w:line="241" w:lineRule="auto"/>
        <w:tabs>
          <w:tab w:leader="none" w:pos="332"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labor costs in respect of laboratory employees' time spent to support our laboratory move from New York City to Stamford, Connecticut in 2020. During the move, our laboratory employees dedicated their time to re-validating and re-establishing instruments and equipment, rebuilding interface, obtaining a CLIA license, and other tasks to make sure the move was done correctly. For GAAP purposes we included these activities in Cost of Services. However, as the laboratory move and effort spent by our employees are one-time activities, we adjusted our Gross Profit to reflect management’s view of our normal operations.</w:t>
      </w:r>
    </w:p>
    <w:p>
      <w:pPr>
        <w:spacing w:after="0" w:line="1" w:lineRule="exact"/>
        <w:rPr>
          <w:rFonts w:ascii="Arial" w:cs="Arial" w:eastAsia="Arial" w:hAnsi="Arial"/>
          <w:sz w:val="14"/>
          <w:szCs w:val="14"/>
          <w:color w:val="auto"/>
        </w:rPr>
      </w:pPr>
    </w:p>
    <w:p>
      <w:pPr>
        <w:ind w:left="340" w:right="20" w:hanging="332"/>
        <w:spacing w:after="0" w:line="248" w:lineRule="auto"/>
        <w:tabs>
          <w:tab w:leader="none" w:pos="332"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labor costs in respect laboratory employees’ downtime. During the second quarter of 2020, we did not reduce the workforce in our laboratory due to the COVID-19 pandemic. However, we suffered significantly due to the decrease in volume in Women's Health and other products. Accordingly, we have adjusted our Gross Profit to reflect the management-assessed impact from the decrease in productivity of existing laboratory employees due to the COVID-19 pandemic in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is a non-GAAP financial measure that we define as net loss adjusted for interest expense (income), net, depreciation and amortization, stock-based compensation expenses, transaction costs, other (income) expense, net, COVID-19 costs and change in fair market value of warrant and earn-out contingent liabilities and. We believe Adjusted EBITDA is useful in evaluating our operating performance compared to that of other companies in our industry, as this metric generally eliminates the effects of certain factors that may vary from company to company for reasons unrelated to overall operating performance.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our net loss to Adjusted EBITDA for the years ended December 31, 2021, 2020, and 2019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(29,704)</w:t>
            </w:r>
          </w:p>
        </w:tc>
      </w:tr>
      <w:tr>
        <w:trPr>
          <w:trHeight w:val="229"/>
        </w:trPr>
        <w:tc>
          <w:tcPr>
            <w:tcW w:w="6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Interest expense (income), net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6,407</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219,421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5,482</w:t>
            </w: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Transaction costs </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(3)</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COVID-19 costs </w:t>
            </w:r>
            <w:r>
              <w:rPr>
                <w:rFonts w:ascii="Arial" w:cs="Arial" w:eastAsia="Arial" w:hAnsi="Arial"/>
                <w:sz w:val="23"/>
                <w:szCs w:val="23"/>
                <w:color w:val="auto"/>
                <w:vertAlign w:val="superscript"/>
              </w:rPr>
              <w:t>(4)</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Change in fair market value of warrant and earn-out contingent liabilities </w:t>
            </w:r>
            <w:r>
              <w:rPr>
                <w:rFonts w:ascii="Arial" w:cs="Arial" w:eastAsia="Arial" w:hAnsi="Arial"/>
                <w:sz w:val="23"/>
                <w:szCs w:val="23"/>
                <w:color w:val="auto"/>
                <w:vertAlign w:val="superscript"/>
              </w:rPr>
              <w:t>(5)</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(198,401)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3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the total of interest expense related to our capital leases and interest-bearing loans and interest income on money market funds.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professional service costs incurred in connection with pursuing the Business Combination that did not meet the requirement for capitalization.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For fiscal year 2020 and 2021, primarily consists of funding received under the CARES Act Provider Relief Fund.</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32"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labor costs in respect laboratory employees’ downtime. During the second quarter of 2020, we did not reduce the workforce in our laboratory due to the COVID-19 pandemic. However, we suffered significantly due to the decrease in volume in Women's Health and other products. Accordingly, we have adjusted our Gross Profit to reflect the management-assessed impact from the decrease in productivity of existing laboratory employees due to the COVID-19 pandemic in the second quarter of 2020.</w:t>
      </w:r>
    </w:p>
    <w:p>
      <w:pPr>
        <w:spacing w:after="0" w:line="1" w:lineRule="exact"/>
        <w:rPr>
          <w:rFonts w:ascii="Arial" w:cs="Arial" w:eastAsia="Arial" w:hAnsi="Arial"/>
          <w:sz w:val="14"/>
          <w:szCs w:val="14"/>
          <w:color w:val="auto"/>
        </w:rPr>
      </w:pPr>
    </w:p>
    <w:p>
      <w:pPr>
        <w:ind w:left="340" w:right="200" w:hanging="332"/>
        <w:spacing w:after="0" w:line="255" w:lineRule="auto"/>
        <w:tabs>
          <w:tab w:leader="none" w:pos="332" w:val="left"/>
        </w:tabs>
        <w:numPr>
          <w:ilvl w:val="0"/>
          <w:numId w:val="42"/>
        </w:numPr>
        <w:rPr>
          <w:rFonts w:ascii="Arial" w:cs="Arial" w:eastAsia="Arial" w:hAnsi="Arial"/>
          <w:sz w:val="14"/>
          <w:szCs w:val="14"/>
          <w:color w:val="auto"/>
        </w:rPr>
      </w:pPr>
      <w:r>
        <w:rPr>
          <w:rFonts w:ascii="Arial" w:cs="Arial" w:eastAsia="Arial" w:hAnsi="Arial"/>
          <w:sz w:val="14"/>
          <w:szCs w:val="14"/>
          <w:color w:val="auto"/>
        </w:rPr>
        <w:t>For the year ended December 31, 2021, represents the change in fair market value of the liabilities associated with our public warrants, private placement warrants and the earn-out shares issuable under the terms of the Prior Merger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July 22, 2021, we completed the Business Combination, consummated the Prior PIPE Investment and received net cash proceeds of $510 million. Management determined that the cash proceeds received from the Business Combination provides us with sufficient liquidity to meet our obligations for at least twelve months from the date of the filing of our Annual Report on Form 10-K for the year ended December 31, 2021.</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on November 15, 2021, we entered into a loan and security agreement (the “SVB Agreement”) with Silicon Valley Bank (“SVB”), whereby SVB agreed to provide a $125 million revolving credit facility with a maturity date of November 15, 2024. No amounts were drawn as of December 31, 2021. Advances under the SVB Agreement will bear interest at a floating rate per annum equal to the greater of (1) 4.00% and (2) the prime rate plus an applicable margin. In addition, on April 29, 2022, we consummated the PIPE Investment, issuing 50 million PIPE Shares for aggregate gross proceeds of $200 million, in connection with the Closing of the Acquisition.</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the consolidated financial statements included elsewhere in this prospectus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the entry into other credit facilities or another form of third-party funding or by seeking other debt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for Known Contractual Obligations and Commitments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description of commitments for known and reasonably likely cash requirements as of December 31, 2021 and December 31, 2020. We anticipate fulfilling such commitments with our existing cash and cash equivalents, which amounted to $400.6 million and $108.1 million as of December 31, 2021 and December 31, 2020, respectively, or through additional capital raised to finance our operations.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Our future minimum payments under non-cancellable operating lease and capital lease agreements were $68.3 and $65.6 million, respectively as of December 31, 2021. The timing of these future payments, by year, can be found in our consolidated financial statements in Note 9,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included elsewhere within this prospectus.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Our future contractual purchase commitments were $23.1 million as of December 31, 2021. The timing of these future payments, by year, can be found in our consolidated financial statements in Note 9,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included elsewhere within this prospectus.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7"/>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2020</w:t>
            </w: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183"/>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center"/>
              <w:ind w:right="197"/>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(190,434)</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(93,128)</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(18,728)</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(20,786)</w:t>
            </w:r>
          </w:p>
        </w:tc>
        <w:tc>
          <w:tcPr>
            <w:tcW w:w="300" w:type="dxa"/>
            <w:vAlign w:val="bottom"/>
          </w:tcPr>
          <w:p>
            <w:pPr>
              <w:spacing w:after="0"/>
              <w:rPr>
                <w:sz w:val="19"/>
                <w:szCs w:val="19"/>
                <w:color w:val="auto"/>
              </w:rPr>
            </w:pPr>
          </w:p>
        </w:tc>
        <w:tc>
          <w:tcPr>
            <w:tcW w:w="1400" w:type="dxa"/>
            <w:vAlign w:val="bottom"/>
          </w:tcPr>
          <w:p>
            <w:pPr>
              <w:ind w:left="700"/>
              <w:spacing w:after="0"/>
              <w:rPr>
                <w:sz w:val="20"/>
                <w:szCs w:val="20"/>
                <w:color w:val="auto"/>
              </w:rPr>
            </w:pPr>
            <w:r>
              <w:rPr>
                <w:rFonts w:ascii="Arial" w:cs="Arial" w:eastAsia="Arial" w:hAnsi="Arial"/>
                <w:sz w:val="18"/>
                <w:szCs w:val="18"/>
                <w:color w:val="auto"/>
              </w:rPr>
              <w:t>(31,974)</w:t>
            </w:r>
          </w:p>
        </w:tc>
        <w:tc>
          <w:tcPr>
            <w:tcW w:w="400" w:type="dxa"/>
            <w:vAlign w:val="bottom"/>
          </w:tcPr>
          <w:p>
            <w:pPr>
              <w:spacing w:after="0"/>
              <w:rPr>
                <w:sz w:val="19"/>
                <w:szCs w:val="19"/>
                <w:color w:val="auto"/>
              </w:rPr>
            </w:pPr>
          </w:p>
        </w:tc>
        <w:tc>
          <w:tcPr>
            <w:tcW w:w="1180" w:type="dxa"/>
            <w:vAlign w:val="bottom"/>
          </w:tcPr>
          <w:p>
            <w:pPr>
              <w:ind w:left="540"/>
              <w:spacing w:after="0"/>
              <w:rPr>
                <w:sz w:val="20"/>
                <w:szCs w:val="20"/>
                <w:color w:val="auto"/>
              </w:rPr>
            </w:pPr>
            <w:r>
              <w:rPr>
                <w:rFonts w:ascii="Arial" w:cs="Arial" w:eastAsia="Arial" w:hAnsi="Arial"/>
                <w:sz w:val="18"/>
                <w:szCs w:val="18"/>
                <w:color w:val="auto"/>
                <w:w w:val="92"/>
              </w:rPr>
              <w:t>(15,456)</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493,729</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129,056</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148,012</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cash used in operating activities during the year ended December 31, 2021 was $190.4 million, which was primarily attributable to a net loss of $245.4 million and a change in fair value of the warrant and earn-out contingent liabilities of $198.4 million, partially offset by non-cash depreciation and amortization of $21.8 million, non-cash stock-based compensation expense of $219.4 million, and a reserve against obsolete inventory of $2.1 million. The net change in our operating assets and liabilities primarily reflected a $5.5 million decrease in accounts receivable due to a decrease in institutional customer receivables which is in line with the respective revenue stream, a $10.6 million increase in inventories driven by a higher volume of purchases to support increasing testing volumes, a $14.3 million increase in prepaid expenses and other current assets mainly driven by new insurance policy premiums paid during the year, a $25.9 million increase in accounts payable and accrued expenses due to additional volume in the fourth quarter related to COVID-19 testing, resulting in increased related accruals and extended payment terms for large vendors, and a $3.2 million increase in other current liabilities mainly driven increased bonus accruals.</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cash used in operating activities during the year ended December 31, 2020 was $93.1 million, which was primarily attributable to a net loss of $241.3 million, partially offset by non-cash depreciation and amortization of $11.7 million, non-cash stock-based compensation expense of $120.2 million and a net change in our operating assets and liabilities of $13.8 million. The net change in our operating assets and liabilities primarily reflected an increase in accounts receivable of $10.6 million driven by a slowdown in collections due to the COVID-19 pandemic, a $9.0 million increase in inventories in preparation for the move of certain laboratory operations to a new location in December 2020, an increase in accounts payable and accrued expenses of $14.8 million due to timing of vendor payments and increased spending during the year related to COVID-19 diagnostic testing and a $16.0 million increase in other current liabilities driven by higher personnel-related accruals due to increased headcount at 2020 year-end as compared to 2019 year-end, as well as an increase in accrued payroll taxes due to the deferral of U.S. payroll taxes as part of the CARES Act.</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operating activities during the year ended December 31, 2019 was $18.7 million, which was primarily attributable to a net loss of $29.7 million and a net change in our operating assets and liabilities of $0.7 million, partially offset by non-cash depreciation and amortization of $6.4 million and non-cash stock-based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compensation expense of $5.5 million. The net change in our operating assets and liabilities primarily reflected an increase in accounts receivable of $4.6 million driven by increase in testing volumes and billings, an $8.0 million increase in inventories driven by anticipated future growth due to a year-over-year increase in testing volumes for the year ended December 31, 2019 as compared to the year ended December 31, 2018, a $4.4 million increase in other assets due to security deposits on certain office and laboratory locations, an increase in accounts payable and accrued expenses of $12.8 million due to increased operating expenditures in line with the growth of the business and a $4.5 million increase in other current liabilities driven by higher personnel-related accruals due to increased headcount at 2019 year-end as compared to 2018 year-end.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during the year ended December 31, 2021 was $20.8 million, which was attributable to $9.4 million in purchases of property and equipment and $11.4 million of costs related to development of internal-use software assets.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during the year ended December 31, 2020 was $32.0 million, which was attributable to $24.1 million in purchases of property and equipment and $7.9 million of costs related to development of internal-use software assets.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during the year ended December 31, 2019 was $15.4 million, which was attributable to $11.9 million in purchases of property and equipment and $3.5 million of costs related to development of internal-use software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financing activities during the year ended December 31, 2021 was $493.7 million, which was attributable to the consummation of our Business Combination including: $350.0 million from the Prior PIPE Investment proceeds; $442.7 million from an equity infusion from the Business Combination, net of redemptions; offset by $230.7 million in the cash payments to certain Legacy Sema4 stockholders; payment of transaction costs of $51.8 million; and $3.8 million of stock appreciate rights pay-outs. These amounts were further offset by an $8.7 million repayment of long-term debt and $3.7 million of capital lease principal payments.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financing activities during the year ended December 31, 2020 was $129.0 million, which was primarily attributable to $117.3 million in net cash proceeds from the issuance of our Series C redeemable convertible preferred stock and $15.9 million in net cash proceeds from the issuance of long-term debt. These increases were partially offset by $4.0 million in principal payments on our capital lease obligations and $0.2 million in principal payments on our long-term debt obligations.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during the year ended December 31, 2019 was $148.0 million, which was attributable to $118.8 million in net cash proceeds from the issuance of our Series B redeemable convertible preferred stock and $30.9 million in capital contributions from ISMMS, partially offset by $1.7 million in principal payments on our capital lease obligations.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prepared our consolidated financial statements in accordance with GAAP. Our preparation of these consolidated financial statements requires us to make estimates, assumptions and judgments that affect the reported amounts of assets, liabilities and related disclosures at the date of the financial statements, as well as revenue and expense recorded during the reporting periods. We evaluate our estimates and judgments on an ongoing basis. We base our estimates on historical experience and or other relevant assumptions that we believe to be reasonable under the circumstances. Actual results may differ from these estimates under different assumptions or conditions.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our consolidated financial statements for further discussion on our accounting policies. We have identified below our accounting policies that we believe could potentially generate materially different results if we were to change underlying assumptions, estimates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judgments. Although actual results may differ from those estimates, we believe the estimates are reasonable and appropriate.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recognize revenue when, or as, performance obligations under the terms of a contract are satisfied, which occurs when control of the promised products or services are transferred to a customer. Revenue is measured as the amount of consideration we expect to receive in exchange for transferring products or services to a customer. Our contracts require significant judgments in determining the transaction price and satisfying performance obligations.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estimate a transaction price in arrangements with third-party insurance payors based on historical collection experience, contractual provisions and insurance reimbursement policies, payor mix, and other relevant information for applicable payor portfolios. The portfolio approach is used as a practical expedient to account for categories of diagnostic test contracts as collective groups rather than on an individual contract basis. Management believes that revenue recognized by utilizing the portfolio approach approximates the revenue that would have been recognized if an individual contract approach was used. For orders received for self-pay patients, we determine a transaction price associated with services rendered in consideration of implicit price concessions that are granted to such orders.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 For institutional clients, the customer is the institution. We determine a transaction price associated with services rendered in accordance with the contractual rates established with each customer.</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monitor these estimates at each reporting period based on actual cash collections in order to assess whether a revision to the estimate is required. Both the initial estimate and any subsequent revision to the estimate contain uncertainty and require the use of judgment in the estimation of the transaction price and application of the constraint for variable consideration. If actual results in the future vary from our estimates, we will adjust these estimates, which could affect revenue and earnings in the period such variances become known. A 1% decrease or increase in our collection rate from third-party insurance payors, which we believe could be a reasonably likely change, would result in an unfavorable or favorable adjustment to diagnostic test revenue of approximately $16.2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also recognize revenue from service agreements and collaboration agreements with Biopharma companies and other third parties pursuant to which we provide diagnostic testing and related data aggregation reporting services. Certain of these contracts provide non-refundable upfront payments, which we record as contract liabilities, and variable payments based upon the achievement of certain milestones during the contract term. Milestone payments are a form of variable consideration that are included in the transaction price only when it is probable that doing so will not result in a significant reversal of cumulative revenue recognized when the uncertainty associated with the milestone is subsequently resolved.</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certain service or collaboration contracts that require us to transfer control of the service over time, we recognize revenue over time using an input measure based on costs incurred on the basis that this measure best reflects the pattern of transfer of control of the services to the customer. The measure of progress is developed using our best estimate of the performance period and the anticipated costs to be incurred to perform such services, including any subcontracted service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Internal-Use Software Costs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capitalize certain costs related to the development of our software applications for internal use. Capitalization begins during the application development stage, once the preliminary project stage has been completed. If a project constitutes an enhancement to existing software, we assess whether the enhancement creates additional functionality to the software, thus qualifying the work incurred for capitalization. Costs incurred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meeting these criteria together with costs incurred for training and maintenance are expensed as incurred. Once the project is available for general release, capitalization ceases and we estimate the useful life of the asset and begin amortization. We exercise judgment in determining the point at which various projects may be capitalized, in assessing the ongoing value of the capitalized costs and in determining the estimated useful lives over which the costs are amortized. We periodically assess whether triggering events are present which would indicate that the internal-use software is impaired. To the extent that we change our estimates related to internal-use software, the amount of internal-use software development costs we capitalize and amortize could change in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Contingent Liability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estimate the fair value of the total earn-out shares based on a Monte Carlo simulation valuation model. The fair value of the earn-out contingent liability is sensitive to expected volatility estimated based on selected guideline public companies and the Company’s common stock price which is sensitive to changes in the forecasts of earnings and/or the relevant operating metrics. The model used requires the use of assumptions regarding variables that are complex, subjective and generally require judgment to determine.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Stock-based compensation for all employee and non-employee stock-based awards, including restricted stock units, is measured at fair value on the date of grant and recognized over the service period. The fair value of restricted stock units are calculated based on the fair value of our Class A common stock on the date of grant, while the fair value of stock options are calculated using a Black-Scholes option-pricing model. The Black-Scholes option-pricing model requires the use of assumptions regarding a number of variables that are complex, subjective and generally require significant judgment to determine. Changes in the assumptions can materially affect the fair value and ultimately how much stock-based compensation expense is recognized. Key assumptions include expected volatility, expected term, risk-free interest rate and dividend yield. The volatility is estimated based on the average volatility for comparable publicly traded companies over a period equal to the expected term of stock option grants. When selecting these comparable companies, we considered the enterprise value, risk profiles, position within the industry, and whether there was sufficient historical share price information to meet the expected life of the stock-based awards. The expected term of the Company’s options has been determined utilizing the “simplified” method as the awards granted are qualified as “plain-vanilla” options. The risk-free interest rate is based on the U.S. Treasury yield curve in effect at the time of grant for bonds with maturities consistent with the expected holding periods corresponding with the expected term of the option. We estimate zero dividend yield as we have not historically paid dividends on common stock and do not anticipate paying dividends in the foreseeable future.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account for income taxes in accordance with ASC Topic 740, “Income Taxes,” under which deferred income taxes are provided for temporary differences between the financial reporting and tax basis of our assets and liabilities. We reduce deferred tax assets, if necessary, by a valuation allowance if it is more likely than not that we will not realize some or all of our deferred tax assets. In making such a determination, we consider all available positive and negative evidence, including future reversals of existing taxable temporary differences, projected future taxable income, tax-planning strategies, and results of recent operations.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on examination by taxing authorities, based on the technical merits of the position.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an “emerging growth company” within the meaning of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remain an emerging growth company until the earliest of (1) September 1, 2025,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on recent accounting pronouncements can be found in Sema4’s audited consolidated financial statements in Note 2, “</w:t>
      </w:r>
      <w:r>
        <w:rPr>
          <w:rFonts w:ascii="Arial" w:cs="Arial" w:eastAsia="Arial" w:hAnsi="Arial"/>
          <w:sz w:val="18"/>
          <w:szCs w:val="18"/>
          <w:i w:val="1"/>
          <w:iCs w:val="1"/>
          <w:color w:val="auto"/>
        </w:rPr>
        <w:t>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w:t>
      </w:r>
      <w:r>
        <w:rPr>
          <w:rFonts w:ascii="Arial" w:cs="Arial" w:eastAsia="Arial" w:hAnsi="Arial"/>
          <w:sz w:val="18"/>
          <w:szCs w:val="18"/>
          <w:color w:val="auto"/>
        </w:rPr>
        <w:t>” included elsewhere in this prospectus.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preparation of Legacy Sema4's audited financial statements for the years ended December 31, 2020, 2019 and 2018, we identified material weaknesses in our internal controls over financial reporting, as of December 31, 2020. These material weaknesses had not been fully remediated as of December 31, 2021. In addition, during 2021, management identified a misclassification of certain costs included within cost of services for the years ended December 31, 2021, 2020 and 2019. The material weaknesses identified related to the fact that we did not design and maintain accounting policies, procedures and controls to ensure complete, accurate and timely financial reporting in accordance with U.S. GAAP. Specifically, the material weaknesses identified included the following:</w:t>
      </w:r>
    </w:p>
    <w:p>
      <w:pPr>
        <w:spacing w:after="0" w:line="138" w:lineRule="exact"/>
        <w:rPr>
          <w:sz w:val="20"/>
          <w:szCs w:val="20"/>
          <w:color w:val="auto"/>
        </w:rPr>
      </w:pPr>
    </w:p>
    <w:p>
      <w:pPr>
        <w:ind w:left="6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did not design and maintain accounting policies, processes and controls to analyze, account for and report our revenue arrangements in accordance with ASC 606, Revenue from Contracts with Customers, and ASC 605, Revenue Recognition.</w:t>
      </w:r>
    </w:p>
    <w:p>
      <w:pPr>
        <w:spacing w:after="0" w:line="116" w:lineRule="exact"/>
        <w:rPr>
          <w:rFonts w:ascii="Arial" w:cs="Arial" w:eastAsia="Arial" w:hAnsi="Arial"/>
          <w:sz w:val="18"/>
          <w:szCs w:val="18"/>
          <w:color w:val="auto"/>
        </w:rPr>
      </w:pPr>
    </w:p>
    <w:p>
      <w:pPr>
        <w:jc w:val="both"/>
        <w:ind w:left="660" w:hanging="328"/>
        <w:spacing w:after="0" w:line="287" w:lineRule="auto"/>
        <w:tabs>
          <w:tab w:leader="none" w:pos="6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did not design and maintain formal accounting policies, procedures and controls to achieve complete, accurate and timely financial accounting, reporting and disclosures, including controls over the preparation and review of account reconciliations, journal entries and classification of certain costs; the accounting for cost capitalization policies in accordance with ASC 330, Inventory, and ASC 350-40, Intangibles</w:t>
      </w:r>
    </w:p>
    <w:p>
      <w:pPr>
        <w:spacing w:after="0" w:line="2" w:lineRule="exact"/>
        <w:rPr>
          <w:rFonts w:ascii="Arial" w:cs="Arial" w:eastAsia="Arial" w:hAnsi="Arial"/>
          <w:sz w:val="16"/>
          <w:szCs w:val="16"/>
          <w:color w:val="auto"/>
        </w:rPr>
      </w:pPr>
    </w:p>
    <w:p>
      <w:pPr>
        <w:ind w:left="660"/>
        <w:spacing w:after="0" w:line="260" w:lineRule="auto"/>
        <w:rPr>
          <w:rFonts w:ascii="Arial" w:cs="Arial" w:eastAsia="Arial" w:hAnsi="Arial"/>
          <w:sz w:val="16"/>
          <w:szCs w:val="16"/>
          <w:color w:val="auto"/>
        </w:rPr>
      </w:pPr>
      <w:r>
        <w:rPr>
          <w:rFonts w:ascii="Arial" w:cs="Arial" w:eastAsia="Arial" w:hAnsi="Arial"/>
          <w:sz w:val="18"/>
          <w:szCs w:val="18"/>
          <w:color w:val="auto"/>
        </w:rPr>
        <w:t>– Goodwill and Other – Internal-Use Software; and the application of ASC 840, Leases, ASC 340-40, Contracts with Customers and SEC Regulation S-X Article 5.</w:t>
      </w:r>
    </w:p>
    <w:p>
      <w:pPr>
        <w:spacing w:after="0" w:line="131"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had not developed and effectively communicated to our employees our accounting policies and procedures, which resulted in inconsistent practices. Since these entity level programs have a pervasive effect across the organization, management has determined that these circumstances constitute a material weakness.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accounting and operating systems lacked controls over access, and program change management that are needed to ensure access to financial data is adequately restricted to appropriate personnel.</w:t>
      </w:r>
    </w:p>
    <w:p>
      <w:pPr>
        <w:spacing w:after="0" w:line="116"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 accounting policies, processes and controls related to complex transactions necessary for an effective financial reporting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Plan</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management is actively engaged and committed to taking the steps necessary to remediate the control deficiencies that constituted the material weaknesses. During 2021, we made the following enhancements to our control environment:</w:t>
      </w:r>
    </w:p>
    <w:p>
      <w:pPr>
        <w:spacing w:after="0" w:line="116" w:lineRule="exact"/>
        <w:rPr>
          <w:sz w:val="20"/>
          <w:szCs w:val="20"/>
          <w:color w:val="auto"/>
        </w:rPr>
      </w:pPr>
    </w:p>
    <w:p>
      <w:pPr>
        <w:jc w:val="both"/>
        <w:ind w:left="660" w:hanging="328"/>
        <w:spacing w:after="0" w:line="263"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May 2021, we hired a permanent Chief Accounting Officer with substantial technical accounting and internal controls experience, whose responsibilities include working with our Chief Financial Officer, existing employees and third-party consultants to improve the design, implementation, execution and supervision of our controls.</w:t>
      </w:r>
    </w:p>
    <w:p>
      <w:pPr>
        <w:spacing w:after="0" w:line="129" w:lineRule="exact"/>
        <w:rPr>
          <w:rFonts w:ascii="Arial" w:cs="Arial" w:eastAsia="Arial" w:hAnsi="Arial"/>
          <w:sz w:val="18"/>
          <w:szCs w:val="18"/>
          <w:color w:val="auto"/>
        </w:rPr>
      </w:pPr>
    </w:p>
    <w:p>
      <w:pPr>
        <w:jc w:val="both"/>
        <w:ind w:left="660" w:hanging="328"/>
        <w:spacing w:after="0" w:line="293" w:lineRule="auto"/>
        <w:tabs>
          <w:tab w:leader="none" w:pos="655"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added accounting and information technology employees with appropriate experience, certification, education and training to the organization to strengthen our internal accounting team, to provide oversight, structure and reporting lines, and to provide additional review over our disclosures. This includes hiring a Corporate Controller, whose primary responsibilities include working with third-party consultants to improve the design, implementation, execution, and supervision of our controls. We expect to continue evaluating our needs for additional personnel. We expect to provide enhanced training to existing and new employees in order to enhance the level of communication and understanding of controls with personnel that provide key information and perform key roles within our financial accounting and reporting group.</w:t>
      </w:r>
    </w:p>
    <w:p>
      <w:pPr>
        <w:spacing w:after="0" w:line="11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engaged outside consultants to assist in the design, implementation, and documentation of internal controls that address the relevant risks, are properly designed, and provide for appropriate evidence of performance of the internal controls; and</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engaged outside consultants to assist us in the evaluation of our Enterprise Resource Planning (“</w:t>
      </w:r>
      <w:r>
        <w:rPr>
          <w:rFonts w:ascii="Arial" w:cs="Arial" w:eastAsia="Arial" w:hAnsi="Arial"/>
          <w:sz w:val="17"/>
          <w:szCs w:val="17"/>
          <w:i w:val="1"/>
          <w:iCs w:val="1"/>
          <w:color w:val="auto"/>
        </w:rPr>
        <w:t>ERP</w:t>
      </w:r>
      <w:r>
        <w:rPr>
          <w:rFonts w:ascii="Arial" w:cs="Arial" w:eastAsia="Arial" w:hAnsi="Arial"/>
          <w:sz w:val="17"/>
          <w:szCs w:val="17"/>
          <w:color w:val="auto"/>
        </w:rPr>
        <w:t>”) system in order to mitigate the internal control gaps and limitations with the current configuration, and to enhance the information technology general controls environment.</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remediation activities are continuing during 2022. In addition to the above actions, we expect to engage in additional activities, including, but not limited to:</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Hiring more technical accounting resources to enhance our control environment;</w:t>
      </w:r>
    </w:p>
    <w:p>
      <w:pPr>
        <w:spacing w:after="0" w:line="17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44"/>
        </w:numPr>
        <w:rPr>
          <w:rFonts w:ascii="Arial" w:cs="Arial" w:eastAsia="Arial" w:hAnsi="Arial"/>
          <w:sz w:val="17"/>
          <w:szCs w:val="17"/>
          <w:color w:val="auto"/>
        </w:rPr>
      </w:pPr>
      <w:r>
        <w:rPr>
          <w:rFonts w:ascii="Arial" w:cs="Arial" w:eastAsia="Arial" w:hAnsi="Arial"/>
          <w:sz w:val="17"/>
          <w:szCs w:val="17"/>
          <w:color w:val="auto"/>
        </w:rPr>
        <w:t>Engaging external consultants to provide support and to assist us in our evaluation of more complex applications of GAAP, and to assist us with documenting and assessing our accounting policies and procedures until we have sufficient technical accounting resources;</w:t>
      </w:r>
    </w:p>
    <w:p>
      <w:pPr>
        <w:spacing w:after="0" w:line="92" w:lineRule="exact"/>
        <w:rPr>
          <w:rFonts w:ascii="Arial" w:cs="Arial" w:eastAsia="Arial" w:hAnsi="Arial"/>
          <w:sz w:val="17"/>
          <w:szCs w:val="17"/>
          <w:color w:val="auto"/>
        </w:rPr>
      </w:pPr>
    </w:p>
    <w:p>
      <w:pPr>
        <w:jc w:val="both"/>
        <w:ind w:left="660" w:hanging="328"/>
        <w:spacing w:after="0" w:line="286" w:lineRule="auto"/>
        <w:tabs>
          <w:tab w:leader="none" w:pos="655" w:val="left"/>
        </w:tabs>
        <w:numPr>
          <w:ilvl w:val="0"/>
          <w:numId w:val="44"/>
        </w:numPr>
        <w:rPr>
          <w:rFonts w:ascii="Arial" w:cs="Arial" w:eastAsia="Arial" w:hAnsi="Arial"/>
          <w:sz w:val="17"/>
          <w:szCs w:val="17"/>
          <w:color w:val="auto"/>
        </w:rPr>
      </w:pPr>
      <w:r>
        <w:rPr>
          <w:rFonts w:ascii="Arial" w:cs="Arial" w:eastAsia="Arial" w:hAnsi="Arial"/>
          <w:sz w:val="17"/>
          <w:szCs w:val="17"/>
          <w:color w:val="auto"/>
        </w:rPr>
        <w:t>Implementing business process-level controls across all significant accounts and information technology general controls across all relevant systems. This includes providing training for control owners that will present expectations as it relates to the control design, execution and monitoring of such controls, including enhancements to the documentation to evidence the execution of the controls; and</w:t>
      </w:r>
    </w:p>
    <w:p>
      <w:pPr>
        <w:spacing w:after="0" w:line="111"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Implementing improvements to our ERP system to enhance the accuracy of our financial records, enable the enforcement of systematic segregation of duties, and to improve our information technology general controls environment.</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controls. As we continue to evaluate, and work to improve our controls, management may determine that additional measures to address control deficiencies or modifications to the remediation plan are necessary.</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we have performed certain remediation activities to strengthen our controls to address the identified material weaknesses, control weaknesses are not considered remediated until new internal controls have been operational for a period of time, are tested, and management concludes that these controls are operating effectively. We will continue to monitor the effectiveness of our remediation measures in connection with our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assessments of the effectiveness of internal control over financial reporting and disclosure controls and procedures, and we will make any changes to the design of our plan and take such other actions that we deem appropriate given the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We Are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patient-centered, health intelligence company with a mission to use artificial intelligence (“AI”) and machine learning to enable personalized medicine for all. Our integrated information platform leverages longitudinal patient data, AI-driven predictive modeling, and genomics in combination with other molecular and high-dimensional data in our efforts both to deliver better outcomes for patients and to transform the practice of medicine, including how disease is diagnosed, treated, and prevented.</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established one of the largest, most comprehensive, and fastest growing integrated health information platforms, collecting and leveraging genomic and clinical data in partnership with patients, healthcare providers and an extensive ecosystem of life science industry contributors. We are now generating and processing over 47 petabytes of data per month, growing by more than 1 petabyte per month, and maintaining a database that includes approximately 12 million de-identified clinical records, including more than 500,000 with genomic profiles, integrated in a way that enables physicians to proactively diagnose and manage disease. This expanding database is a virtuous cycle of data: new data enables us to further develop, train, and refine predictive models and drive differentiated insights, which models and insights we deploy through our next generation diagnostic and research solutions and portals to support clinicians and researchers and engage patients, all of which interactions generate more data to continue the cycle.</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Today, by providing differentiated insights through diagnostic testing solutions to physicians and patients across the United States (“U.S.”) in areas such as reproductive health (“Women’s Health”), population health, and oncology (“Oncology”), we are reimbursed by payors, providers, and patients for providing these services. In collaboration with pharmaceutical and biotech (“Biopharma”) companies, we receive payments for a broad range of services relating to the aggregated data on our information platform, such as consenting and recontacting patients, the development and implementation of a wide range of predictive models, including drug discovery programs, conducting real-world evidence studies, and aiding in the identification and recruitment of patients into clinical trials. Over the next several years, we expect to focus on expanding the revenue from our health system and Biopharma partners, while also working to continue to grow the volumes and revenues from our diagnostics test solutions.</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there are many companies seeking to harness the potential of “big data” to address the challenges within the healthcare ecosystem, we believe that few have the scale of our company combined with our revenue-generating diagnostics testing business and origins as a company conceived and nurtured within a world-class health system. These characteristics have enabled us to build a significant and highly differentiated technological and informational asset positioned to drive precision medicine solutions into the standard of care in an unparalleled way.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World Class Team and Unique Origins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Sema4 was founded by Eric Schadt, Ph.D. as part of Icahn School of Medicine at Mount Sinai’s Department of Genetics and Genomic Sciences and the Icahn Institute for Genomics and Multiscale Biology. Dr. Schadt is a world-renowned expert on constructing predictive models of disease that link molecular data to physiology to enable clinical medicine. He has published more than 450 peer-reviewed papers in leading scientific journals, with a public citation or h-index of 137, and contributed to discoveries relating to the genetic basis of common human diseases such as cancer, diabetes, obesity, and Alzheimer’s disease. As of December 31, 2021, we have approximately 1200 employees, including over 160 Ph.D.-level data scientists whose collective work has been recognized in areas such as data science, network modeling, multiscale biotechnology and genomics.</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Sema4 was established out of the Mount Sinai Health System (which we refer to together with its related entities as “Mount Sinai”) and commenced operations in June 2017 as a commercial entity that could effectively engage diverse patient populations and health care institutions at scale, founded on the idea that more information, deeper AI-driven learning, and increased engagement of patients and their providers will improve diagnosis, treatment, and prevention of disease. We have since established and deployed our comprehensive and integrated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44" w:lineRule="exact"/>
        <w:rPr>
          <w:sz w:val="20"/>
          <w:szCs w:val="20"/>
          <w:color w:val="auto"/>
        </w:rPr>
      </w:pPr>
    </w:p>
    <w:p>
      <w:pPr>
        <w:ind w:right="1920"/>
        <w:spacing w:after="0" w:line="464" w:lineRule="auto"/>
        <w:rPr>
          <w:sz w:val="20"/>
          <w:szCs w:val="20"/>
          <w:color w:val="auto"/>
        </w:rPr>
      </w:pPr>
      <w:r>
        <w:rPr>
          <w:rFonts w:ascii="Arial" w:cs="Arial" w:eastAsia="Arial" w:hAnsi="Arial"/>
          <w:sz w:val="17"/>
          <w:szCs w:val="17"/>
          <w:color w:val="auto"/>
        </w:rPr>
        <w:t xml:space="preserve">genomics and information platforms, and intend to continue to expand our scale and reach through organic and inorganic growth. </w:t>
      </w:r>
      <w:r>
        <w:rPr>
          <w:rFonts w:ascii="Arial" w:cs="Arial" w:eastAsia="Arial" w:hAnsi="Arial"/>
          <w:sz w:val="17"/>
          <w:szCs w:val="17"/>
          <w:b w:val="1"/>
          <w:bCs w:val="1"/>
          <w:i w:val="1"/>
          <w:iCs w:val="1"/>
          <w:color w:val="auto"/>
        </w:rPr>
        <w:t>Our Purpose-Built, Flexible Platforms Address Immediate and Untapped Market Opportunities</w:t>
      </w:r>
    </w:p>
    <w:p>
      <w:pPr>
        <w:jc w:val="both"/>
        <w:spacing w:after="0" w:line="263" w:lineRule="auto"/>
        <w:rPr>
          <w:sz w:val="20"/>
          <w:szCs w:val="20"/>
          <w:color w:val="auto"/>
        </w:rPr>
      </w:pPr>
      <w:r>
        <w:rPr>
          <w:rFonts w:ascii="Arial" w:cs="Arial" w:eastAsia="Arial" w:hAnsi="Arial"/>
          <w:sz w:val="18"/>
          <w:szCs w:val="18"/>
          <w:color w:val="auto"/>
        </w:rPr>
        <w:t>With the rapid decline in next generation sequencing costs and the increased accessibility of large scale, commoditized computer hardware and storage information products through the cloud, we expect that our core information platform, Centrellis®, supported and fueled by our genomic analysis platform, Traversa™, will be well-positioned to drive improved clinical outcomes competitively in the healthcare market.</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information platform was built to be highly adaptable to different data types and different diseases and health conditions, with the aim to deliver precision medicine and improved health outcomes across a patient’s entire life cycle. Accordingly, we expect our platforms to capitalize on a wide range of growth opportunities, and we intend to apply capital over time to make targeted acquisitions to accelerate our ability to reach a wider range of patients, integrate more deeply into clinical workflows, and address the significant, unaddressed white space for health intelligence in the healthcare ecosystem. These include a broad range of therapeutic segments, beyond our existing focus of our diagnostics solutions for Women’s Health, and Oncology, where we believe there is an immediate need for precision medicine solutions such as in autoimmune disorders, where medical care represented over $100 billion of spend in the U.S. in 2011, rare diseases, which is estimated to cost the U.S. healthcare system over $400 billion annually, and cardiovascular disease, where direct medical spend represents approximately $200 billion annually.</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The Centrellis platform is comprised of a data management backend that supports a wide array of databases, data warehouses, and knowledge bases, a data analytics layer to mine the data and construct predictive models that provide differentiated insights, and a series of application programmable interfaces to enable tool and software applications to access the data and models. Centrellis serves as the underlying foundation of our precision medicine solution and comprises a sophisticated data management and analytics engine. In the data management layer, our platform processes and stores data in a highly structured and accessible way, which is then analyzed by an advanced insights engine in the analytics layer that deploys state-of-the-art AI, probabilistic causal reasoning and machine learning approaches, and complementary analytics capabilities to deliver increasingly accurate insights to patients, providers, and researchers across a broad range of applications. Centrellis is designed to transform treatment decisions across multiple therapeutic areas by engaging large-scale, high-dimensional data and querying the predictive models of disease and wellness using patient-specific data to derive highly personalized, clinically actionable insights. Centrellis supports various applications, such as delivery of personalized and actionable treatment insights into clinical reports, clinical trial matching, real-world evidence trials and clinical decision support, through an advanced programmable interface (“API”) layer.</w:t>
      </w:r>
    </w:p>
    <w:p>
      <w:pPr>
        <w:spacing w:after="0" w:line="13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also developed a comprehensive genomic platform, Traversa™, to serve as the backbone of our screening and diagnostic products and with the capacity to deliver molecular data that can be re-accessed, analyzed and delivered throughout a patient’s lifetime. Traversa is designed to simultaneously assay at clinical-grade coverage all known medically relevant regions of the genome, as well as survey the entirety of the human genome, to surface signals that might be medically relevant to a patient in the future. Traversa is integrated with the Centrellis information platform and is designed to adapt at the rate of learning and to match the significant pace of information and knowledge growth, especially in the genomics arena, to allow us to provide actionable, accurate, and cutting-edge insights from complex and comprehensive data assets. We also expect this platform to enable us to scale our operations and to improve our margins in generating secondary insights for patients and providers.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Building Richer Longitudinal Data Through Deeper Patient and Provider Engagement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engage with patients, physicians, and health systems as partners and based on principles of transparency, choice, and consent. Driven by our direct engagement with patients and strategic relationships with multiple health systems, the database we have built contains extensive electronic medical record (“EMR”) data, totaling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approximately 12 million de-identified clinical records, many with genomic profiles, and has been designed to enable Centrellis to draw from our extensive data assets in a way that enables physicians to proactively diagnose and manage disease. We expect our current and targeted strategic relationships will provide us with access to additional active patient cohorts and datasets to fuel this growth and perpetuate our iterative, data-driven business model, including by rapidly scaling our diagnostic test solutions franchise with physicians and patients through direct engagement with multiple health system partners.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providing a majority of our current revenue and generating hundreds of thousands of genomic profiles, our established diagnostic test solutions also allow us to engage patients directly as partners, both as part of their clinical care and also acting on their behalf, with appropriate informed consent, to acquire, organize and manage any health data generated on them through the course of their care, all of which contributes to the further development of our genomics and information platforms. Further, we have demonstrated patients’ willingness to partner with us. For example, over 80% of diagnostics solutions patients and users who engaged with our patient portal have given us their informed consent to retrieve, organize, and manage their health records and data, and to facilitate their access to and sharing of that data, as well as additional data that patients share and create through their use of our expanding suite of digital experience products.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Established Diagnostic Solutions Are Scaling Rapidly</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currently operate a mature diagnostic business that generates revenue and engages with patients through our varied and sophisticated diagnostics and screening offerings. Our population health offerings are designed to run through our Traversa platform and give us the ability to inform on thousands of diseases and conditions, from rare disorders, to drug safety, to risk profiles across a broad range of common human diseases of significant public health concern. We have developed an array of diagnostic and screening solutions to inform across a patient’s life course, ranging from reproductive health and newborn screening to drug safety and oncology. Our Women’s Health solutions sequence and analyze an industry-leading number of genes, and use Centrellis’ interpretive information tools to translate raw sequencing and clinical data efficiently and accurately into digestible clinical reports that guide decision making by patients and physicians. Our Oncology diagnostic solutions feature both somatic tumor profiling and hereditary cancer screenings, along with a foundational whole exome and whole transcriptome sequencing approach.</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Centrellis enables the complex interpretations of these data to identify key driver genes, activated and suppressed pathways, molecular subtypes, therapeutic interventions and matching to clinical trials. We believe our array of diverse diagnostic solutions, built on our differentiated grounding in scientific excellence and coupled with an end-to-end full-service model, have led to our rapidly growing customer bases in Women’s Health and Oncology and increasing traction with health systems, as well as deep, trusting engagement with patients.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Embedding Our Solutions Through Innovative, Deep Relationships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origins in and subsequent work with Mount Sinai have provided us with an extensive understanding of health systems, patient, and physician workflows as well as the complex interconnectivities that define patient-physician relationships. We have used this knowledge to develop our integrated health system collaboration model, where we have the capabilities necessary to integrate across health system workflows as a holistic health intelligence partner in order to deploy our comprehensive genomics and information platforms, our data curation and harmonization capabilities, and our patient and provider engagement software applications. Our solutions support our health system partners across their operations, helping them integrate a new standard of care and creating a deep relationship with us that helps both partners realize the potential of the relationship. In addition to creating diagnostic revenue and a clinical relationship with our health system partners and their patients, this engagement provides us with access to insights informed by analyzed and processed EMRs from the health system, as well as the expansive molecular information we generate from our genomics platform as the health system’s precision medicine partner. Learning from our long-standing relationship with Mount Sinai, we have refined a health system engagement model that is both operational and economic and designed to maximize both our and our health system partner’s value from the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currently activating and expanding our relationships with several leading health systems that will expand our access to data and that we expect will position our platforms for rapid growth and broad commercial opportunities, and have recently signed contracts with three new health systems in support of this strategy. These systems include: AdventHealth, Avera Health, and Northshore University HealthSystem.</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AdventHealth partnership builds upon the current AdventHealth Genomics and Personalized Health Program to offer genomic solutions to patients across a number of services and specialties. Together, we will conduct data structuring and curation of the combined genomic and clinical data to enable clinicians and scientists to advance research and discovery to improve patient care. We are initially focused on accelerating research in the central Florida division, which includes 18 hospitals and emergency departments, and accounts for more than two million patient visits annually. Nationally, AdventHealth has 51 hospitals and over 100 care sites across 9 states.</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Avera Health partnership initially focuses on advancing oncology care, enabling Avera Health’s providers and patients to benefit from data-driven insights that inform targeted cancer treatments. Avera Health’s providers will be able to leverage Centrellis, to curate, structure and integrate clinical and genomic data to support both cancer research and clinical care at Avera Health. We will deliver predictive disease network models and clinically actionable insights, empowering Avera Health’s providers to further improve the prevention, detection, and treatment of cancer for their patients. We are also offering digital tools, which give Avera Health’s providers the ability to readily search for cohorts of patients based on clinical criteria, view a patient’s treatment history that is contained in the curated data as an interactive timeline, and more systematically match patients to clinical trials.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NorthShore University HealthSystem, we are enabling a data-driven genomics program to help clinicians and patients detect, and treat diseases at an early stage, when they are most treatable. As part of the program, NorthShore University HealthSystem’s clinicians and patients will have access to our information-rich genomic solutions for hereditary cancer, population health, pharmacogenomics, and rare expanded carrier screening. Importantly, by combining clinical information with genomic analysis, physicians will be better positioned to administer more personalized, holistic care plans by both drawing insights on how genetic variants will impact patients’ chances of developing disease and determining the most appropriate treatment options. In addition to guiding clinicians, the program is expected to make it easier for NorthShore University HealthSystem patients to understand the implications of genomic findings.</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Centered on Centrellis and Traversa, we have also established and continue to seek strategic relationships with Biopharma companies to enable innovation across the entire drug lifecycle, from next generation drug discovery and development, to post-market efficacy surveillance, to informing on bioavailability, toxicity, tolerability, and other features critical to drug development. We have demonstrated the ability to integrate across all aspects of the next generation therapeutic and drug development process, including: biomarker identification as part of early stage drug discovery; identification, validation and prioritization of drug targets; clinical trial patient recruitment; real-world evidence studies; and identifying new markets and indications for existing assets. We believe our solutions allow our Biopharma partners to harness the potential of big data to enable the development of next generation precision medicine therapeutics.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Centrellis: Our Health Information Platform Solution</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Centrellis is the culmination of our critical competencies and goals as a company:</w:t>
      </w:r>
    </w:p>
    <w:p>
      <w:pPr>
        <w:spacing w:after="0" w:line="11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technologies aimed at patient and provider engagement,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generation, aggregation and standardization of multi-dimensional data,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modeling and generation of differentiated, domain-specific insights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Driven by the virtuous cycle and interconnection of our clinical diagnostics products, rich data assets, database engineering and data science applications, we continue to evolve and deploy our platform to facilitate a better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4" w:lineRule="exact"/>
        <w:rPr>
          <w:sz w:val="20"/>
          <w:szCs w:val="20"/>
          <w:color w:val="auto"/>
        </w:rPr>
      </w:pPr>
    </w:p>
    <w:p>
      <w:pPr>
        <w:ind w:right="1820"/>
        <w:spacing w:after="0" w:line="438" w:lineRule="auto"/>
        <w:rPr>
          <w:sz w:val="20"/>
          <w:szCs w:val="20"/>
          <w:color w:val="auto"/>
        </w:rPr>
      </w:pPr>
      <w:r>
        <w:rPr>
          <w:rFonts w:ascii="Arial" w:cs="Arial" w:eastAsia="Arial" w:hAnsi="Arial"/>
          <w:sz w:val="18"/>
          <w:szCs w:val="18"/>
          <w:color w:val="auto"/>
        </w:rPr>
        <w:t xml:space="preserve">understanding of disease and wellness and improve the standard of care through information driven knowledge and understanding. </w:t>
      </w:r>
      <w:r>
        <w:rPr>
          <w:rFonts w:ascii="Arial" w:cs="Arial" w:eastAsia="Arial" w:hAnsi="Arial"/>
          <w:sz w:val="18"/>
          <w:szCs w:val="18"/>
          <w:b w:val="1"/>
          <w:bCs w:val="1"/>
          <w:i w:val="1"/>
          <w:iCs w:val="1"/>
          <w:color w:val="auto"/>
        </w:rPr>
        <w:t>Provider Engagement Technologies: Our Next Generation Tools</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built comprehensive solutions in Centrellis that enable clinicians, researchers, and patients to engage with the relevant structured health data and to leverage our predictive models of disease and wellness and produce clinically actionable insights.</w:t>
      </w:r>
    </w:p>
    <w:p>
      <w:pPr>
        <w:spacing w:after="0" w:line="11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For clinicians and researchers, we have designed Centrellis’s adaptive learning capabilities and tools to enable health systems and clinicians to manage their patient care, research, and health data in one place and to adapt to rapidly changing scientific and clinical norms through an API layer, including:</w:t>
      </w:r>
    </w:p>
    <w:p>
      <w:pPr>
        <w:spacing w:after="0" w:line="70"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Integration and on-boarding for health systems and practices that connects data from EMRs and disparate and varied databases,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Searching and analyzing cohorts of patients, allowing an assessment of their patient populations and quality of care in real-time,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Enabling clinical decision support and personalized and actionable treatment insights into clinical reports,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Identifying patients who are candidates for certain clinical genomic analyses,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Managing the clinical analysis ordered for their patients, from ordering, tracking, resulting, and reanalyzing based on new findings,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Supporting clinical care and research by matching patients to available clinical trials based on highly personalized inclusion and exclusion metrics,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Informing on administrative decisions including as they relate to patient growth, total cost of care, and risk identification and mitigation.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Engagement Technologies: Building Trust and Providing Value Through Clinical Partnership</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dedicated to giving patients control of their own health data, and in support of this goal, we have designed patient access to Centrellis through our patient portal. Patients have demonstrated their trust by engaging with us and providing consent for us to collect and store their EMR data. After creating an account, patients are able to manage and track the clinical analysis that we are performing for them, including by being able to track, receive, and understand the initial insights into their clinical tests and data (including expanded carrier screening (“ECS”) tests, and hereditary cancer tests), and to access our supporting clinical services, such as genetic counseling. Our patient portal also provides patients with the opportunity to partner with us to collect, manage, and regularly update their health data from their disparate healthcare providers, and help participants engage with their data through user-friendly applications, such as their genomic ancestry, personalized residual risk calculations, and other clinical and educational insights and information through important health events, like their pregnancy journey. For patients who have indicated their willingness to participate in research studies, our platform also provides integrated digital informed consenting and research program participation, through transparent, institutional review board approved processes, including targeted clinical trials offerings that provide relevant alternatives and access to the latest scientific trials.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Activating Data Through Generation, Curation and Engineering</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designed Centrellis to create an accessible and usable database that can support interpretation consistently across patient populations represented within the broad healthcare ecosystem. Centrellis aggregates large-scale and diverse data, abstract and structure informative unstructured data, and finally integrate the data into an accessible, web-scalable data warehouse that employs a common data model across a broad series of databases. Unstructured data derived from EMR and associated data are run through multiple pipelines leveraging machine learning-enabled natural language processing, augmented as needed by human annotators, to extract information and knowledge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that data and then structure and implement extensive quality assurance processes for the resulting annotations. Our multiscale, integrative strategy allows us to connect the processed EMR data with complex biological data from many sources, such as the genome, proteome, transcriptome, epigenome, and microbiome. Our standardization of the genomic and EMR data also allows us to pursue strategic relationships in the Biopharma industry, connecting Biopharma companies with clinicians and researchers to create computational models of disease, discover and validate targets and biomarkers, help design clinical trials and recruit patients, and support the collection of real-world data and evidence.</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not only collect data from external sources, but also generate clinical-grade genomic datasets in our clinical and research processes, which further fuels the richness of the data from which Centrellis draws. Our genomic infrastructure enables us to convert bio-samples into datasets that span a range of genomic modalities, from DNA and RNA sequencing to epigenomic profiling, as well as different next generation sequencing technologies, including long-read, single molecule sequencing, low pass whole genome sequencing, and additional transformative technologies. Together with our diagnostic solutions, we use this multi-technology approach to ensure we generate data to comprehensively cover clinically actionable insights from and common variation in the genome, enabling the diagnosis of rare conditions and diseases or risk of passing on mutations to offspring that may cause severe disease, predicting risks of developing diseases such as cancer, predicting tolerability of various therapeutics, and creating broad genomic health profiles through the use of polygenic risk scores.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Advanced Domain-Specific AI Informatics for Insight Generation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Finally, we believe our informatics and analysis capabilities form a meaningful connection between the web of databases that we have created in our data warehouse and the utility of Centrellis to our users. Based on our informatics engine, Centrellis generates deep interpretive insights derived from large-scale, multi-omic data, taking advantage of our deeper data generation capabilities, and provides actionable treatment recommendations and innovative research findings. These insights are provided to patients, clinicians, researchers, and partners through the tools described above.</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also continuing to develop these models and insights. Our researchers have developed a methodology to integrate diverse multi-omics data, including genomic, transcriptomic, and proteomic data, into causal probabilistic networks that help us to understand disease processes and identify key biomarkers through advanced network analysis. Our scientists have pioneered the use of DNA variation information to statistically infer causal relationships among any number of traits that have common genetic variance components. These approaches allow our teams to infer directed causal relationships among a pair of traits with shared genetic variance components, which then can be more systematically applied to traits to infer probabilistic causal network structures that can be mined for a broad range of discoveries. We also designed Centrellis with a high degree of flexibility to allow the platform to adjust to the rapidly changing and advancing health information landscape, highlighted by our Traversa genomic analysis platform, which we believe will lead to improved cost profiles over time as assays transition to whole genome sequencing at increasing resolutions.</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we collect and analyze additional datasets, our platform enables the virtuous cycle of data, and we are able to further refine our products and hone our capabilities to provide enhanced analysis of these data. More data and more insights generate further data and insights to support our models. We have constructed automated pipelines to continuously search the literature and research repositories to expand and distill our knowledge graphs, which are in turn queried to provide the interpretations and insights delivered to users of our systems. To support our interpretations and insights, we utilize internal experts as needed to help resolve conflicting findings to improve upon the actionable insights we deliver to physicians and patients.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Traversa: Our Genomics Platform for Optimizing Screening and Diagnostic Genomics Products and Population Health Initiatives</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Traversa is our comprehensive genomics platform that has been designed to serve as the backbone of our genomic analysis products, and we are in the process of transitioning all of our genomic analyses to this platform. For products on the Traversa platform, we generate data on all known medically relevant regions of the genome at clinical-grade coverage, as well as low-pass whole genome data to span all common variation in the genome.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also ask for the patient’s consent to biobank the corresponding samples for future clinical testing. While we report on the specific genes analyzed at the request of the clinician and patient, these baseline data and bio-banked samples allow us to respond to requests for additional analysis quickly by generating “in silico” interpretations on genomic data already existing on a patient and to surface signals that might be medically relevant across a patient’s life course.</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When deployed at across an entire health system, as we intend with our health system partners, Traversa will enable data driven collaborations and initiatives with health systems by establishing comprehensive clinical and genomic data profiles with patient consent. Particularly where integrated with EMR data, Traversa provides health systems with a unique opportunity to deploy population health management programs because of the robust data from which those programs will draw and because of the efficiencies it will create across the health ecosystem by eliminating the repetition of the most time-consuming and costly aspects of genomic analysis, including sample collection and preparation and the generation of sequence data. Using Traversa, clinicians and health systems will have the freedom to advance patient care by allowing clinicians to establish clinical utility and drive adoption of new analysis products, which we believe will consequently expedite improved reimbursements against lower total production costs for those offerings.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Collect and Manage Rich, Longitudinal Data Built from Diverse Sources</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health information database that we have created draws from many complementary sources, which we manage in accordance with patient consent and preferences, our regulatory obligations, and our transparent privacy policy and practices. These data are housed in a complex, cloud-based data lake that allows us to manage the various rights and obligations for each dataset at a granular level, including patient-specific requests with regard to their data.</w:t>
      </w:r>
    </w:p>
    <w:p>
      <w:pPr>
        <w:spacing w:after="0" w:line="9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database includes data generated in the performance of our clinical services to patients and clinicians, including Women’s Health and Oncology testing, as well as additional data that patients provide to us through their engagement with our patient portal and research programs. In addition, we participate in health information exchanges and public database programs, including through the National Institutes of Health. We also generate and collect data by collaborating with our research partners and provide sequencing and analysis services in connection with research programs. We further leverage the data rights provided by patients and secured through our strategic relationships, such as our oncology information partnership with VieCure that by the end of 2022 is expected to provide us with access to multiple cancer centers and data from all of their active cancer patients, with the number of newly diagnosed active cancer patients growing substantially each year. Additionally, we support health systems and other clinical service providers by applying our Centrellis tools to their clinical workflows and medical record databases, and we receive certain rights to work with anonymized datasets and to partner with the health systems in their ongoing clinical and research programs. We have provided such services extensively for Mount Sinai and are in the process of expanding this program with additional health systems, including Advent Health, Avera and NorthShore. For more information regarding our data arrangements with Mount Sinai, see “</w:t>
      </w:r>
      <w:r>
        <w:rPr>
          <w:rFonts w:ascii="Arial" w:cs="Arial" w:eastAsia="Arial" w:hAnsi="Arial"/>
          <w:sz w:val="17"/>
          <w:szCs w:val="17"/>
          <w:i w:val="1"/>
          <w:iCs w:val="1"/>
          <w:color w:val="auto"/>
        </w:rPr>
        <w:t>Certain Relationships and Related Party Transactions—Related Party Transactions—Sema4 Related Party</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w:t>
      </w:r>
      <w:r>
        <w:rPr>
          <w:rFonts w:ascii="Arial" w:cs="Arial" w:eastAsia="Arial" w:hAnsi="Arial"/>
          <w:sz w:val="17"/>
          <w:szCs w:val="17"/>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Established Diagnostics Solutions</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existing diagnostics solutions business centers around Women’s Health and Oncology and our industry-leading diagnostic solutions are powered by Centrellis and delivered through a full-service model that efficiently integrates into provider workflows. Currently, we derive the majority of our revenue from these established diagnostic test solutions.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Elements Women’s Health Solutions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deep foundation in Women’s Health began before Sema4’s formation within Mount Sinai, where our lab—then called the “Mount Sinai Genetics Testing Lab”—pursued the goal of providing compassionate patient care to a highly diverse population while advancing science through education, research, and outreach. We pioneered accurate and precise pre-conception genetic screening, and we have continued to build upon that work, expanding our focus into a multi-generational and pan-ethnic view of the health of individual women and their families. Sema4 Elements™, our portfolio of data-science driven products and services to support reproductive and generational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health, highlights our continued focused effort to accelerate the expansion of genomic diagnostic solutions, secondary insights, platform solutions and enriching health system value to drive continued growth in our Women’s Health business, including by leveraging our state-of-the-art genomic infrastructure and Centrellis platform.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Carrier Screening: Deriving population-health insights from genomic data to differentiate our industry-leading tests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ECS test is one of the most comprehensive and accurate carrier screening tests available in the market, covering up to 502 genes. We provide a comprehensive solution to physician practices to enable them not only to deliver sophisticated differential insights and care management guidance in support of the clinician’s care plan for the patient, but to also do so with minimal impact on the practice’s operation, helping to ensure physician offices are not overwhelmed by the amount of information and follow up that can be necessitated by carrier screening.</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ECS solution uses proprietary technology to identify a patient’s molecular ancestry on a genome-wide level for personalized residual risk assessments by analyzing patient-specific genealogical information that is critical to better understand a patient’s chance for passing on inherited disease. This technology has been designed to increase the accuracy of the residual risks reported to patients, in comparison to competing products that determine residual risk based on using self-reported ancestry information that does not reflect the population groups represented in the patient’s genome. Our solution also provides patients with personalized residual risk education, along with the option to view their molecular ancestry report in the Sema4 patient portal.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Non-invasive Prenatal Testing Solutions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Noninvasive Prenatal Testing is a comprehensive noninvasive prenatal test, that screens for autosomal and sex chromosome aneuploidies. Our advanced sequencing technology has been designed to provide reliable results down to approximately 2% fetal fraction, the amount of fetal cell-free DNA in the maternal blood sample, and has been designed to have a low failure rate, which helps reduce the need for redraws, limits unnecessary invasive procedures, and improves time to results.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Expansive development in prenatal screening allows our team to advance scientific efforts to deliver Genome Wide Screening and includes the ability to detect additional whole chromosome aneuploidies and copy number variations (“CNVs”). We believe an updated bioinformatics pipeline will help to further reduce false positives. We expect to release new versions of our code in 2022, which we believe will help improve the positive predictive value for CNV calling through fetal fraction enrichment and CNV normalization through nucleosome positioning and fragment characteristics.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developing these future test versions to enable the detection of single gene disorders, such as cystic fibrosis and sickle cell disease. This testing may be used for at risk couples to screen a pregnancy for genomic analysis of a specific disorder or as a general screening tool with a panel of diseases. We believe these code enhancements will also facilitate validation of polyploidy, fetal zygosity and molar pregnancy detection, all of which are important aspects of screening pregnancies for chromosomal abnormalities and are not widely available through non-invasive testing.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Natalis Newborn Screening Solutions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Natalis test is an extension of our screening portfolio allowing for detection of heritable conditions from pre-conception, pregnancy and childhood. Newborn Screening (“NBS”) detects heritable conditions that are amenable to medical management in newborns and young children. Natalis screens for 193 conditions where knowledge of the condition by the pediatrician may result in prescribing treatment with medications, dietary modifications, or other therapies to improve the baby’s health. All positives are confirmed using biochemical and molecular analysis. Natalis screens for up to five times as many conditions as the newborn screening programs run by certain state governments.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Signal Precision Oncology Solutions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Centrellis platform, combined with our comprehensive whole exome and whole transcriptome tumor profiling and hereditary cancer and pharmacogenomics genomic testing solutions, will make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meaningful difference in transforming cancer care. We have developed the “Sema4 Signal®” portfolio to be leveraged individually or as part of a holistic solution for precision oncology care. The Sema4 Signal portfolio features the integration of our germline and somatic tests with our informatics and data science tools, enabled by customized services to meet patient and provider needs to help drive more personalized care. The Sema4 Signal products include our oncology genomic test solutions, our molecular and clinical data curation and annotation capabilities to inform on the genomic information in the context of the patient’s previous and current medical records, and various software applications to enable engagement of these data and complex results to facilitate clinical decisions, research discoveries and drug development.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Sema4 Signal Hereditary Cancer Solution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Sema4 Signal Hereditary Cancer solution determines if a patient carries an inherited genetic change that increases the risk of cancer or informs on cancer treatment. It is used to inform personalized medical management decisions to aid early detection and prevention of cancer, as well as to determine the most appropriate treatment approaches if cancer occurs, and strategies to reduce risk of additional cancers.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one of the most comprehensive sets of panels on the U.S. market, and deliver this solution supported by the Traversa platform to enable us to adapt our panels as new discoveries on clinically actionable variants are made, so we can adapt at the rate of learning. Our solution includes tools to enable testing at the point of care or outside the office, including a digital family screening questionnaire to identify individuals who would benefit from testing, digital ordering via an EMR portal, video-based education, saliva procurement in the patient’s home, proactive billing investigation, pre-and post-test genetic counselling and family outreach to enable cascade testing.</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Hereditary Cancer Solution is a unique product in our portfolio in that it is sold in connection with our Oncology, Women's Health and population health solutions. For affected cancer patients, integrating hereditary cancer with our Sema4 Signal Whole Exome and Transcriptome and our informatics offerings, which incorporating real world evidence, integrates available data needed to better personalized clinical care decisions. For unaffected patients, our Sema4 Signal Hereditary Cancer solution is incorporated into both our Women’s Health and Population Health products and services to support early identification and treatment of cancer risk.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Signal Whole Exome and Transcriptome Solution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our Sema4 Signal Whole Exome and Transcriptome solution is one of the most comprehensive molecular profiling solutions from a commercial entity to receive New York State approval. Our profiling platform integrates tumor-normal matched whole exome sequencing (“WES”) with whole transcriptome sequencing (“WTS”) to deliver clinically actionable information about somatic and germline alterations in solid tumors and hematologic malignancies. This solution provides for access to a holistic view of a patient’s genome and insights into novel fusions, splice variants, and molecular pathways. It also provides for germline findings for cancer and non-cancer genes, as per American College of Medical Genetics guidelines, with relevance to comorbidities, such as familial hypercholesterolemia, and certain drug interactions.</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deliver the WES/WTS solution using a number of proprietary tools housed in Centrellis, including our cancer knowledge-base, which contains comprehensive structured data and learnings on clinically relevant variants, including curated maps that link relevant clinical trials to variants that serve as eligibility biomarkers for the trials, as annotated by Ph.D. oncology experts. Our variant interpretation station for oncology automates clinical reporting by managing the variant curation process and recommending suitable therapies. This AI-driven genomic platform is updated regularly with recent medical literature and prioritizes clinically-significant variants, enabling providers to quickly review and leverage actionable insights.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Sema4 Signal Informatics Solutions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complement the genomics diagnostic solutions, the Sema4 Signal products leverage Centrellis’s provider engagement technologies, described above, including to automatically abstract, annotate, and combine oncology specific datasets, including clinical medical record data, imaging, and genomics. This clinical-genomic data set is provided back to health systems and providers and is powered by our digital applications to drive better personalized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44" w:lineRule="exact"/>
        <w:rPr>
          <w:sz w:val="20"/>
          <w:szCs w:val="20"/>
          <w:color w:val="auto"/>
        </w:rPr>
      </w:pPr>
    </w:p>
    <w:p>
      <w:pPr>
        <w:ind w:right="1440"/>
        <w:spacing w:after="0" w:line="438" w:lineRule="auto"/>
        <w:rPr>
          <w:sz w:val="20"/>
          <w:szCs w:val="20"/>
          <w:color w:val="auto"/>
        </w:rPr>
      </w:pPr>
      <w:r>
        <w:rPr>
          <w:rFonts w:ascii="Arial" w:cs="Arial" w:eastAsia="Arial" w:hAnsi="Arial"/>
          <w:sz w:val="18"/>
          <w:szCs w:val="18"/>
          <w:color w:val="auto"/>
        </w:rPr>
        <w:t xml:space="preserve">care for patients, including clinical trial recruitment, improved system-wide quality of care and increased financial and research activity. </w:t>
      </w:r>
      <w:r>
        <w:rPr>
          <w:rFonts w:ascii="Arial" w:cs="Arial" w:eastAsia="Arial" w:hAnsi="Arial"/>
          <w:sz w:val="18"/>
          <w:szCs w:val="18"/>
          <w:i w:val="1"/>
          <w:iCs w:val="1"/>
          <w:color w:val="auto"/>
        </w:rPr>
        <w:t>Regulatory and Payer Relations Strategy</w:t>
      </w:r>
    </w:p>
    <w:p>
      <w:pPr>
        <w:spacing w:after="0" w:line="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developed and are advancing our strategy to drive increased reimbursement and higher average selling prices (“ASPs”) for our Sema4 Signal Oncology solutions. As part of this strategy, we will take advantage of a Medicare Administrative Contractor (“MAC”), National Government Services (“NGS”), update to a Local Coverage Decision (“LCD”) titled Genomic Sequence Analysis Panels in the Treatment of Solid Organ Neoplasms under which qualifying CGP tests are covered for patients insured by Medicare, who are living with advanced cancer and meet other clinical criteria.</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are expanding our presence in select markets where Palmetto GBA is the MAC and the MolDx program they administer provides opportunities to apply for coverage under existing or future LCDs. Specifically, we have, or intend to, submit Technical Assessments for coverage and reimbursement of WES/WTS and other tumor profiling solutions based on existing MolDx LCDs.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Beyond the testing, we are exploring the regulatory and market access landscape as it relates to the governance and reimbursement of real-world evidence and AI driven clinical decision-making tools. As we demonstrate the clinical utility of information driven solutions, these emerging areas will become relevant.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COVID-19 Testing Initiative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response to the outbreak of the worldwide COVID-19 pandemic, in the first quarter of 2020, we rapidly leveraged our existing technologies and infrastructure capabilities, supplemented by a requisite set of technologies and services, to offer a comprehensive COVID-19 diagnostic testing service for our customers. However, on December 15, 2021, we announced that we decided to discontinue COVID-19 testing services by March 31, 2022 and began notifying our COVID-19 testing solutions customers of this decision. Nationwide and regional lab capacity for COVID-19 testing has increased since we entered the market for COVID-19 testing in the first half of 2020. Management believes it is the appropriate time to discontinue this line of services and dedicate all of our efforts and resources to our core mission to transform healthcare by using artificial intelligence to enable the delivery of precision medicine as the standard of care.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GeneDx</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On April 29, 2022, we consummated the transactions contemplated by the Merger Agreement, whereby we acquired GeneDx through the Mergers.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GeneDx is a patient-centric health information company and leader in delivering clinical genomic answers to an ever-increasing community of patients, families and healthcare providers. With more than 20 years of experience in diagnosing rare disorders and diseases, GeneDx has pioneered panels, exome and whole genome sequencing and have developed a proprietary genomic interpretation and information services platform in support of healthcare partners and patients globally. GeneDx creates, follows, and is informed by cutting-edge science and technology. With one of the most sophisticated datasets of genomic information, GeneDx is able to identify new disease-causing genes, advancing the field of medicine through the detection, discovery, and diagnosis of genetic diseases.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Founded by scientists from the U.S. National Institutes of Health (“NIH”) in 2000, GeneDx has a proven track record of expertise in genetic testing, having launched next generation sequencing panels in 2008, pioneered exome sequencing in 2012 and has now sequenced more than 300,000 exomes to date. GeneDX has performed more than one-million genetic tests and has developed the following:</w:t>
      </w:r>
    </w:p>
    <w:p>
      <w:pPr>
        <w:spacing w:after="0" w:line="130"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curated database of disease-associated genomic variants;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proprietary bioinformatics and variant interpretation pipelines;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rapid exome and whole genome sequencing testing options •a curated database of disease-associated genomic variants;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GeneDx’s years of exome sequencing experience provides an enormous phenotyped clinical genomic dataset, including more than 2.1 million structured phenotypes with 60% as parent-child trios. Of particular importance, GeneDx has invested resources over time to annotate the phenotypes and sequence the parents, because they improve the diagnostic outcome of each case but also because that data improves the interpretation of future cases. GeneDx now has nearly twice as many expertly annotated disease-causing variants as the largest public resource, ClinVar, across more genes, which GeneDx has built over the course of a decade of clinical work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Solution for Health Systems and Providers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origins within a large academic medical center helped us establish our integrated health system collaboration model, where we seek to integrate our platform across numerous health system workflows to enable precision medicine solutions using Centrellis, from Women’s Health, to Oncology, to patient wellness. Our provider and health system engagement offerings include patient and provider portals, facilitating scheduling of patient appointments, patient consenting, pre-test and post-test genetic counseling, results delivery and patient record management, among other tools and applications that are designed to allow physicians to better engage contextualized information around their patients to improve decision making.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Health System Engagement Model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we have developed a compelling value proposition for our initial health system partners, with distinguishing features including our focus on serving local community populations, our track-record of delivering digital or technology-enabled standards of care, and our investment in precision medicine and adoption of genomic diagnostic solutions, with our desire to have predictive insights permeate all service lines and the general patient experience in their system. In addition to our deep relationship with Mount Sinai, we have contracted to deploy Centrellis in additional health systems, which we expect will expand our impact and reach.</w:t>
      </w:r>
    </w:p>
    <w:p>
      <w:pPr>
        <w:spacing w:after="0" w:line="13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refined a health system engagement model designed to maximize both our and our partner health system’s value from the relationship. We balance clinical-grade and research-based projects in order to deliver value in an economically sustainable manner and establish health and economic performance metrics that form the basis of quarterly steering committee reviews with the program’s executive sponsors. Our model focuses on:</w:t>
      </w:r>
    </w:p>
    <w:p>
      <w:pPr>
        <w:spacing w:after="0" w:line="95" w:lineRule="exact"/>
        <w:rPr>
          <w:sz w:val="20"/>
          <w:szCs w:val="20"/>
          <w:color w:val="auto"/>
        </w:rPr>
      </w:pPr>
    </w:p>
    <w:p>
      <w:pPr>
        <w:jc w:val="both"/>
        <w:ind w:left="660" w:hanging="328"/>
        <w:spacing w:after="0" w:line="263"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Embedding our genomic analyses as a standard of care for Women’s Health, Oncology and/or specific diseases, which includes our full-service model including patient and provider education, patient engagement, genetic counseling and integration with the health systems’ clinical workflow and EMR,</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Enhancing existing health system data sets by leveraging our data curation capabilities for both structured and unstructured data to identify clinical utility that can be used by health system providers, researchers and administration,</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Developing software applications to facilitate deeper engagement of the enhanced health system data we produce, such as reconstructing and visualizing patient health journeys, identifying patient cohorts based on any number of filter criteria, and characterizing outcomes of patients in response to different treatments prescribed,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Establishing population health programs where health system patients are invited to broad population genetic screening,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Developing mutually beneficial research collaboration programs that leverage the strengths of our and our health system partners.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Solutions Create Mutually Beneficially Value for Us and Our Health System Partners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pursue strategic relationships with health systems that evaluate financial returns on a holistic basis. We evaluate success on a long-term basis and recognize that the primary aim of every health system is to provide superior patient care with improved health economics. As such, we continue to use the proceeds from our July 2021 Business Combination and related private placement financing (which we refer to as the “Prior PIPE Investment”) to accelerate growth in our health system relationships by further investing in research-oriented projects, as well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data curation, platform integrations, and building standards of care to operationalize our testing programs. Starting with Mount Sinai and extending throughout our network, we intend to cross-validate and scale our technologies across health systems, as we seek to enable patients by leveraging data and tools across systems and patient populations in a network model so each partner can benefit from what is being learned across the healthcare ecosystem.</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Act as a Broker and Catalyst for Commercial Engagement Between Health System and Biopharma Companies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health systems and Biopharma companies have an established ability to collaborate effectively and will continue to partner directly, we believe that our network in both segments of the healthcare ecosystem and ability to add value to these relationships through data engineering makes us well-positioned as a valued collaborator for both types of organizations. Biopharma collaborations are often not the focus for health systems, as they have high start-up costs to develop relationships that extend to patient care. We can support our health system partners by working more collaboratively with them to understand their capabilities and how those capabilities are complemented by our enhancement of a health systems’ data assets and clinical-genomic data generation capabilities, and by facilitating solutions that can be provided jointly to Biopharma companies.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Biopharma Solutions Engage and Enable Our Partners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established and continue to seek strategic relationships with Biopharma companies to enable drug discovery, development, and commercialization. We have demonstrated the ability to integrate across the pharmaceutical life cycle as a result of the unique data and patient and provider engagements developed in our health system relationships and information-driven diagnostics solutions, combined with our powerful analytics capabilities and software solutions.</w:t>
      </w:r>
    </w:p>
    <w:p>
      <w:pPr>
        <w:spacing w:after="0" w:line="13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Biopharma industry has become increasingly competitive as it moves toward the more precise targeting of patients in crowded disease segments, and we believe this trend positions us as a key partner for Biopharma companies to build a competitive advantage by unlocking the power of big data and enabling next generation precision medicine.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Strive for Interconnected Strategic Relationships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serve our Biopharma customers through a unique combination of clinical testing services, clinical and research study design and execution, and advanced data and analytics capabilities.</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competitive advantage in this space comes from leveraging comprehensive data generated via testing, integrating these deep molecular profiles with clinical patient information, and representing this comprehensive patient data in the Centrellis platform. This enables us to create direct and real time integration of clinical and genetic data with providers connected to drug discovery research, real world evidence studies, and other therapy development opportunities. We are also able to utilize our solutions and unique data assets to enroll patients into clinical trials and to connect Biopharma partners to patient populations matching eligibility criteria for their trials, to facilitate patients receiving novel therapies still under development, and to perform broad genomic and transcriptomic sequencing on health system partner sample banks in collaboration with Biopharma partners.</w:t>
      </w:r>
    </w:p>
    <w:p>
      <w:pPr>
        <w:spacing w:after="0" w:line="11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our engagement with Biopharma customers, we are focused on a range of disease conditions, including oncology, autoimmune and inflammatory disorders, and rare diseases. Our disease-agnostic approach provides us with the flexibility to support our Biopharma partners across varied therapeutic areas. We continue to work with our Biopharma partners to identify their specific needs and broaden the scope of our disease coverage accordingly.</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because of our core capabilities and differentiated approach, we are well-positioned to support next-generation drug discovery, development, and commercialization. We further believe our ability to generate deep, clinical-grade multi-omic datasets renders us a valuable genomic testing solution provider for precision medicine Biopharma products. Through direct engagement of providers and patients, we assist Biopharma partners in a patient-centric approach to research and clinical development. By obtaining and curating high-dimensional data in our Centrellis platform, we deliver novel insights that help to de-risk the development of next generation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therapeutics, provide for pharmacologic proof of concept via the integration of genomic and clinical data support, reduce development costs, enhance the patient experience, and increase speed to market.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Sema4’s Solutions for BioPharma Customers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engage with our Biopharma customers to develop and deliver unique goods and services for the particular issues that each customer faces. We believe that our Biopharma partners can realize significant value when collaborating with our team to utilize a more integrated, end-to-end solution that leverages our core set of capabilities, including longitudinal patient data, AI-driven predictive modeling, and genomics. We have demonstrated the ability to develop these deep, integrated strategic relationships with Biopharma companies. For example, our five-year collaborative study with Sanofi S.A. (“Sanofi”) is centered on discovery of new insights into the biological mechanisms and other factors implicated in asthma to help drive Sanofi’s next generation of asthma targets as well as to enhance Sanofi’s understanding of the relevant populations for both its current and in-development therapies and the therapies marketed by others. This asthma study is currently recruiting nearly 1,200 patients, and involves comprehensive clinical characterization of patients and controls, longitudinal monitoring of patient conditions through various applications and devices, collection of biological samples for molecular profiling and generation and integration of DNA and RNA sequencing data with clinical and device acquired data. The study is also leveraging the integrated, longitudinal data to construct models of asthma to stratify patients into subtypes, and seeking to better understand treatments relevant to different subtypes or where there is unmet need for further drug discovery efforts. Along with Sanofi, we will collect traditional clinical data, genomics, immunological, environmental, and sensor data from mobile devices to enable sophisticated analyses and to include advanced causal network modeling.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In general, our Biopharma strategy focuses on three main offering areas:</w:t>
      </w:r>
    </w:p>
    <w:p>
      <w:pPr>
        <w:spacing w:after="0" w:line="171" w:lineRule="exact"/>
        <w:rPr>
          <w:sz w:val="20"/>
          <w:szCs w:val="20"/>
          <w:color w:val="auto"/>
        </w:rPr>
      </w:pPr>
    </w:p>
    <w:p>
      <w:pPr>
        <w:jc w:val="both"/>
        <w:ind w:left="660" w:hanging="328"/>
        <w:spacing w:after="0" w:line="275" w:lineRule="auto"/>
        <w:tabs>
          <w:tab w:leader="none" w:pos="655" w:val="left"/>
        </w:tabs>
        <w:numPr>
          <w:ilvl w:val="0"/>
          <w:numId w:val="49"/>
        </w:numPr>
        <w:rPr>
          <w:rFonts w:ascii="Arial" w:cs="Arial" w:eastAsia="Arial" w:hAnsi="Arial"/>
          <w:sz w:val="17"/>
          <w:szCs w:val="17"/>
          <w:color w:val="auto"/>
        </w:rPr>
      </w:pPr>
      <w:r>
        <w:rPr>
          <w:rFonts w:ascii="Arial" w:cs="Arial" w:eastAsia="Arial" w:hAnsi="Arial"/>
          <w:sz w:val="17"/>
          <w:szCs w:val="17"/>
          <w:color w:val="auto"/>
        </w:rPr>
        <w:t>Genomic Testing and Analysis Solutions: We serve as a comprehensive clinical testing lab, offering a broad menu of molecular, cytogenic and biochemical testing services for our Biopharma partners. Our technology development group enables us to apply innovative profiling technologies such as long-read, single-cell and spatial molecular profiling approaches to help address our Biopharma partners’ challenges. The data generated by these capabilities, when combined with our analytics services, can produce insights that inform on disease biology, improve and accelerate the drug development process, and help ensure that patients can be made aware of relevant treatment options.</w:t>
      </w:r>
    </w:p>
    <w:p>
      <w:pPr>
        <w:spacing w:after="0" w:line="122" w:lineRule="exact"/>
        <w:rPr>
          <w:rFonts w:ascii="Arial" w:cs="Arial" w:eastAsia="Arial" w:hAnsi="Arial"/>
          <w:sz w:val="17"/>
          <w:szCs w:val="17"/>
          <w:color w:val="auto"/>
        </w:rPr>
      </w:pPr>
    </w:p>
    <w:p>
      <w:pPr>
        <w:jc w:val="both"/>
        <w:ind w:left="660" w:hanging="328"/>
        <w:spacing w:after="0" w:line="291" w:lineRule="auto"/>
        <w:tabs>
          <w:tab w:leader="none" w:pos="655" w:val="left"/>
        </w:tabs>
        <w:numPr>
          <w:ilvl w:val="0"/>
          <w:numId w:val="49"/>
        </w:numPr>
        <w:rPr>
          <w:rFonts w:ascii="Arial" w:cs="Arial" w:eastAsia="Arial" w:hAnsi="Arial"/>
          <w:sz w:val="16"/>
          <w:szCs w:val="16"/>
          <w:color w:val="auto"/>
        </w:rPr>
      </w:pPr>
      <w:r>
        <w:rPr>
          <w:rFonts w:ascii="Arial" w:cs="Arial" w:eastAsia="Arial" w:hAnsi="Arial"/>
          <w:sz w:val="16"/>
          <w:szCs w:val="16"/>
          <w:color w:val="auto"/>
        </w:rPr>
        <w:t>Data and Analytics Solutions: Centrellis enables us to provide our Biopharma partners with unique, data-driven insights that can help to accelerate the development of precision medicines, utilizing HIPAA-compliant, de-identified datasets. Using advanced analytics and causal network modeling, we work with partners to organize high-dimensional data in ways that facilitate the identification of statistically-inferred causal relationships that enable the identification, validation and prioritization of biomarkers and targets; identify molecular subtypes of disease; and predict patient disease progression, prognosis, drug response, adverse events, and other clinical outcomes. We believe that one of our particular strengths is our data science team, which is comprised of experts published in leading scientific journals. We work with collaborators, researchers, and key opinion leaders to build new models of disease and deliver insights to Biopharma partners that can further optimize their operations.</w:t>
      </w:r>
    </w:p>
    <w:p>
      <w:pPr>
        <w:spacing w:after="0" w:line="112" w:lineRule="exact"/>
        <w:rPr>
          <w:rFonts w:ascii="Arial" w:cs="Arial" w:eastAsia="Arial" w:hAnsi="Arial"/>
          <w:sz w:val="16"/>
          <w:szCs w:val="16"/>
          <w:color w:val="auto"/>
        </w:rPr>
      </w:pPr>
    </w:p>
    <w:p>
      <w:pPr>
        <w:jc w:val="both"/>
        <w:ind w:left="660" w:hanging="328"/>
        <w:spacing w:after="0" w:line="290" w:lineRule="auto"/>
        <w:tabs>
          <w:tab w:leader="none" w:pos="655" w:val="left"/>
        </w:tabs>
        <w:numPr>
          <w:ilvl w:val="0"/>
          <w:numId w:val="49"/>
        </w:numPr>
        <w:rPr>
          <w:rFonts w:ascii="Arial" w:cs="Arial" w:eastAsia="Arial" w:hAnsi="Arial"/>
          <w:sz w:val="16"/>
          <w:szCs w:val="16"/>
          <w:color w:val="auto"/>
        </w:rPr>
      </w:pPr>
      <w:r>
        <w:rPr>
          <w:rFonts w:ascii="Arial" w:cs="Arial" w:eastAsia="Arial" w:hAnsi="Arial"/>
          <w:sz w:val="16"/>
          <w:szCs w:val="16"/>
          <w:color w:val="auto"/>
        </w:rPr>
        <w:t>Clinical Trial Enablement Solutions: We believe that Centrellis, combined with our active, direct engagement of patients and providers in our Women’s Health and, by extension, rare disorders, Oncology, and population health solutions, positions us well to assist Biopharma partners in their clinical development activities. We have developed a number of software as a service (“SaaS”) products to enable Biopharma clinical development, including a clinical trial patient matching product and a clinical trial design product that work with our longitudinal clinic-genomic dataset. Given our patient consent structure, we have the ability to re-contact patients who may benefit from a Biopharma sponsor’s trial. We have developed novel, technology-enabled workflows and solutions that allow us to search for and identify relevant patients in a manner that fully maintains patient confidentiality, and work with providers to assess and enroll these patients in clinical trials. The breadth of search and precision of this method of patient recruitment can substantially improve trial timelines versus traditional recruitment methods. We also assist prominent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4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Biopharma partners seeking to use high-quality genomic analysis to assess patient eligibility for clinical trials. We believe our clinical testing services and data solutions make us a key partner for supporting efficient clinical trials.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invested a substantial amount of time and expense into research and development for our technology and test offerings, which requires the continuous improvement of software capabilities to analyze data and process customer orders. Our research and development efforts focus on several key areas, including multiscale biotechnology, assay development across sequencing technologies, data science and engineering, and the development of network-based models. We expect our research and development activities to increase as we innovate and expand the application of our current and future platforms including Traversa and Centrellis.</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internationally recognized research team includes leaders in data science, network modeling, multiscale biotechnology and genomics. As noted above, our founder, president and Chief Research &amp; Development Officer, Eric Schadt, is a world-renowned expert on constructing predictive models of disease that link molecular biology to physiology to enable clinical medicine. He has published more than 450 peer-reviewed papers in leading scientific journals, with a public citation or “h-” index of 137, and has contributed to discoveries relating to the genetic basis of common human diseases such as cancer, diabetes, obesity, and Alzheimer’s disease. Under the leadership of our management team, our research team comprises more than 160 Ph.D.-level scientists, complemented by additional physician scientists and certified technicians as of December 31, 2021. Ongoing collaborations with scientists and clinicians at the Mount Sinai and other healthcare systems allows our research to remain patient-centered and clinically relevant.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intellectual property rights pertaining to all elements of our platforms and solutions. Our success and ability to compete depend in part on securing and preserving enforceable patent, trade secret, trademark and other intellectual property rights; operating without having competitors infringe, misappropriate or otherwise circumvent these rights; operating without infringing the proprietary rights of others; and obtaining and maintaining licenses for technology development or product commercialization.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fields of genomic and health information analysis present limited opportunities for patent protection, based on well-known legal precedents. As result, our patent protection strategy is to protect our non-gene specific technology and our specific biomarkers. In this regard, as of December 31, 2021, we have four pending utility patent applications and one provisional patent application. The pending utility patent applications include a U.S. patent application related to a genome annotation software platform for annotating genomic intervals that are clinically relevant for analysis, a U.S. patent application related to a genetic carrier screening process, and U.S. and European patent applications related to therapeutic treatment for subjects having certain polymorphic markers associated with specific human leukocyte antigen alleles. If patents are issued from the currently pending applications, the earliest patents will begin expiring in 2040, subject to potential extensions of the patent term that will be calculated based on the length of the patent examination process.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 trade secrecy program to prevent disclosure of our trade secrets to others, except under stringent conditions of confidentiality when disclosure is critical to our business.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will be our exclusive property. In addition, we take other appropriate precautions, such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physical and technological security measures, to guard against misappropriation of our proprietary information by third parties.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Accordingly, we may not be able to meaningfully protect our trade secrets. For more information regarding the risks related to our intellectual property, see the section entitled “</w:t>
      </w:r>
      <w:r>
        <w:rPr>
          <w:rFonts w:ascii="Arial" w:cs="Arial" w:eastAsia="Arial" w:hAnsi="Arial"/>
          <w:sz w:val="17"/>
          <w:szCs w:val="17"/>
          <w:i w:val="1"/>
          <w:iCs w:val="1"/>
          <w:color w:val="auto"/>
        </w:rPr>
        <w:t>Risk Factors—Risks Related to Our Intellectual Property</w:t>
      </w:r>
      <w:r>
        <w:rPr>
          <w:rFonts w:ascii="Arial" w:cs="Arial" w:eastAsia="Arial" w:hAnsi="Arial"/>
          <w:sz w:val="17"/>
          <w:szCs w:val="17"/>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own various trademarks, applications and unregistered trademarks in the U.S and other commercially important markets, including our company name, product and service names and other trade or service marks. Our trademark portfolio is designed to protect the brands for our products and services, both current and in the pipeline.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Patients who have diagnostic tests ordered or are prescribed treatments by providers performing the prescribed services, generally rely on third-party payors to reimburse all or part of the associated healthcare costs. Sales of our products and services will therefore depend substantially on the extent to which the costs of our products and services will be paid by third-party payors, including health maintenance, managed care and similar healthcare management organizations, or reimbursed by government health administration authorities, such as Medicare and Medicaid and private health insurers.</w:t>
      </w:r>
    </w:p>
    <w:p>
      <w:pPr>
        <w:spacing w:after="0" w:line="1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United States, our ability to commercialize and the commercial success of our product and service offerings will depend in part on the extent to which governmental payor programs at the federal and state levels, including Medicare and Medicaid, private health insurers and other third-party payors provide coverage for and establish adequate reimbursement levels for these offerings. Government authorities, private health insurers and other organizations generally decide which devices they will pay for and establish reimbursement levels for healthcare. Medicare is a federally funded program for the elderly and disabled managed by Centers for Medicare &amp; Medicaid Services (“CMS”) through local contractors that administer coverage and reimbursement for certain healthcare items and services. Medicaid is an insurance program for certain categories of patients whose income and assets fall below state defined levels, and is funded jointly by federal and state governments and managed by each state. Similarly, the federal government manages other healthcare programs, including the Veterans Health Administration, the Indian Health Service, and Tricare, the healthcare program for military personnel, retirees, and related beneficiaries. Many states have also created pharmacy assistance programs for individuals who do not qualify for federal programs. In the U.S., private health insurers and other third-party payors often provide reimbursement for products and services based in part on the coverage and payment rates set by the Medicare or Medicaid programs.</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Federal programs in the U.S. also sometimes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products and services or exclusion of our products and services from coverage. In addition, government programs like Medicaid include what are in effect substantial penalties for increasing commercial prices of certain products over the rate of inflation which can affect realization and return on investment.</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Increasing efforts by governmental and third-party payors to cap or reduce healthcare costs may cause such organizations to limit both coverage and level of reimbursement for newly approved healthcare products. At the state level, legislatures are increasingly passing legislation and implementing regulations designed to control pharmaceutical and biological program pricing, including price or patient reimbursement constraints, discounts,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restrictions on certain product access and marketing cost disclosure and transparency measures, and, in some cases, designed to encourage importation from other countries and bulk purchasing.</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the above trends, we may need to conduct expensive studies in order to demonstrate the medical necessity and cost effectiveness of our products and services, in addition to the costs required to obtain FDA approvals. Our products and services may not be considered medically necessary or cost effective, or the discount percentages required to secure coverage may not yield an adequate margin over cost.</w:t>
      </w:r>
    </w:p>
    <w:p>
      <w:pPr>
        <w:spacing w:after="0" w:line="1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Many hospitals implement a controlled and defined process for covering and approving diagnostic tests and medical devices. Any marketing efforts that are determined to have violated such policies could result in the denial or removal of our products from that hospital’s list of approved products.</w:t>
      </w:r>
    </w:p>
    <w:p>
      <w:pPr>
        <w:spacing w:after="0" w:line="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Moreover, a payor’s decision to provide coverage for a diagnostic product does not imply that an adequate reimbursement rate will be approved. Adequate third-party reimbursement may not be available to enable us to maintain price levels sufficient to realize an appropriate return on our investment in device development. Legislative proposals to reform healthcare or reduce costs under government insurance programs may result in lower reimbursement for our products and services or exclusion of our products and services from coverage. The cost containment measures that healthcare payor and providers are instituting and any healthcare reform could significantly reduce our revenue from the sale of any approved products and services. We cannot provide any assurances that we will be able to obtain and maintain third-party coverage or adequate reimbursement for our products and services in whole or in part.</w:t>
      </w:r>
    </w:p>
    <w:p>
      <w:pPr>
        <w:spacing w:after="0" w:line="11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amendments to the False Claims Act impose severe penalties for the knowing and improper retention of overpayments collected from governmental payors. Within 60 days of identifying and quantifying an overpayment, a provider is required to notify CMS or the Medicare contractor of the overpayment and the reason for it and return the overpayment. These amendments could subject our procedures for identifying and processing payments to greater scrutiny. Overpayments may occur from time to time in the healthcare industry without any fraudulent intent. For example, overpayments may result from mistakes in reimbursement claim forms or from improper processing by governmental payor. We maintain protocols intended to identify any overpayments. From time to time, we may identify overpayments and be required to refund those amounts to governmental payors.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Laboratory Improvement Act</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clinical reference laboratories in Connecticut are required to hold certain federal certificates to conduct our business. Under the Clinical Laboratory Improvement Act of 1988 (“CLIA”), we are required to hold a certificate applicable to the type of laboratory examinations we perform and to comply with standards covering personnel, facilities administration, inspections, quality control, quality assurance and proficiency testing.</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2021, we have a current certificate under CLIA to perform testing at our laboratory locations in Stamford and Branford, Connecticut. To renew this CLIA certificate, we are subject to survey and inspection every two years to assess compliance with program standards. Moreover, CLIA inspectors may make random inspections of our clinical reference laboratories. The regulatory and compliance standards applicable to the testing we perform may change over time, and any such changes could have a material effect on our business.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our clinical reference laboratory is out of compliance with CLIA requirements, we may be subject to sanctions such as suspension, limitation or revocation of our CLIA certificate, as well as directed plan of correction, state on-site monitoring, civil money penalties, civil injunctive suit or criminal penalties. We must maintain CLIA compliance and certification to be eligible to bill for diagnostic services provided to Medicare and Medicaid beneficiaries. If we were to be found out of compliance with CLIA requirements and subjected to sanction, our business could be harmed.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Laboratory Testing</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is required to maintain a license to conduct testing in Connecticut. Connecticut laws establish standards for day-to-day operations of our laboratories in Stamford and Branford, Connecticut. If our clinical reference laboratories are out of compliance with Connecticut standards, the Connecticut Department of Health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(“CDHS”) may suspend, restrict or revoke our license to operate our clinical reference laboratories, assess substantial civil money penalties, or impose specific corrective action plans. Any such actions could materially affect our business. As of December 31, 2021, we maintain a current license in good standing with CDHS. However, we cannot provide assurance that CDHS will at all times in the future find us to be in compliance with all such laws.</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Several states require the licensure of out-of-state laboratories that accept specimens from those states. For example, New York requires a laboratory to hold a permit which is issued after an on-site inspection and approval of testing methodology and has various requirements over and above CLIA and the College of American Pathologists (“CAP”) Laboratory Accreditation Program, including those for personnel qualifications, proficiency testing, physical facility, equipment, and quality control standards. Our laboratory holds the required licenses for California, New York, Maryland, Pennsylvania, and Rhode Island.</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of our clinical reference laboratories in Connecticut is required to be licensed on a test-specific basis by New York State as an out of state laboratory and our products, as laboratory-developed tests (“LDTs”) must be approved by the New York State Department of Health (“NYDOH”) before they are performed on samples from New York. Each Sema4 laboratory is licensed by New York, and we are currently approved for testing samples from New York. We are subject to periodic inspection by the NYDOH and we are required to demonstrate ongoing compliance with NYDOH regulations and standards.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states may adopt similar licensure requirements in the future, which may require us to modify, delay or stop our operations in such jurisdictions. Complying with licensure requirements in new jurisdictions may be expensive, time-consuming, and subject us to significant and unanticipated delays. If we identify any other state with such requirements, or if we are contacted by any other state advising us of such requirements, we intend to follow instructions from the state regulators as to how we should comply with such requirements.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Drug Administration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Laboratory Developed Tests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provide our tests as LDTs. CMS and certain state agencies regulate the performance of LDTs (as authorized by CLIA and state law, respectively). Historically, the FDA, has exercised enforcement discretion with respect to most LDTs and has not required laboratories that furnish LDTs to comply with the agency's requirements for medical devices (e.g., establishment registration, device listing, quality systems regulations, premarket clearance or premarket approval, and post-market controls). Nevertheless, the FDA may decide to regulate certain LDTs on a case-by-case basis at any time.</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Legislative proposals addressing the FDA’s oversight of LDTs have been introduced in previous Congresses, and we expect that new legislative proposals will be introduced from time-to-time. The likelihood that Congress will pass such legislation and the extent to which such legislation may affect the FDA’s plans to regulate certain LDTs as medical devices is difficult to predict at this time.</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FDA ultimately regulates certain LDTs as medical devices, whether via final guidance, final regulation, or as instructed by Congress, our tests may be subject to certain additional regulatory requirements. Complying with the FDA’s requirements for medical devices can be expensive, time-consuming, and subject us to significant or unanticipated delays. Insofar as we may be required to obtain premarket clearance or approval to perform or continue performing an LDT, we cannot assure you that we will be able to obtain such authorization. Even if we obtain regulatory clearance or approval where required, such authorization may not be for the intended uses that we believe are commercially attractive or are critical to the commercial success of our tests. As a result, the application of the FDA’s medical device requirements to our tests could materially and adversely affect our business, financial condition, and results of operations.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Failure to comply with applicable FDA regulatory requirements may trigger a range of enforcement actions by the FDA including warning letters, civil monetary penalties, injunctions, criminal prosecution, recall or seizure, operating restrictions, partial suspension or total shutdown of operations, and denial of or challenges to applications for clearance or approval, as well as significant adverse publicity.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Pre-Market Approval</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obtain FDA premarket approval (“PMA”) for some of our tests including its matched whole exome sequencing (“WES”) and whole transcriptome sequencing (“WTS”) tests. Devices subject to FDA regulation must undergo premarket review prior to commercialization unless the device is exempt from such review, and we expect that we will be required to perform non-inferiority studies showing comparable results between the Sema4 Signal WES/WTS LDT and third party, FDA-approved tests with regard to certain therapeutic drugs prescribed to ovarian cancer patients, colorectal cancer patients, and non-small cell lung cancer patients. We are currently evaluating an updated pre-submission letter to the FDA with regard to the studies necessary for ovarian cancer and is working to secure access to the subjects necessary to perform this study. With regard to the studies necessary for colorectal cancer patients and non-small cell lung cancer patients, we submitted our pre-submission package and held a pre-submission meeting with the FDA in 2020, and are working to secure access to the subjects necessary to perform this study. Further, the regulations governing the approvals place substantial restrictions on how the tests will be marketed and sold, specifically, by prescription only. In addition, as a condition of Sema4’s FDA approval, we may be required to conduct post-approval studies.</w:t>
      </w:r>
    </w:p>
    <w:p>
      <w:pPr>
        <w:spacing w:after="0" w:line="13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Additionally, manufacturers of medical devices must comply with various regulatory requirements under the Food, Drug, and Cosmetic Act (“FDCA”) and regulations thereunder, including, but not limited to, quality system regulations, unless they are exempt, facility registration, product listing, labeling requirements, and certain post-market surveillance requirements. Entities that fail to comply with FDA requirements can be liable for criminal or civil penalties, such as recalls, detentions, orders to cease manufacturing, and restrictions on labeling and promotion, among other potential sanctions.</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develop new diagnostic products and services that are regulated by the FDA as medical devices. The regulatory review and approval process for medical devices can be costly, timely, and uncertain. This process may involve, among other things, successfully completing additional clinical trials and submitting a premarket clearance notice or filing a premarket approval application with the FDA. If premarket review is required by the FDA, there can be no assurance that our tests will be cleared or approved on a timely basis, if at all. In addition, there can be no assurance that the labeling claims cleared or approved by the FDA will be consistent with our current claims or adequate to support continued adoption of and reimbursement for our products. Ongoing compliance with FDA regulations could increase the cost of conducting our business, subject us to FDA inspections and other regulatory actions, and potentially subject us to penalties in the event we fail to comply with such requirements.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HIPAA and HITECH</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administrative simplification provisions of the Health Insurance Portability and Accountability Act of 1996 (“HIPAA”), as amended by the Health Information Technology for Economic and Clinical Health Act (“HITECH”), the U.S. Department of Health and Human Services issued regulations that establish uniform standards governing the conduct of certain electronic healthcare transactions and protecting the privacy and security of protected health information used or disclosed by most healthcare providers and other covered entities and their business associates, including the business associates’ subcontractors. We perform activities that may implicate HIPAA, such as providing clinical laboratory testing services and entering into specific kinds of relationships with covered entities and business associates of covered entities. As a covered entity and as a business associate of other covered entities (with whom we have entered into business associate agreements), we are required to comply with the four principal regulations with which have been issued in final form under HIPAA and HITECH: privacy regulations, security regulations, the breach notification rule, and standards for electronic transactions, which establish standards for common healthcare transactions.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HITRUST CSF was developed to address the multitude of security, privacy, and regulatory challenges facing organizations. By including federal and state regulations, standards, frameworks, and incorporating a risk-based approach, the HITRUST CSF helps organizations address these challenges through a comprehensive and flexible framework of prescriptive and scalable security and privacy controls. The HITRUST CSF includes, harmonizes, and cross-references existing, globally recognized standards, regulations, and business requirements, including ISO, EU GDPR, NIST, and PCI. On December 10, 2021, we met the HITRUST Assurance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requirements for the CSF v9.4 Risk-based, 2-year (r2) certification criteria for our Centrellis Platform, for hosting and curating Patient data.</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privacy regulations cover the use and disclosure of protected health information by covered entities as well as business associates, which are defined to include subcontractors that create, receive, maintain, or transmit protected health information on behalf of a business associate. They also set forth certain rights that an individual has with respect to his or her protected health information maintained by a covered entity, including the right to access or amend certain records containing protected health information, or to request restrictions on the use or disclosure of protected health information. The security regulations establish requirements for safeguarding the confidentiality, integrity, and availability of protected health information that is electronically transmitted or electronically stored. HITECH, among other things, established certain health information security breach notification requirements. A covered entity must notify any individual whose protected health information is breached according to the specifications set forth in the breach notification rule. The HIPAA privacy and security regulations establish a uniform federal "floor" and do not supersede state laws that are more stringent or provide individuals with greater rights with respect to the privacy or security of, and access to, their records containing protected health information or insofar as such state laws apply to personal information that is broader in scope than protected health information as defined under HIPAA. Massachusetts, for example, has a state law that protects the privacy and security of personal information of Massachusetts residents.</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significant civil and criminal fines and other penalties that may be imposed for violating HIPAA. A covered entity or business associate is also liable for civil money penalties for a violation that is based on an act or omission of any of its agents, including a downstream business associate, as determined according to the federal common law of agency. Additionally, to the extent that we submit electronic healthcare claims and payment transactions that do not comply with the electronic data transmission standards established under HIPAA and HITECH, payments to us may be delayed or denied.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Fraud and Abuse Laws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U.S., there are various fraud and abuse laws with which we must comply, and we are potentially subject to regulation by various federal, state and local authorities, including CMS, other divisions of the U.S. Department of Health and Human Services including the Office of Inspector General, the U.S. Department of Justice, and individual U.S. Attorney offices within the Department of Justice, and state and local governments.</w:t>
      </w:r>
    </w:p>
    <w:p>
      <w:pPr>
        <w:spacing w:after="0" w:line="1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U.S., the federal Anti-Kickback Statute prohibits, among other things, knowingly and willfully offering, paying, soliciting or receiving remuneration, directly or indirectly, overtly, covertly, in cash or in kind to induce or in return for the furnishing, arranging for the furnishing of, purchasing, leasing, ordering or arranging for or recommending purchasing, leasing or ordering of any good, facility, service or item for which payment may be made in whole or in part by a federal healthcare program. Courts have stated that a financial arrangement may violate the Anti-Kickback Statute if any one purpose of the arrangement is to encourage patient referrals or other federal healthcare program business, regardless of whether there are other legitimate purposes for the arrangement. The definition of “remuneration” has been broadly interpreted to include anything of value, including gifts, discounts, credit arrangements, payments of cash, consulting fees, waivers of co-payments, ownership interests, and providing anything at less than its fair market value.</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the Anti-Kickback Statute contains several exceptions, it is broad and may technically prohibit many innocuous or beneficial arrangements within the healthcare industry. Further, the U.S. Department of Health and Human Services issued a series of regulatory “safe harbors.” These safe harbor regulations set forth certain provisions, which, if met, will assure healthcare providers and other parties that they will not be prosecuted under the federal Anti-Kickback Statute. Although full compliance with the statutory exceptions or regulatory safe harbors ensures against prosecution under the federal Anti-Kickback Statute, the failure of a transaction or arrangement to fit within a specific statutory exception or regulatory safe harbor does not necessarily mean that the transaction or arrangement is illegal or that prosecution under the federal Anti-Kickback Statute will be pursued. Penalties for federal anti-kickback violations are severe, and include imprisonment, criminal fines, civil money penalties, and exclusion from participation in federal healthcare programs. Many states also have anti-kickback statutes, some of which may apply to items or services reimbursed by any third-party payor, including commercial insurers.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are also federal laws related to healthcare fraud and false statements, among others,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governmental payor programs such as the Medicare and Medicaid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imprisonment, or exclusion from governmental payor programs.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Another development affecting the healthcare industry is the increased enforcement of the federal False Claims Act and, in particular, actions brought pursuant to the False Claims Act’s “whistleblower” or “qui tam” provisions. The False Claims Act imposes liability on any person or entity that, among other things, knowingly presents, or causes to be presented, a false or fraudulent claim for payment by a federal governmental payor program. The qui tam provisions of the False Claims Act allow a private individual to bring actions on behalf of the federal government alleging that the defendant has defrauded the federal government by submitting a false claim to the federal government and permit such individuals to share in any amounts paid by the entity to the government in fines or settlement. When an entity is determined to have violated the False Claims Act, it may be required to pay up to three times the actual damages sustained by the government, plus civil penalties ranging from $5,500 to $11,000 for each false claim.</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various states have enacted false claim laws analogous to the federal False Claims Act, although many of these state laws apply where a claim is submitted to any third-party payor and not merely a governmental payor program.</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for a claim that is false or fraudulent. This law also prohibits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25, 2018, the Substance Use-Disorder Prevention that Promoted Opioid Recovery and Treatment for Patients and Communities Act of 2018 (the “SUPPORT Act”) was enacted. The SUPPORT Act included the Eliminating Kickbacks in Recovery Act of 2018, or EKRA, which establishes an all-payor anti-kickback prohibition that extends to arrangements with recovery homes, clinical laboratories and clinical treatment facilities. EKRA includes a number of statutory exceptions, and directs agencies to develop further exceptions. Current exceptions in some cases reference and in others differ from the Anti-Kickback Statute safe harbors. Significantly, the prohibitions apply with respect to the soliciting or receipt of remuneration for any referrals to recovery homes, clinical treatment facilities, or clinical laboratories, whether or not related to treating substance use disorders. Further, the prohibitions cover the payment or offer of remuneration to induce a referral to, or in exchange for, an individual using the services of, such providers. This law creates additional risk that relationships with referral sources could be problematic.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Referral Prohibitions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a federal law directed at “self-referral,” commonly known as the “Stark Law,” there are prohibitions, with certain exceptions, on referrals for certain designated health services, including laboratory services, that are covered by the Medicare program by physicians who personally, or through an immediate family member, have a financial relationship with the entity to which the referrals for designated health services are made. The prohibition also extends to payment for any testing referred in violation of the Stark Law. A person who engages in a scheme to circumvent the Stark Law’s referral prohibition may be fined up to $100,000 for each such arrangement or scheme. In addition, any person who presents or causes to be presented a claim to the Medicare program in violation of the Stark Law is subject to civil monetary penalties of up to $15,000 per service, an assessment of up to three times the amount claimed and possible exclusion from participation in federal healthcare programs. In addition,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who presents or causes to be presented a claim to the Medicare program in violation of the Stark Law is subject to civil monetary penalties of up to $15,000 per service, an assessment of up to three times the amount claimed, and possible exclusion from participation in federal or state health care programs. Bills submitted in violation of the Stark Law may not be paid by Medicare, and any person collecting any amounts with respect to any such prohibited bill is obligated to refund such amounts. Many states have comparable laws that are not limited to Medicare referrals. The Stark Law also prohibits state receipt of Federal Medicaid matching funds for prohibited referrals, but this provision of the Stark Law has not been implemented by regulations. In addition, some courts have held that the submission of claims to Medicaid that would be prohibited as self-referrals under the Stark Law for Medicare could implicate the False Claims Act.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Practice of Medicine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Numerous states have enacted laws prohibiting business corporations, such as Sema4, from practicing medicine and employing or engaging physicians to practice medicine, generally referred to as the prohibition against the corporate practice of medicine. These laws are designed to prevent interference in the medical decision-making process by anyone who is not a licensed physician. For example, California’s Medical Board has indicated that determining what diagnostic tests are appropriate for a particular condition and taking responsibility for the ultimate overall care of the patient, including providing treatment options available to the patient, would constitute the unlicensed practice of medicine if performed by an unlicensed person. Violation of these corporate practice of medicine laws may result in civil or criminal fines, as well as sanctions imposed against us and/or the professional through licensure proceedings. Typically, such laws are only applicable to entities that have a physical presence in the state.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Genetic Privacy and Testing Laws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subject to myriad laws designed to establish safeguards regarding the conduct of genomic testing and analysis and to protect against the misuse of genetic information and human biological specimens, collectively, “samples,” from which genetic information can be derived. These laws vary in their scope and in the nature of their requirements and restrictions. For example, certain genetic privacy laws prohibit the retention of samples after performing a genomic analysis in addition to prohibiting the use or disclosure of genetic information for certain purposes, such as research, without appropriate informed consent from the individual or without sufficient anonymization. The applicability of such informed consent requirements may also depend on the identifiability of the genetic information or sample and the purposes of which it is used. Other laws may impose additional requirements, including requirements regarding institutional review board review and approval for certain research uses of genetic information or samples requirements to implement certain security controls in connection with the transfer of genetic information. We must comply with such genetic privacy and testing laws in our collection, use, disclosure, and retention of genetic information and samples.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 and Medical Regulations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federal physician payment transparency requirements (“Physician Payments Sunshine Act”) and its implementing regulations, which requires applicable manufacturers of covered drugs, devices, biologics and medical supplies for which payment is available under Medicare, Medicaid or the State Children’s Health Insurance Program, with certain exceptions, to annually report to HHS information related to certain payments or other transfers of value made or distributed to physicians, defined to include doctors, dentists, optometrists, podiatrists and chiropractors, and teaching hospitals, or to entities or individuals at the request of, or designated on behalf of, the physicians and teaching hospitals, as well as ownership and investment interests held by physicians and their immediate family members. The SUPPORT Act, under a provision entitled “Fighting the Opioid Epidemic with Sunshine,” extends the Physician Payments Sunshine Act to payments and transfers of value to physician assistants, nurse practitioners and other mid-level healthcare providers, with reporting requirements going into effect in 2022 for payments and transfers of value made to these practitioners in 2021.</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its comprehensive regulation of health and safety in the workplace in general, the Occupational Safety and Health Administration has established extensive requirements aimed specifically at laboratories and other healthcare-related facilities. In addition, because our operations require employees to use certain hazardous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chemicals, we also must comply with regulations on hazard communication and hazardous chemicals in laboratories. These regulations require us, among other things, to develop written programs and plans, which must address methods for preventing and mitigating employee exposure, the use of personal protective equipment, and training.</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commercialization activities subject us to regulations of the Department of Transportation, the U.S. Postal Service, and the Centers for Disease Control and Prevention that apply to the surface and air transportation of clinical laboratory specimens.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applicable state billing laws. Some states require that payment be made only to the person or entity who performed or supervised the service, while other states have passed anti-mark up and disclosure laws, an alternative but less enforceable approach to direct billing. Under these laws the non-performing person or entity is allowed to bill the client, but is prohibited from marking up the service, and required to disclose each charge to the patient, or patient’s insurer. Additionally, some states have strictly passed disclosure laws that require the non-performing person or entity to disclose to patients or the patient’s insurer the actual charges for all laboratory services.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Data Protection Laws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There are a growing number of jurisdictions all over the world that have privacy and data protection laws. These laws are typically triggered by a company’s establishment or physical location in the jurisdiction, data processing activities that take place in the jurisdiction, and/or the processing of personal information about individuals located in that jurisdiction. Certain international privacy and data protection laws, such as those in the European Union, can be more restrictive and prescriptive than those in the U.S., while other jurisdictions can have laws less restrictive or prescriptive than those in the U.S. Enforcement of these laws vary from jurisdiction to jurisdiction, with a variety of civil or criminal penalties, or private rights of action.</w:t>
      </w:r>
    </w:p>
    <w:p>
      <w:pPr>
        <w:spacing w:after="0" w:line="10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European Union’s General Data Protection Regulation (“GDPR”) took effect on May 25, 2018. The GDPR extraterritorially applies to a business outside the European Union that offers goods or services to, or monitors the behavior of individuals who are located in the European Union. The GDPR imposes strict requirements on controllers and processors of personal data, including enhanced protections for “special categories” of personal data, which includes sensitive information such as health and genetic information of data subjects in the European Union.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European Union, which may deviate from or be more restrictive than the GDPR, may result in significant administrative fines issued by European Union regulators.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The United Kingdom of Great Britain and Northern Ireland (“UK”) are no longer subject to EU law. Therefore, the GDPR will be brought into UK law as the ‘UK GDPR’ via a statutory instrument which will make technical amendments to the GDPR so that it works in a UK-only context. In Europe, there are also national laws that provide additional controls around the processing of health data.</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Payment Card Industry Data Security Standard (“PCI DSS”) was issued by the Payment Card Industry Security Standards Council and establishes industry standards for the processing of payment card information. While the PCI DSS requirements do not have the force of law, the penalties for noncompliance could include exclusion from payment card systems. To the extent that we collect payment card information when receiving payments of insurance premiums or payments for our products or services, we comply with PCI DSS as applicable to our payment environment and PCI DSS merchant level, which is determined by our volume of payment card transactions per 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FTC Act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an entity regulated by the Federal Trade Commission (“FTC”), we are subject to the FTC’s enforcement power under Section 5 of the Federal Trade Commission Act (“FTC Act”). The FTC has policed privacy and data security through its broad power under Section 5 of the FTC Act. Under Section 5, “unfair or deceptive acts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practices in or affecting commerce, are hereby declared unlawful.” Deceptive trade practices are defined by the FTC as material representations, omissions or practices that are likely to mislead a consumer acting reasonably in the circumstances to the consumer’s detriment. The FTC defines an “unfair” trade practice as one that “causes or is likely to cause substantial injury to consumers which is not reasonably avoidable by consumers themselves and is not outweighed by countervailing benefits to consumers or competition.”</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FTC has refrained from providing a checklist of uniformly acceptable data security practices or focusing on one single practice as actionable. Instead, the FTC has taken a holistic approach and relied on industry standards and other norms to identify a particular set of practices that, taken together, constitute adequate security practices for companies collecting personal information. In evaluating whether a data security practice is unfair, the FTC focuses largely on “substantial injury to consumers.” The harm need not be monetary or physical, though such injuries are commonly considered “substantial.” Further, the harm can consist of a risk rather than an actual loss.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CAN-SPAM Act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Controlling the Assault of Non-Solicited Pornography and Marketing Act of 2003 (“CAN-SPAM Act”) establishes rules for commercial electronic mail messages, gives recipients the right to opt out of certain messages, and establishes penalties for violations. We comply with the CAN-SPAM Act in connection with our transmittal of commercial electronic mail messages (“Commercial Email Messages”). Commercial Email Messages do not include emails that are informational or are transactional or relationship messages.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TCPA</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Telephone Consumer Protection Act of 1991 (“TCPA”) restricts the making of telemarketing calls and the use of automatic telephone dialing systems, artificial or prerecorded voice messages, SMS text messages, and facsimile transmissions. It also specifies several technical requirements for fax machines, autodialers, and voice messaging systems, principally with provisions requiring identification and contact information of the entity using the device to be contained in the message. We comply with TCPA in connection with our transmittal of automated, artificial, or prerecorded phone calls, SMS text messages, facsimile transmissions, and push notifications.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Consumer Privacy Act</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California Consumer Privacy Act (“CCPA”) is a comprehensive consumer privacy law that took effect on January 1, 2020, and regulates how certain for-profit businesses that do business in California collect, use, and disclose the personal information of consumers who reside in California. Among other things, the CCPA confers to California consumers the right to receive notice of the categories of personal information to be collected by a business, how the business will use and share the personal information, and the third parties who will receive the personal information; the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CCPA does not apply to personal information that is protected health information under HIPAA. The CCPA also does not apply to a HIPAA covered entity to the extent that the covered entity maintains patient information in the same manner as protected health information. We are subject to the CCPA with respect to personal information we collect from California consumers that is neither protected health information under HIPAA nor patient information that we maintain in the same manner as protected health information.</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California Attorney General has authority to enforce the CCPA and its implementing regulations against covered businesses beginning on July 1, 2020. The CCPA provides for civil penalties for violations, as well as private right of action for data breaches that result from a business’ failure to implement reasonable security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competitors include companies that offer molecular genetic testing and other clinical diagnostic, life science research, drug discovery services, data services and healthcare analytics, and consumer genetics products. Principal competitors include companies such as Myriad Genetics, Inc., Ambry Genetics Corporation, Color Genomics, Inc., Invitae Corporation, Natera, Inc., Tempus Labs, Inc., Quest Diagnostics, Inc., Laboratory Corporation of America Holdings (or LabCorp), Exact Sciences Corp., 10x Genomics, Inc., Guardant Health, Inc., and Adaptive Biotechnologies, Twist Biosciences Corp., and Schrödinger, Inc., as well as other commercial and academic diagnostic and analytic service providers. In addition to the companies that currently offer traditional genetic testing services and research centers, other established and emerging healthcare, information technology and service companies may commercialize competitive products including informatics, analysis, integrated genetic tools and services for health and wellness.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principal competitive factors in our market are:</w:t>
      </w:r>
    </w:p>
    <w:p>
      <w:pPr>
        <w:spacing w:after="0" w:line="171"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Patient-centric approach;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Breadth, depth, and quality of data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Price and quality of tests;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Turnaround time of testing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Coverage and reimbursement arrangements with third-party payors;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Depth and clinical applicability of interpretive insights;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Degree of utility of patient and provider facing applications;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Breadth of interpretive insights beyond just one episode of care;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Convenience of testing;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Brand recognition of test provider;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Additional value-added services and informatics tools;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Accessibility of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Client service;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Quality of website content;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Reliability</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believe that we compare favorably with our competitors on the basis of these factors. However, many of our competitors and potential competitors have longer operating histories, larger customer bases, greater brand recognition and market penetration, substantially greater financial, technological and research and development resources and selling and marketing capabilities, more experience dealing with third-party payors. As a result, they may be able to respond more quickly to changes in customer requirements, devote greater resources to the development, promotion and sale of their tests than Sema4 does, or sell their tests at prices designed to win significant levels of market share. We may not be able to compete effectively against these organizations.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operations require the use of hazardous materials (including biological materials) that subject us to a variety of federal, state, and local environmental and safety laws and regulations. Some of these regulations provide for strict liability, holding a party potentially liable without regard to fault or negligence. We could be held liable for damages and fines as a result of our, or our partners’, business operations should contamination of the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individual exposure to hazardous substances occur. We cannot predict how changes in laws or new regulations will affect our business operations or the cost of compliance.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Suppliers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rely on a limited number of suppliers, or, in some cases, sole suppliers, including Agilent Technologies, Inc., Illumina, Inc., Life Technologies Corporation, Agena Biosciences, Inc., MRC-Holland, Asuragen Inc., PerkinElmer Health Sciences, Inc., Fisher Scientific, Integra Biosciences Corporation, Thomas Scientific, Qiagen Inc., USA Scientific, Inc., Promega Corporation, Integrated DNA Technologies Incorporated, and Kapa Biosystems Inc., for certain laboratory reagents, as well as sequencers and other equipment and materials which we use in our laboratory operations. Our laboratory operations could be interrupted if we encounter delays or difficulties in securing these reagents, sequencers or other equipment or materials, and if we cannot obtain an acceptable substitute. Any such interruption could significantly affect our business, financial condition, results of operations and reputation. We believe that there are only a few other manufacturers that are currently capable of supplying and servicing the equipment necessary for our laboratory operations, including sequencers and various associated reagents. The use of equipment or materials provided by these replacement suppliers would require us to alter our laboratory operations. Transitioning to a new supplier would be time consuming and expensive, may result in interruptions in our laboratory operations, could affect the performance specifications of its laboratory operations or could require that we revalidate our tests. We cannot assure you that we would be able to secure alternative equipment, reagents, and other materials, or bring such equipment, reagents, and materials online and revalidate them without experiencing interruptions in our workflow. If we encounter delays or difficulties in securing, reconfiguring, or revalidating the equipment and reagents we require for our tests, our business and reputation could be adversely affected.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provide our health information products and services to a broad range of customers, including health plans (including managed care organizations and other health insurance providers); clinicians; hospitals; employers; patients; federally qualified health centers; and Biopharma companies. In addition, during 2020 and 2021, the customers for our COVID-19 tests included state governments.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Depending on the billing arrangement and applicable law, the clinician or healthcare entity that orders our products or services may not be responsible for paying for the products or services ordered for their patients. In certain circumstances, the patient may be responsible for payment, and in others we seek payment from third party payers, such as a commercial health insurance company, Medicare or a Medicaid program, pursuant to contracts established between us and such third parties.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2021, reimbursement from health plans represented 79% and 76% of our diagnostic test revenue and total revenue, respectively. In 2021, two health plans each represented 10% or more of our consolidated total revenue, and no other health plans or other customers represented 10% or more of our consolidated total 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Sema4 is mission driven. Our employees are passionate about changing healthcare and impacting lives. We attract entrepreneurs who are comfortable with ambiguity and thrive on innovation and thoughtful discourse. We empower our employees to iterate and rapidly execute on ideas.</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our People Team’s mission to connect people to purpose. We achieve this through enablement of excellence across the employment journey, through stewardship of an engaged and inclusive culture, by growing individual, team and organizational capability, in delivering simplification and innovation, and by sharing data-driven people insights that transform our organization. All of this is in service of driving our business forward and optimizing patient health outcomes.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delivering a competitive package of compensation and benefits that aims to attract and retain strong talent, in a very competitive talent marketplace. As of December 31, 2021, we had approximately 1,200 employees, of which 54% are women and 46% are men. Our headcount grew by approximately 33% in 2021, and we hired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500 employees in that timeframe, as a part of scaling our operations in connection with our transition to a public company and meeting our strategic priorities.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Diversity and Inclusion Council seeks to improve diversity, inclusion, equality, and global understanding by promoting dialogue, encouraging respectful understanding, providing information, participating in policy development, overseeing diversity education and training, and helping to foster respect for all employees. In 2022, we will be hosting our inaugural BIPOC Initiative Genomics Symposium, inviting select Ph.D. students and post doctorates for a two-day research symposium to strengthen our diverse hiring practices. Each attendee will present their original research, and will learn about science and career opportunities at Sema4.</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our corporate culture fosters innovation, creativity, and teamwork. In this past year, we launched several programs and processes, which intend to help build a driven culture of alignment, development, compliance, and respect. We are in our second year of formal performance management processes, which are used to drive organizational alignment and includes tracking top-down business priorities and people development goals. The launch of two promotion cycles focus and enable employee career growth and mobility. We also implemented formal people manager learning, in order to build stronger people management skills for our leaders. We have optimized processes and transformed our people management solution in order to have greater systems capability, access to robust reporting, and to strengthen our analytical horsepower.</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implemented a comprehensive compliance infrastructure, which advises Sema4 individuals and business affiliates on how to prevent, detect, report, and resolve matters of fraud, waste, threats, and abuse related to institutional policies and federal, state, and local laws and regulations. We have implemented various committees, councils and boards such as the Diversity &amp; Inclusion Council, Data Governance Board, and IRB Review Board. These groups provide guidance for our employees, to empower them to perform according to our legal and ethical standards. We observe legal, regulatory, and industry trends and comprehensively adapt internal policies and practices as needed. We educate our Board members, executives, and other key employees about conflicts of interest and advise how to prevent and detect potential or actual conflicts of interest to safeguard from inappropriate external influence or impropriety.</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look to further strengthen our people infrastructure in 2022 through enhanced engagement surveys, values and behaviors programming, and formal talent reviews, with development planning.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corporate headquarter is located at 333 Ludlow Street, North Tower, 8th Floor, Stamford, Connecticut 06902. Material lease agreements include offices and laboratory facilities as shown in the table below. We believe that our current facilities are suitable and adequate to meet our current needs.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Acquisition, two lawsuits were filed in federal courts against us and our directors. The complaints assert claims under Section 14(a) and Section 20(a) of the Exchange Act, and Rule 14a-19 promulgated thereunder, generally allege that the proxy statement we mailed to our stockholders in connection with the approval of certain matters related to the Acquisition misrepresented and/or omitted certain purportedly material information, and seek a variety of equitable and injunctive relief. In addition, five purported stockholders of our company have sent us demand letters making similar allegations about the proxy statement and demanding we provide supplemental disclosures. Although we believe that these allegations, claims and demands are without merit, we cannot predict the outcome of these legal proceedings, or whether additional stockholders will file lawsuits.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4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MANAGEMENT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names, ages as of April 29, 2022, and certain other information regarding our executive officers and directors: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29"/>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Executive Officers:</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120" w:type="dxa"/>
            <w:vAlign w:val="bottom"/>
            <w:tcBorders>
              <w:top w:val="single" w:sz="8" w:color="auto"/>
            </w:tcBorders>
            <w:shd w:val="clear" w:color="auto" w:fill="CCEEFF"/>
          </w:tcPr>
          <w:p>
            <w:pPr>
              <w:spacing w:after="0"/>
              <w:rPr>
                <w:sz w:val="19"/>
                <w:szCs w:val="19"/>
                <w:color w:val="auto"/>
              </w:rPr>
            </w:pP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Katherine Strueland</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29"/>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Jason Ryan</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Chairman and Director</w:t>
            </w:r>
          </w:p>
        </w:tc>
      </w:tr>
      <w:tr>
        <w:trPr>
          <w:trHeight w:val="230"/>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Isaac Ro</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Eric Schadt, Ph.D.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Chief Research &amp; Development Officer and Director</w:t>
            </w: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Daniel Clark, J.D.</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Secretary and General Counsel</w:t>
            </w:r>
          </w:p>
        </w:tc>
      </w:tr>
      <w:tr>
        <w:trPr>
          <w:trHeight w:val="23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Anthony Prentice</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Product Officer</w:t>
            </w: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Kareem Saad</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Business Officer</w:t>
            </w:r>
          </w:p>
        </w:tc>
      </w:tr>
      <w:tr>
        <w:trPr>
          <w:trHeight w:val="23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Karen White</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People Officer</w:t>
            </w: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b w:val="1"/>
                <w:bCs w:val="1"/>
                <w:color w:val="auto"/>
              </w:rPr>
              <w:t>Non-Employee Directors: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229"/>
        </w:trPr>
        <w:tc>
          <w:tcPr>
            <w:tcW w:w="5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Dennis Charney, M.D.</w:t>
            </w:r>
            <w:r>
              <w:rPr>
                <w:rFonts w:ascii="Arial" w:cs="Arial" w:eastAsia="Arial" w:hAnsi="Arial"/>
                <w:sz w:val="23"/>
                <w:szCs w:val="23"/>
                <w:color w:val="auto"/>
                <w:vertAlign w:val="superscript"/>
              </w:rPr>
              <w:t>(5)</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1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Eli D. Casdin</w:t>
            </w:r>
            <w:r>
              <w:rPr>
                <w:rFonts w:ascii="Arial" w:cs="Arial" w:eastAsia="Arial" w:hAnsi="Arial"/>
                <w:sz w:val="23"/>
                <w:szCs w:val="23"/>
                <w:color w:val="auto"/>
                <w:vertAlign w:val="superscript"/>
              </w:rPr>
              <w:t>(4)(6)</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Emily Leproust, Ph.D.</w:t>
            </w:r>
            <w:r>
              <w:rPr>
                <w:rFonts w:ascii="Arial" w:cs="Arial" w:eastAsia="Arial" w:hAnsi="Arial"/>
                <w:sz w:val="23"/>
                <w:szCs w:val="23"/>
                <w:color w:val="auto"/>
                <w:vertAlign w:val="superscript"/>
              </w:rPr>
              <w:t>(5)</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1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Keith A. Meister</w:t>
            </w:r>
            <w:r>
              <w:rPr>
                <w:rFonts w:ascii="Arial" w:cs="Arial" w:eastAsia="Arial" w:hAnsi="Arial"/>
                <w:sz w:val="23"/>
                <w:szCs w:val="23"/>
                <w:color w:val="auto"/>
                <w:vertAlign w:val="superscript"/>
              </w:rPr>
              <w:t>(1)</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Pellini, M.D.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Richard C. Pfenniger, Jr.</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Joshua Ruch</w:t>
            </w:r>
            <w:r>
              <w:rPr>
                <w:rFonts w:ascii="Arial" w:cs="Arial" w:eastAsia="Arial" w:hAnsi="Arial"/>
                <w:sz w:val="23"/>
                <w:szCs w:val="23"/>
                <w:color w:val="auto"/>
                <w:vertAlign w:val="superscript"/>
              </w:rPr>
              <w:t>(2)(4)</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304"/>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Rachel Sherman, M.D., M.P.H., F.A.C.P.</w:t>
            </w:r>
            <w:r>
              <w:rPr>
                <w:rFonts w:ascii="Arial" w:cs="Arial" w:eastAsia="Arial" w:hAnsi="Arial"/>
                <w:sz w:val="23"/>
                <w:szCs w:val="23"/>
                <w:color w:val="auto"/>
                <w:vertAlign w:val="superscript"/>
              </w:rPr>
              <w:t>(3)(6)</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Chair of the Audit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Chair of the Compensation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Chair of the Nominating and Corporate Governance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Katherine Stueland </w:t>
      </w:r>
      <w:r>
        <w:rPr>
          <w:rFonts w:ascii="Arial" w:cs="Arial" w:eastAsia="Arial" w:hAnsi="Arial"/>
          <w:sz w:val="17"/>
          <w:szCs w:val="17"/>
          <w:color w:val="auto"/>
        </w:rPr>
        <w:t>has served as our Chief Executive Officer and as a member of our Board since April 2022. Previously, Ms. Stueland served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and Chief Executive Officer of GeneDx from June 2021 to the closing of the Acquisition. Prior to joining GeneDx, Ms. Stueland served as the Chief Commercial Officer at Invitae Corporation, a biotechnology company, from October 2016 to June 2021 and as the Head of Communications and Investor Relations at Invitae Corporation from November 2013 to October 2016, during which time she helped Invitae Corporation transition from a private to a public company. Ms. Stueland previously served as the Principal at Vivo Communications, a technology company, from January 2013 to December 2013, and as the Vice President of Communications and Investor Relations at Dendreon Corporation, a biotechnology company, from September 2009 to June 2012. Ms. Stueland previously served on the board of the Rivkin Center, a non-profit organization dedicated to the treatment and prevention of cancer in women. Ms. Stueland earned a B.S. in English language and literature from Miami University of Ohio. Ms. Stueland’s extensive leadership experience as an executive officer of biotechnology companies and knowledge of GeneDx’s business provide her with the qualifications and skills to serve as a director on our Board.</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Jason Ryan </w:t>
      </w:r>
      <w:r>
        <w:rPr>
          <w:rFonts w:ascii="Arial" w:cs="Arial" w:eastAsia="Arial" w:hAnsi="Arial"/>
          <w:sz w:val="17"/>
          <w:szCs w:val="17"/>
          <w:color w:val="auto"/>
        </w:rPr>
        <w:t>has served as a member of our Board since July 2021, and as our Executive Chairman since January 2022. Mr. Ryan served as Chief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Financial Officer of Magenta Therapeutics, Inc., a biotechnology company, from January 2019 to November 2020. Prior to joining Magenta Therapeutics, Inc., Mr. Ryan previously served as Chief Financial Officer of Foundation Medicine, Inc., a molecular information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which became a wholly-owned subsidiary of Roche Holdings, Inc., from March 2015 to November 2018. Prior to his position as Chief Financial Officer of Foundation Medicine, Inc., Mr. Ryan served in various other finance roles at Foundation Medicine, including as Senior Vice President of Finance. Prior to joining Foundation Medicine, Inc., Mr. Ryan led the finance and strategic planning functions of various other life science companies including Taligen Therapeutics, Inc., Codon Devices Inc. and Genomics Collaborative, Inc. Mr. Ryan joined the board of directors of Singular Genomics Systems, Inc. in April 2021, and previously served on the board of directors of ArcherDX, Inc. (which was acquired by Invitae Corporation) from April 2020 to October 2020. He began his career at Deloitte &amp; Touche LLP. Mr. Ryan holds an M.B.A. from Babson College and a B.S. in economics from Bates College, and earned a C.P.A. in Massachusetts. Mr. Ryan’s extensive finance experience and his leadership experience in the life sciences and biopharmaceutical industries qualifies him to serve as a director on our Board.</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Isaac Ro </w:t>
      </w:r>
      <w:r>
        <w:rPr>
          <w:rFonts w:ascii="Arial" w:cs="Arial" w:eastAsia="Arial" w:hAnsi="Arial"/>
          <w:sz w:val="16"/>
          <w:szCs w:val="16"/>
          <w:color w:val="auto"/>
        </w:rPr>
        <w:t>has served as our Chief Financial Officer since July 2021. Mr. Ro previously served as Legacy Sema4’s Chief Financial Officer from February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to July 2021. Mr. Ro previously served as the Chief Financial Officer of Thrive Earlier Detection Corp., a company focused on early detection cancer screening, from June 2019 to February 2021, through Thrive’s sale to Exact Sciences Corporation in January 2021. From July 2010 to June 2019, Mr. Ro held roles of increasing responsibility at Goldman Sachs leading the U.S. Medical Technology team, including as Vice President. Prior to Goldman Sachs, Mr. Ro served as a Director at SVB Leerink from June 2004 to July 2010. Mr. Ro holds a B.A. in History, with honors, from Middlebury College.</w:t>
      </w:r>
    </w:p>
    <w:p>
      <w:pPr>
        <w:spacing w:after="0" w:line="10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Eric Schadt, Ph.D.</w:t>
      </w:r>
      <w:r>
        <w:rPr>
          <w:rFonts w:ascii="Arial" w:cs="Arial" w:eastAsia="Arial" w:hAnsi="Arial"/>
          <w:sz w:val="16"/>
          <w:szCs w:val="16"/>
          <w:color w:val="auto"/>
        </w:rPr>
        <w:t>, has served as our President and Chief Research &amp; Development Officer since April 2022 and as a member of our Board since July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Dr. Schadt previously served as our Chief Executive Officer from July 2021 to the closing of the Acquisition. Dr. Schadt was the founder of Legacy Sema4 and previously served as its Chief Executive Officer and as a member of its board of directors from June 2017 to July 2021. Dr. Schadt also serves as the Dean for Precision Medicine, and Mount Sinai Professor in Predictive Health and Computational Biology at the Icahn School of Medicine at Mount Sinai. Dr. Schadt was previously Founding Director of the Icahn Institute for Genomics and Multiscale Biology from September 2011 to June 2017, and Professor and Chair of the Department of Genetics and Genomic Sciences from August 2011 to June 2017. Dr. Schadt previously served as the Chief Scientific Officer at Pacific Biosciences of California, a biotechnology company, from May 2009 to July 2012, and as an Executive Director at Merck from July 2001 to May 2009. Dr. Schadt also currently serves on numerous boards of directors and scientific advisory boards for various private companies. Dr. Schadt earned his Ph.D. from the University of California, Los Angeles, his M.A. from the University of California, Davis, and his B.S. from California Polytechnic State University-San Luis Obispo. Dr. Schadt’s expertise in computational biology, genomics, health systems operating experience, and knowledge of Sema4’s business, years of senior management experience at a biotechnology company, and his service as a director of other biopharmaceutical companies provide him with the qualifications and skills to serve as a director on our Board.</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Daniel Clark, J.D.</w:t>
      </w:r>
      <w:r>
        <w:rPr>
          <w:rFonts w:ascii="Arial" w:cs="Arial" w:eastAsia="Arial" w:hAnsi="Arial"/>
          <w:sz w:val="18"/>
          <w:szCs w:val="18"/>
          <w:color w:val="auto"/>
        </w:rPr>
        <w:t>, has served as our General Counsel since July 2021. Mr. Clark previously served as Legacy Sema4’s General Counsel from March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July 2021 and Secretary from March 2016 to July 2021. From 2015 to May 2017, Mr. Clark served as the Senior Contracts Manager – Genetics &amp; Genomics at Mount Sinai Innovation Partners. Prior to joining Mount Sinai Innovation Partners, Mr. Clark practiced with two leading law firms in New York, clerked for Judge Frederic Block in the Eastern District of New York, and helped found a boutique startup law firm. Mr. Clark received his J.D. from the University of Michigan School of Law, cum laude, and his B.A. in Economics and Philosophy from Pomona College, cum laude. Mr. Clark also traveled as a Thomas J. Watson Fellow.</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Anthony Prentice </w:t>
      </w:r>
      <w:r>
        <w:rPr>
          <w:rFonts w:ascii="Arial" w:cs="Arial" w:eastAsia="Arial" w:hAnsi="Arial"/>
          <w:sz w:val="17"/>
          <w:szCs w:val="17"/>
          <w:color w:val="auto"/>
        </w:rPr>
        <w:t>has served as our Chief Product Officer since July 2021. Mr. Prentice previously served as Legacy Sema4’s Chief Product Officer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2016 to July 2021. Prior to joining Sema4, Mr. Prentice served in various roles of increasing responsibility at American Express from May 2005 to September 2016, including as the Vice President of Mobile Payments from August 2011 to September 2016 and as the Vice President of Gold Card Product Management from April 2010 to October 2011. Prior to joining American Express, Mr. Prentice served as the Director of Category Management at Starbucks Corp from 2002 to 2005, and as an Engagement Manager at McKinsey &amp; Company from 1998 to 2002. Mr. Prentice earned an M.B.A. from Columbia University and his B.S. in Mechanical Engineering from Cornell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Kareem Saad </w:t>
      </w:r>
      <w:r>
        <w:rPr>
          <w:rFonts w:ascii="Arial" w:cs="Arial" w:eastAsia="Arial" w:hAnsi="Arial"/>
          <w:sz w:val="16"/>
          <w:szCs w:val="16"/>
          <w:color w:val="auto"/>
        </w:rPr>
        <w:t>has served as our Chief Business Officer since July 2021. Mr. Saad previously served as Legacy Sema4’s Chief Business Officer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2021 to July 2021. Mr. Saad also previously served as the Chief Strategy Officer at Sema4 from October 2017 to January 2020. Prior to rejoining Sema4, Mr. Saad served as the President and Chief Operating Officer of Apervita, Inc., a healthcare technology company, from February 2020 to January 2021. Mr. Saad previously served as the Chief Commercial Officer and EVP of Strategy and Business Development of SourceMed, a healthcare technology company, between January 2015 and June 2017. Prior to joining SourceMed, Mr. Saad served as a National Sales Director and Manager in Dell’s Healthcare and Life Sciences division between June 2009 and July 2013, and as a Business Segment Executive in IBM’s Healthcare Life Sciences group from November 2001 to February 2006. Mr. Saad received an M.B.A. with a concentration in Economics and Finance from the University of Chicago and a B.S. in Biochemistry and Molecular Biology with a minor in Computer Science from the University of British Columbia.</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Karen White </w:t>
      </w:r>
      <w:r>
        <w:rPr>
          <w:rFonts w:ascii="Arial" w:cs="Arial" w:eastAsia="Arial" w:hAnsi="Arial"/>
          <w:sz w:val="17"/>
          <w:szCs w:val="17"/>
          <w:color w:val="auto"/>
        </w:rPr>
        <w:t>has served as our Chief People Officer since July 2021. Ms. White previously served as Legacy Sema4’s Chief People Officer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2020 to July 2021. Prior to joining Sema4, Ms. White was Vice President of Human Resources for Commercial Solutions at Syneos Health, Inc., a biopharmaceutical outsource services organization, from June 2016 to September 2020. Prior to the merger of inVentiv Health, Inc. and INC Research Holdings, Inc. in August 2017, and later rebranding to Syneos Health in January 2018, Ms. White served as Managing Director of Human Capital at inVentiv Health from June 2016 to August 2017. Prior to that, Ms. White served as Director of Talent Development at Memorial Sloan Kettering Cancer Center where she was employed from October 2011 to June 2016. Before October 2011, Ms. White held various positions at large global organizations such as Goldman Sachs Group Inc., International Business Machines Corp., and PricewaterhouseCoopers. Ms. White earned her M.B.A. from The George Washington University and her B.A. from Hobart and William Smith Colleges.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Dennis Charney, M.D., </w:t>
      </w:r>
      <w:r>
        <w:rPr>
          <w:rFonts w:ascii="Arial" w:cs="Arial" w:eastAsia="Arial" w:hAnsi="Arial"/>
          <w:sz w:val="16"/>
          <w:szCs w:val="16"/>
          <w:color w:val="auto"/>
        </w:rPr>
        <w:t>has served as a member of our Board since July 2021, and previously served as a member of Legacy Sema4’s board of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June 2017 to July 2021. Dr. Charney has served as the Anne and Joel Ehrenkranz Dean of the Icahn School of Medicine at Mount Sinai since March 2007, and as President for Academic Affairs for the Mount Sinai Health System since September 2013. From March 2005 to March 2007, Dr. Charney served as Dean for Academic and Scientific Affairs of the Icahn School of Medicine at Mount Sinai and Senior Vice President for Health Services of The Mount Sinai Medical Center. From 2007-2013, Dr. Charney served as the Dean of the School and Executive Vice President for Academic Affairs of the Medical Center. Dr. Charney first joined the Icahn School of Medicine at Mount Sinai in 2004 as Dean of Research. Prior to joining the Icahn School of Medicine at Mount Sinai, Dr. Charney led the Mood and Anxiety Disorder Research Program and the Experimental Therapeutics and Pathophysiology Branch at the National Institute of Mental Health, and he served as Professor of Psychiatry with tenure at Yale University from January 1990 to January 2000. Dr. Charney received his M.D. from Penn State College of Medicine and his B.A. from Rutgers University. Dr. Charney completed a residency in clinical psychiatry at Yale University School of Medicine and a fellowship in biological psychiatry at Connecticut Mental Health Center. Dr. Charney’s extensive medical and clinical experience in the biotechnology industry qualifies him to serve as a director on our Board.</w:t>
      </w:r>
    </w:p>
    <w:p>
      <w:pPr>
        <w:spacing w:after="0" w:line="11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Eli D. Casdin </w:t>
      </w:r>
      <w:r>
        <w:rPr>
          <w:rFonts w:ascii="Arial" w:cs="Arial" w:eastAsia="Arial" w:hAnsi="Arial"/>
          <w:sz w:val="17"/>
          <w:szCs w:val="17"/>
          <w:color w:val="auto"/>
        </w:rPr>
        <w:t>has served as a member of our Board since July 2020, and from, previously served as the Chief Executive Officer of CMLS from July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July 2021. Mr. Casdin founded Casdin Capital, LLC, an investment firm focused on the life sciences and healthcare industry, in November 2011 and currently serves as its Chief Investment Officer. Mr. Casdin also serves on the boards of directors of SomaLogic, Inc., a protein biomarker discovery and clinical diagnostics company (formerly, CM Life Sciences II Inc., a special purpose acquisition company (“CMLS II”)), since September 2021 (having previously served as the Chief Executive Officer of CMLS II from February 2021 to September 2021), and EQRx, Inc., a pharmaceutical company (formerly, CM Life Sciences III Inc., a special purpose acquisition company (“CMLS III”)), since December 2021 (having previously served as the Chief Executive Officer of CMLS III from February 2021 to December 2021). In addition, Mr. Casdin serves on the boards of directors of Century Therapeutics, Inc., a biotechnology company, since February 2021, Absci Corp, a drug and target discovery company, since December 2020, and Tenaya Therapeutics, Inc., a biotechnology company, since August 2019, and previously served on the board of directors of Exact Sciences Corp., a molecular diagnostics company focused on early cancer detection, treatment and monitoring, from October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2017 to September 2020. Mr. Casdin holds an M.B.A. from Columbia Business School and a B.S. degree from Columbia University School of General Studies. Mr. Casdin’s qualifications to serve on our Board include his extensive leadership experience as an executive officer of an investment firm, his extensive public and private company directorship experience in the life sciences and healthcare sectors, and his expertise in finance, capital markets, and the biotechnology industry.</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Emily Leproust, Ph.D., </w:t>
      </w:r>
      <w:r>
        <w:rPr>
          <w:rFonts w:ascii="Arial" w:cs="Arial" w:eastAsia="Arial" w:hAnsi="Arial"/>
          <w:sz w:val="16"/>
          <w:szCs w:val="16"/>
          <w:color w:val="auto"/>
        </w:rPr>
        <w:t>has served as a member of our Board since September 2020. Dr. Leproust has been President and Chief Executive Officer of Twist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Bioscience Corp., a biotechnology company, since co-founding Twist in 2013. Since October 2018, she has also served as Chair of the board of directors for Twist. Prior to co-founding Twist, Dr. Leproust served in various positions at Agilent Technologies, Inc., an analytical instrumentation development and manufacturing company, most recently as its Director, Applications and Chemistry R&amp;D from February 2009 to April 2013. Dr. Leproust holds a Ph.D. in Organic Chemistry from the University of Houston and a M.Sc. in Industrial Chemistry from the Lyon School of Industrial Chemistry. Dr. Leproust’s qualifications to serve on our Board include her extensive professional and educational experience in the life sciences industry.</w:t>
      </w:r>
    </w:p>
    <w:p>
      <w:pPr>
        <w:spacing w:after="0" w:line="11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Keith Meister </w:t>
      </w:r>
      <w:r>
        <w:rPr>
          <w:rFonts w:ascii="Arial" w:cs="Arial" w:eastAsia="Arial" w:hAnsi="Arial"/>
          <w:sz w:val="17"/>
          <w:szCs w:val="17"/>
          <w:color w:val="auto"/>
        </w:rPr>
        <w:t>has served as a member of our Board since January 2022, and previously served as the Chairman of the Board of CMLS from July 2020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July 2021. He founded Corvex Management LP, a New York based investment manager, in December 2010 and since its inception has served as its Managing Partner and Chief Investment Officer. From 2003 to 2010, Mr. Meister served as Chief Executive Officer and then Principal Executive Officer and Vice Chairman of the Board of Icahn Enterprises L.P. (Nasdaq: IEP), the primary investment vehicle for Carl Icahn. In addition, Mr. Meister previously served as Chairman of CMLS II from December 2020 to September 2021 and CMLS III from January 2021 to December 2021. Mr. Meister also serves on the Board of Directors of MGM Resorts International (NYSE: MGM), a global hospitality and entertainment company, and its affiliate Roar Digital. Mr. Meister has previously served on the Board of Directors of numerous other public companies in his career, including Yum! Brands Inc. (NYSE: YUM), The Williams Companies, Inc. (NYSE: WMB), ADT, Inc. (NYSE: ADT), Ralcorp Holdings, Inc. and Motorola, Inc. (now Motorola Solutions, Inc., NYSE: MSI/Motorola Mobility, Inc.). He is Chairman of the board of the Harlem Children’s Zone and also serves on the board of trustees of the American Museum of Natural History. Mr. Meister holds a B.A. degree in government from Harvard College where he graduated cum laude. His qualifications to serve on our board of directors include his extensive leadership experience as managing partner and executive officer of an investment firm and a diversified holding company, his extensive public company directorship experience in a variety of industries, and his expertise in finance, capital markets, strategic development, and risk management.</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Michael Pellini, M.D.</w:t>
      </w:r>
      <w:r>
        <w:rPr>
          <w:rFonts w:ascii="Arial" w:cs="Arial" w:eastAsia="Arial" w:hAnsi="Arial"/>
          <w:sz w:val="17"/>
          <w:szCs w:val="17"/>
          <w:color w:val="auto"/>
        </w:rPr>
        <w:t>, has served as a member of our Board since July 2021, and previously served as a member of Legacy Sema4’s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August 2019 to July 2020. Since December 2017, Dr. Pellini has served as a Managing Partner of Section 32, LLC, a technology and life sciences-based venture capital fund. Dr. Pellini held roles of increasing responsibility at Foundation Medicine, Inc., a molecular information company, which was acquired by F. Hoffmann-La Roche Ltd. in 2018, from May 2011 until its acquisition, including as Chairman of the board of directors, Chief Executive Officer and President. From April 2008 to April 2011, Dr. Pellini held the position of President and Chief Operating Officer at Clarient, Inc., a medical diagnostic services company, which was acquired by General Electric Healthcare Company in 2010, and also served on Clarient’s board of directors from May 2007 to April 2009. Dr. Pellini also previously served as Vice President, Life Sciences at Safeguard Scientifics, Inc., a private equity and venture capital firm from March 2007 to April 2008. Dr. Pellini currently serves as a member of the board of directors of Adaptive Biotechnologies Corporation, the GO2 Foundation, the Personalized Medicine Coalition, Singular Genomics Systems, Inc., the Mission Hospital Foundation and several private companies. Dr. Pellini earned an M.D. from Jefferson Medical College (now the Sidney Kimmel Medical College of Thomas Jefferson University), an M.B.A. from Drexel University, and a B.A. in Economics from Boston College. Dr. Pellini’s broad experience in the technology, health care and life sciences industries as an investor, and his years of senior management experience at public biotechnology companies, provides him with the qualifications and skills to serve as a director on our Board.</w:t>
      </w:r>
    </w:p>
    <w:p>
      <w:pPr>
        <w:spacing w:after="0" w:line="13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Richard C. Pfenniger, Jr. </w:t>
      </w:r>
      <w:r>
        <w:rPr>
          <w:rFonts w:ascii="Arial" w:cs="Arial" w:eastAsia="Arial" w:hAnsi="Arial"/>
          <w:sz w:val="16"/>
          <w:szCs w:val="16"/>
          <w:color w:val="auto"/>
        </w:rPr>
        <w:t>has served as a member of our Board since April 2022. Mr. Pfenniger is a private investor and has previously served as Interim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CEO of Vein Clinics of America, Inc., a privately held company that specializes in the treatment of vein disease, from May 2014 to February 2015 and as Interim CEO of IntegraMed America, Inc., a privately held company that manages outpatient fertility medical centers, from January 2013 to June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2013. He served as Chief Executive Officer and President for Continucare Corporation, a provider of primary care physician and practice management services, from 2003 until 2011, and served as Chairman of the Board of Directors of Continucare Corporation from 2002 until 2011. Previously, Mr. Pfenniger served as the Chief Executive Officer and Vice Chairman of Whitman Education Group, Inc. from 1997 through June 2003. Prior to joining Whitman, he served as the Chief Operating Officer of IVAX from 1994 to 1997, and, from 1989 to 1994, he served as the Senior Vice President-Legal Affairs and General Counsel of IVAX Corporation. Prior thereto he was engaged in the private practice of law. Mr. Pfenniger currently serves as a director of OPKO Health, Inc., a medical test and medication company focused on diagnostics and pharmaceuticals, GP Strategies Corporation, a corporate education and training company, and Asensus Surgical, Inc., a medical device company. He also serves as the Vice Chairman of the Board of Trustees and as a member of the Executive Committee of the Phillip and Patricia Frost Museum of Science. Mr. Pfenniger previously served as a director of BioCardia, Inc., clinical-stage regenerative medicine company developing novel therapeutics for cardiovascular diseases, IntegraMed America, Inc., a private specialty healthcare services company offering products and services to patients and providers in the fertility and vein care segments of the health industry, Vein Clinics of America and Wright Investors’ Services Holdings, Inc., an investment management and financial advisory firm. Mr. Pfenniger’s experience as a chief executive officer, chief operating officer and general counsel, and knowledge of the healthcare business provide him with the qualifications and skills to serve as a director on our Board.</w:t>
      </w:r>
    </w:p>
    <w:p>
      <w:pPr>
        <w:spacing w:after="0" w:line="13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Joshua Ruch </w:t>
      </w:r>
      <w:r>
        <w:rPr>
          <w:rFonts w:ascii="Arial" w:cs="Arial" w:eastAsia="Arial" w:hAnsi="Arial"/>
          <w:sz w:val="17"/>
          <w:szCs w:val="17"/>
          <w:color w:val="auto"/>
        </w:rPr>
        <w:t>has served as a member of our Board since July 2021, and previously served as the Chairman of our Board from July 2021 to January 2022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 a member of Legacy Sema4’s board of directors from November 2017 to July 2021. Mr. Ruch is also a managing partner and co-founder of Rho Capital Partners, an investment and venture capital management company focused on innovative technology, and has held such positions since the founding of Rho Capital Partners in 1981. Prior to co-founding Rho Capital Partners and Rho Ventures in 1981, Mr. Ruch worked as an investment banker at Salomon Brothers in New York, a multinational investment bank. In addition to Sema4, Mr. Ruch is also a trustee of the Mount Sinai Health System, Carnegie Hall and the National Humanities Center, and is a member of the Board of Governors of the Technion – Israel Institute of Technology and the Steering Committee of the Jacobs Institute. Joshua received an M.B.A. from the Harvard Business School and a B.S. in electrical engineering from the Technion – Israel Institute of Technology in Haifa, Israel. Mr. Ruch’s broad experience as an investor and serving on the boards of emerging technology companies, including health care and biotechnology companies, qualifies him to serve on our Board.</w:t>
      </w:r>
    </w:p>
    <w:p>
      <w:pPr>
        <w:spacing w:after="0" w:line="1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Rachel Sherman, M.D., </w:t>
      </w:r>
      <w:r>
        <w:rPr>
          <w:rFonts w:ascii="Arial" w:cs="Arial" w:eastAsia="Arial" w:hAnsi="Arial"/>
          <w:sz w:val="16"/>
          <w:szCs w:val="16"/>
          <w:color w:val="auto"/>
        </w:rPr>
        <w:t>M.P.H., F.A.C.P., has served as a member of our Board since July 2021, previously served as a member of Legacy Sema4’s 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directors from March 2020 to July 2021. Dr. Sherman is currently the President of Rachel Sherman Partners LLC, a drug development, regulatory, and policy consulting firm she founded in 2019, and a clinical lecturer at Harvard Pilgrim Health Care Institute. Dr. Sherman also currently serves as a member of the Board of Directors for Aptinyx Inc., a biopharmaceutical company. From May 2017 to January 2019, Dr. Sherman served as Principal Deputy Commissioner at the U.S. Food and Drug Administration (FDA), where she spent nearly 30 years in medical product development and regulation. Dr. Sherman also served in additional roles at the FDA including as deputy commissioner for Medical Products and Tobacco in the Office of the Commissioner and director of the Office of Medical Policy in the Center for Drug Evaluation and Research. Dr. Sherman earned an M.D. from Mount Sinai School of Medicine, an M.P.H from The School of Hygiene and Public Health at Johns Hopkins University and an A.B. in mathematics from Washington University (St. Louis). Dr. Sherman’s medical and regulatory experience across a broad range of subject matters, including biosimilars, expedited drug development, prescription drug promotion, and active post-market surveillance provides her with the qualifications and skills to serve on our Board.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familial relationships among our executive officers or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Board oversees our business affairs and works with our CEO and other senior management to determine our strategy and mission. In fulfilling its responsibilities, our Board is involved in strategic and operational planning, financial reporting, governance, compliance and risk oversight.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rules of Nasdaq require that a majority of the Company’s Board be independent. An “independent director” is defined generally as a person other than an executive officer or employee the Company or any other individual having a relationship which, in the opinion of the issuer’s board of directors, would interfere with the exercise of independent judgement in carrying out the responsibilities of a director. Our Board has determined that each individual currently serving on our board, other than Dr. Schadt, Ms. Stueland and Mr. Ryan, qualifies as an independent director under Nasdaq listing standards.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the terms of our Certificate of Incorporation, the Board consists of 12 members and is divided into three classes of directors, which serve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The Board is divided among the three classes as follows:</w:t>
      </w:r>
    </w:p>
    <w:p>
      <w:pPr>
        <w:spacing w:after="0" w:line="117" w:lineRule="exact"/>
        <w:rPr>
          <w:sz w:val="20"/>
          <w:szCs w:val="20"/>
          <w:color w:val="auto"/>
        </w:rPr>
      </w:pPr>
    </w:p>
    <w:p>
      <w:pPr>
        <w:ind w:left="660" w:right="2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Class I directors are Eli D. Casdin, Joshua Ruch and Michael Pellini, and their terms will expire at annual meeting of stockholders to be held in 2025;</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Class II directors are Rachel Sherman, Eric Schadt and Dennis Charney, and their terms will expire at the annual meeting of stockholders to be held in 2023;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Class III directors are Emily Leproust, Jason Ryan, Keith Meister, Katherine Stueland and Richard C. Pfenniger, Jr., and their terms will expire at the annual meeting of stockholders to be held in 2024.</w:t>
      </w:r>
    </w:p>
    <w:p>
      <w:pPr>
        <w:spacing w:after="0" w:line="1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Each director’s term continues until the election and qualification of his or her successor, or his or her earlier death, resignation, or removal. The Certificate of Incorporation and Bylaws authorize only the Board to fill vacancies on the Board.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the section titled “</w:t>
      </w:r>
      <w:r>
        <w:rPr>
          <w:rFonts w:ascii="Arial" w:cs="Arial" w:eastAsia="Arial" w:hAnsi="Arial"/>
          <w:sz w:val="18"/>
          <w:szCs w:val="18"/>
          <w:i w:val="1"/>
          <w:iCs w:val="1"/>
          <w:color w:val="auto"/>
        </w:rPr>
        <w:t>Description of Capital Stock — Certain Anti-Takeover</w:t>
      </w:r>
      <w:r>
        <w:rPr>
          <w:rFonts w:ascii="Arial" w:cs="Arial" w:eastAsia="Arial" w:hAnsi="Arial"/>
          <w:sz w:val="18"/>
          <w:szCs w:val="18"/>
          <w:color w:val="auto"/>
        </w:rPr>
        <w:t xml:space="preserve"> </w:t>
      </w:r>
      <w:r>
        <w:rPr>
          <w:rFonts w:ascii="Arial" w:cs="Arial" w:eastAsia="Arial" w:hAnsi="Arial"/>
          <w:sz w:val="18"/>
          <w:szCs w:val="18"/>
          <w:i w:val="1"/>
          <w:iCs w:val="1"/>
          <w:color w:val="auto"/>
        </w:rPr>
        <w:t>Provisions of Delaware Law and Our Certificate of Incorporation and Bylaws</w:t>
      </w:r>
      <w:r>
        <w:rPr>
          <w:rFonts w:ascii="Arial" w:cs="Arial" w:eastAsia="Arial" w:hAnsi="Arial"/>
          <w:sz w:val="18"/>
          <w:szCs w:val="18"/>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Board has the authority to appoint standing and special committees to perform certain management and administration functions. Our Board has established a standing audit committee, a standing compensation committee, and a standing nominating and corporate governance committee. The composition and responsibilities of each committee are described below. Members serve on these committees until their resignation or until otherwise determined by the Board. The charters for each of these committees are available on our website at </w:t>
      </w:r>
      <w:r>
        <w:rPr>
          <w:rFonts w:ascii="Arial" w:cs="Arial" w:eastAsia="Arial" w:hAnsi="Arial"/>
          <w:sz w:val="18"/>
          <w:szCs w:val="18"/>
          <w:i w:val="1"/>
          <w:iCs w:val="1"/>
          <w:color w:val="auto"/>
        </w:rPr>
        <w:t>www.Sema4.com.</w:t>
      </w:r>
      <w:r>
        <w:rPr>
          <w:rFonts w:ascii="Arial" w:cs="Arial" w:eastAsia="Arial" w:hAnsi="Arial"/>
          <w:sz w:val="18"/>
          <w:szCs w:val="18"/>
          <w:color w:val="auto"/>
        </w:rPr>
        <w:t xml:space="preserve"> Information contained on or accessible through our website is not a part of this prospectus, and the inclusion of such website address in this prospectus is an inactive textual reference only.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 committee is comprised of Keith Meister, Dennis Charney and Emily Leproust, with Mr. Meister as the chairman of our audit committee. The Board has determined that the composition of our audit committee meets the requirements for independence under the current Nasdaq and SEC rules and regulations, and that each member of the audit committee is financially literate. In addition, the Board has determined that Mr. Meister is an “audit committee financial expert” as defined in Item 407(d)(5)(ii) of Regulation S-K promulgated under the Securities Act. This designation does not impose on him or her any duties, obligations or liabilities that are greater than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generally imposed on members of our audit committee and our Board. Our audit committee is directly responsible for, among other things:</w:t>
      </w:r>
    </w:p>
    <w:p>
      <w:pPr>
        <w:spacing w:after="0" w:line="171" w:lineRule="exact"/>
        <w:rPr>
          <w:sz w:val="20"/>
          <w:szCs w:val="20"/>
          <w:color w:val="auto"/>
        </w:rPr>
      </w:pPr>
    </w:p>
    <w:p>
      <w:pPr>
        <w:jc w:val="both"/>
        <w:ind w:left="660" w:hanging="328"/>
        <w:spacing w:after="0" w:line="263"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auditors our quarterly and annual financial results and earnings releases, our annual audited and quarterly unaudited financial statements and annual and quarterly reports on Form 10-K and 10-Q and recommend to the Board whether the annual financial statements should be included in our Annual Report on Form 10-K;</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selecting and hiring the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monitoring the qualifications, independence and performance of our independent auditors;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preparation of the audit committee report to be included in the proxy statement for our annual meeting;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overseeing our accounting and financial reporting processes, including our financial statement audits and the integrity of our financial statements;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and approving related-person transactions;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overseeing our financial risks, enterprise exposures, cybersecurity risks and other risks as it deems necessary or appropriate.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compensation committee is comprised of Joshua Ruch, Rachel Sherman and Eli Casdin, with Mr. Ruch as the chairman of our compensation committee. The Board has determined that each member of our compensation committee is a non-employee director, as defined by Rule 16b-3 promulgated under the Exchange Act, and meets the requirements for independence under the current Nasdaq listing standards and SEC rules and regulations. Our compensation committee is responsible for, among other things:</w:t>
      </w:r>
    </w:p>
    <w:p>
      <w:pPr>
        <w:spacing w:after="0" w:line="133"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evaluating, recommending, approving and reviewing executive officer compensation arrangements, plans, policies and programs;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evaluating and recommending non-employee director compensation arrangements for determination by our Board;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administering our cash-based and equity-based compensation plans; and</w:t>
      </w:r>
    </w:p>
    <w:p>
      <w:pPr>
        <w:spacing w:after="0" w:line="171" w:lineRule="exact"/>
        <w:rPr>
          <w:rFonts w:ascii="Arial" w:cs="Arial" w:eastAsia="Arial" w:hAnsi="Arial"/>
          <w:sz w:val="18"/>
          <w:szCs w:val="18"/>
          <w:color w:val="auto"/>
        </w:rPr>
      </w:pPr>
    </w:p>
    <w:p>
      <w:pPr>
        <w:ind w:right="1380" w:firstLine="332"/>
        <w:spacing w:after="0" w:line="438" w:lineRule="auto"/>
        <w:tabs>
          <w:tab w:leader="none" w:pos="643" w:val="left"/>
        </w:tabs>
        <w:numPr>
          <w:ilvl w:val="0"/>
          <w:numId w:val="54"/>
        </w:numPr>
        <w:rPr>
          <w:rFonts w:ascii="Arial" w:cs="Arial" w:eastAsia="Arial" w:hAnsi="Arial"/>
          <w:sz w:val="18"/>
          <w:szCs w:val="18"/>
          <w:color w:val="auto"/>
        </w:rPr>
      </w:pPr>
      <w:r>
        <w:rPr>
          <w:rFonts w:ascii="Arial" w:cs="Arial" w:eastAsia="Arial" w:hAnsi="Arial"/>
          <w:sz w:val="18"/>
          <w:szCs w:val="18"/>
          <w:color w:val="auto"/>
        </w:rPr>
        <w:t>overseeing our compliance with regulatory requirements associated with the compensation of directors, officers and employees. The compensation committee may retain compensation advisors and other compensation consultants.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Compensation Consultant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compensation committee has the authority to retain the services and obtain the advice of external advisors, including compensation consultants, legal counsel and other advisors to assist in the evaluation of executive officer compensation. The compensation committee has engaged Radford Data &amp; Analytics of Aon, our independent compensation consultant (“Radford”) to conduct an executive compensation market analysis and review of our short-term cash and long-term equity incentive practices to help ensure they align with market practices. Radford reviewed and advised on all principal aspects of our executive compensation program, including:</w:t>
      </w:r>
    </w:p>
    <w:p>
      <w:pPr>
        <w:spacing w:after="0" w:line="134"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Assisting in developing a peer group of publicly traded companies to be used to help assess the competitiveness of executive compensation;</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Assisting in ensuring a competitive compensation framework;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44" w:lineRule="exact"/>
        <w:rPr>
          <w:sz w:val="20"/>
          <w:szCs w:val="20"/>
          <w:color w:val="auto"/>
        </w:rPr>
      </w:pPr>
    </w:p>
    <w:p>
      <w:pPr>
        <w:ind w:left="660" w:hanging="328"/>
        <w:spacing w:after="0" w:line="27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Meeting regularly with the compensation committee to review all elements of executive compensation, including the competitiveness of our executive compensation program;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Assisting in the competitive assessment of the short-term cash and long-term equity incentive plans designs;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Assisting in the risk assessment of our compensation program.</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Outside of its services to the compensation committee, Radford provides no other services to us. The compensation committee evaluated the independence of Radford and determined that it is independent. The compensation committee also determined that Radford’s work for the Company in 2021 did not raise any conflicts of interest.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Compensation Committee and Executive Officers in Compensation Decisions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compensation committee works in close collaboration with the full Board on executive compensation matters. Following the adoption of our compensation committee charter, our compensation committee has adopted a practice of informing and consulting with the full Board concerning the establishment of performance goals and objectives for our Chief Executive Officer, evaluating our Chief Executive Officer’s performance in light of the goals and objectives that were set, and determining the Chief Executive Officer’s compensation based on that evaluation. Our Chief Executive Officer serves on our Board but may not be present during any determinations and deliberations about her compensation. For fiscal year 2021, our former Chief Executive Officer, Eric Schadt, prepared an analysis for the compensation committee recommending each element of compensation to be paid to all other executive officers. The compensation committee considered his recommendations, along with an analysis from Radford, in approving the compensation of our other executive officers.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nominating and governance committee is comprised of Joshua Ruch, Rachel Sherman and Eli Casdin with Dr. Sherman as the chairwoman of our nominating and governance committee. The Board has determined that each member of our nominating and governance committee meets the requirements for independence under the current Nasdaq listing standards. Our nominating and governance committee is responsible for, among other things:</w:t>
      </w:r>
    </w:p>
    <w:p>
      <w:pPr>
        <w:spacing w:after="0" w:line="95"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identifying, considering and recommending candidates for membership on our Board;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advising our Board on other corporate governance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the exception of a 9-month lockup established in the employment agreements entered into in June and July 2021 with Eric Schadt, Isaac Ro, Daniel Clark, James Coffin, Anthony Prentice, Kareem Saad and Karen White in connection with the closing of our 2021 SPAC merger transaction, we have not established any stock ownership requirements for our executives.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and Committee Meetings and Attendance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Board and its committees meet throughout the year on a pre-determined schedule and also hold special meetings and act by written consent from time to time.</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2021, the Board met six times (including telephonic meetings) and took action by unanimous written consent four times. During 2021, our audit committee met three times and took action by unanimous written consent one time, our compensation committee met three times and took action by unanimous written consent two times, and our nominating and governance committee did not meet. In addition to the official meetings, the Board also had a number of informational meetings throughout the year to update the Board on various strategic initiatives,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Acquisition. Each director attended at least 75% of the meetings held by the Board and by each committee on which he or she served while he or she was a director during the year, except for Nat Turner.</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acknowledge the value of having directors with significant experience in other businesses and activities. Effective service requires substantial commitment, but we recognize that the demands of other business activities vary substantially; therefore, we do not consider it necessary to impose specific limits on such activities so long as directors are sufficiently attentive and available to fulfill their duties and so long as directors comply at all times with our conflict of interests policies.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Attendance at Annual Meetings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do not have a formal policy regarding attendance by members of the Board at each annual meeting of stockholders, we encourage all of our directors to attend in person, or virtually, depending on the meeting format. In fiscal year 2021, all of the directors serving at the time of last year’s special meeting, which was held as a special meeting in lieu of our annual meeting, attended that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adopted a Code of Business Conduct and Ethics that applies to all of our employees, officers and directors, including those officers responsible for financial reporting. The Code of Business Conduct and Ethics is available on our website at </w:t>
      </w:r>
      <w:r>
        <w:rPr>
          <w:rFonts w:ascii="Arial" w:cs="Arial" w:eastAsia="Arial" w:hAnsi="Arial"/>
          <w:sz w:val="18"/>
          <w:szCs w:val="18"/>
          <w:i w:val="1"/>
          <w:iCs w:val="1"/>
          <w:color w:val="auto"/>
        </w:rPr>
        <w:t>www.Sema4.com.</w:t>
      </w:r>
      <w:r>
        <w:rPr>
          <w:rFonts w:ascii="Arial" w:cs="Arial" w:eastAsia="Arial" w:hAnsi="Arial"/>
          <w:sz w:val="18"/>
          <w:szCs w:val="18"/>
          <w:color w:val="auto"/>
        </w:rPr>
        <w:t xml:space="preserve"> Information contained on or accessible through such website is not a part of this prospectus, and the inclusion of the website address in this prospectus is an inactive textual reference only. We intend to disclose any amendments to the Code of Business Conduct and Ethics, or any waivers of its requirements, on our website to the extent required by the applicable rules and exchange requirements.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Guidelines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Our Board has adopted Corporate Governance Guidelines that set forth expectations for directors, director independence standards, board committee structure and functions, stock ownership guidelines, and other policies for the governance of the Company. Under our Corporate Governance Guidelines, at all times, a majority of our directors will be independent, which means, generally, that they will not have any connections to us that could affect their ability to provide impartial oversight. Specifically, these directors will meet the independence requirements of the applicable rules, regulations and listing standards of the stock exchange on which our securities are listed for trading. Our Corporate Governance Guidelines are available without charge on the investor relations section of our website at </w:t>
      </w:r>
      <w:r>
        <w:rPr>
          <w:rFonts w:ascii="Arial" w:cs="Arial" w:eastAsia="Arial" w:hAnsi="Arial"/>
          <w:sz w:val="17"/>
          <w:szCs w:val="17"/>
          <w:i w:val="1"/>
          <w:iCs w:val="1"/>
          <w:color w:val="auto"/>
        </w:rPr>
        <w:t>www.Sema4.com</w:t>
      </w:r>
      <w:r>
        <w:rPr>
          <w:rFonts w:ascii="Arial" w:cs="Arial" w:eastAsia="Arial" w:hAnsi="Arial"/>
          <w:sz w:val="17"/>
          <w:szCs w:val="17"/>
          <w:color w:val="auto"/>
        </w:rPr>
        <w:t>. Information contained on or accessible through such website is not a part of this prospectus, and the inclusion of the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of our Executive Compensation Program</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main objectives of our executive compensation program are to create a competitive total rewards package to attract, retain and incent qualified executive officers who will lead us to long-term success and enhance stockholder value based on the balanced attainment of short-term performance objectives and long-term strategic goals. Each element of our compensation program supports these objectives.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our Named Executive Officers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and accompanying narrative disclosure set forth information about the compensation earned by our named executive officers for the year ended December 31, 2021, who were:</w:t>
      </w:r>
    </w:p>
    <w:p>
      <w:pPr>
        <w:spacing w:after="0" w:line="116" w:lineRule="exact"/>
        <w:rPr>
          <w:sz w:val="20"/>
          <w:szCs w:val="20"/>
          <w:color w:val="auto"/>
        </w:rPr>
      </w:pPr>
    </w:p>
    <w:p>
      <w:pPr>
        <w:ind w:left="660" w:hanging="328"/>
        <w:spacing w:after="0" w:line="27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Eric Schadt, Ph.D., our President and Chief Research and Development Officer, and former Chief Executive Officer for the year ended December 31, 2021,</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Isaac Ro, our Chief Financial Officer,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James Coffin, Ph.D., our former President and Chief Operating Officer.</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named executive officers’ compensation primarily consists of (1) base salary, (2) annual discretionary cash bonus and (3) equity incentive awards. Our named executive officers, during their employment with us, are also eligible to participate in the same retirement and health and welfare benefit plans as its other full-time employees.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Summary Compensation Table</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and earned by our named executive officers during the year ended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7"/>
                <w:szCs w:val="17"/>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Year</w:t>
            </w: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Salary ($)</w:t>
            </w: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18"/>
                <w:szCs w:val="18"/>
                <w:b w:val="1"/>
                <w:bCs w:val="1"/>
                <w:color w:val="auto"/>
                <w:vertAlign w:val="superscript"/>
              </w:rPr>
              <w:t>(1)</w:t>
            </w: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Stock Awards</w:t>
            </w: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Option Awards ($)</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108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340" w:type="dxa"/>
            <w:vAlign w:val="bottom"/>
          </w:tcPr>
          <w:p>
            <w:pPr>
              <w:jc w:val="right"/>
              <w:ind w:right="442"/>
              <w:spacing w:after="0" w:line="17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(2)</w:t>
            </w:r>
          </w:p>
        </w:tc>
        <w:tc>
          <w:tcPr>
            <w:tcW w:w="100" w:type="dxa"/>
            <w:vAlign w:val="bottom"/>
          </w:tcPr>
          <w:p>
            <w:pPr>
              <w:spacing w:after="0"/>
              <w:rPr>
                <w:sz w:val="15"/>
                <w:szCs w:val="15"/>
                <w:color w:val="auto"/>
              </w:rPr>
            </w:pPr>
          </w:p>
        </w:tc>
        <w:tc>
          <w:tcPr>
            <w:tcW w:w="1200" w:type="dxa"/>
            <w:vAlign w:val="bottom"/>
          </w:tcPr>
          <w:p>
            <w:pPr>
              <w:jc w:val="right"/>
              <w:ind w:right="465"/>
              <w:spacing w:after="0"/>
              <w:rPr>
                <w:sz w:val="20"/>
                <w:szCs w:val="20"/>
                <w:color w:val="auto"/>
              </w:rPr>
            </w:pPr>
            <w:r>
              <w:rPr>
                <w:rFonts w:ascii="Arial" w:cs="Arial" w:eastAsia="Arial" w:hAnsi="Arial"/>
                <w:sz w:val="9"/>
                <w:szCs w:val="9"/>
                <w:b w:val="1"/>
                <w:bCs w:val="1"/>
                <w:color w:val="auto"/>
              </w:rPr>
              <w:t>(2)</w:t>
            </w:r>
          </w:p>
        </w:tc>
        <w:tc>
          <w:tcPr>
            <w:tcW w:w="100" w:type="dxa"/>
            <w:vAlign w:val="bottom"/>
          </w:tcPr>
          <w:p>
            <w:pPr>
              <w:spacing w:after="0"/>
              <w:rPr>
                <w:sz w:val="15"/>
                <w:szCs w:val="15"/>
                <w:color w:val="auto"/>
              </w:rPr>
            </w:pPr>
          </w:p>
        </w:tc>
        <w:tc>
          <w:tcPr>
            <w:tcW w:w="1400" w:type="dxa"/>
            <w:vAlign w:val="bottom"/>
            <w:gridSpan w:val="2"/>
          </w:tcPr>
          <w:p>
            <w:pPr>
              <w:jc w:val="center"/>
              <w:ind w:right="80"/>
              <w:spacing w:after="0" w:line="176" w:lineRule="exact"/>
              <w:rPr>
                <w:sz w:val="20"/>
                <w:szCs w:val="20"/>
                <w:color w:val="auto"/>
              </w:rPr>
            </w:pPr>
            <w:r>
              <w:rPr>
                <w:rFonts w:ascii="Arial" w:cs="Arial" w:eastAsia="Arial" w:hAnsi="Arial"/>
                <w:sz w:val="14"/>
                <w:szCs w:val="14"/>
                <w:b w:val="1"/>
                <w:bCs w:val="1"/>
                <w:color w:val="auto"/>
                <w:w w:val="90"/>
              </w:rPr>
              <w:t>Compensation ($)</w:t>
            </w:r>
            <w:r>
              <w:rPr>
                <w:rFonts w:ascii="Arial" w:cs="Arial" w:eastAsia="Arial" w:hAnsi="Arial"/>
                <w:sz w:val="18"/>
                <w:szCs w:val="18"/>
                <w:b w:val="1"/>
                <w:bCs w:val="1"/>
                <w:color w:val="auto"/>
                <w:w w:val="90"/>
                <w:vertAlign w:val="superscript"/>
              </w:rPr>
              <w:t>(3)</w:t>
            </w: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3040" w:type="dxa"/>
            <w:vAlign w:val="bottom"/>
            <w:tcBorders>
              <w:top w:val="single" w:sz="8" w:color="auto"/>
            </w:tcBorders>
            <w:shd w:val="clear" w:color="auto" w:fill="CCEEFF"/>
          </w:tcPr>
          <w:p>
            <w:pPr>
              <w:ind w:left="20"/>
              <w:spacing w:after="0" w:line="159" w:lineRule="exact"/>
              <w:rPr>
                <w:sz w:val="20"/>
                <w:szCs w:val="20"/>
                <w:color w:val="auto"/>
              </w:rPr>
            </w:pPr>
            <w:r>
              <w:rPr>
                <w:rFonts w:ascii="Arial" w:cs="Arial" w:eastAsia="Arial" w:hAnsi="Arial"/>
                <w:sz w:val="16"/>
                <w:szCs w:val="16"/>
                <w:color w:val="auto"/>
              </w:rPr>
              <w:t>Eric Schadt, Ph.D.</w:t>
            </w: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i w:val="1"/>
                <w:iCs w:val="1"/>
                <w:color w:val="auto"/>
                <w:w w:val="94"/>
              </w:rPr>
              <w:t>President, Chief Research and Development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i w:val="1"/>
                <w:iCs w:val="1"/>
                <w:color w:val="auto"/>
              </w:rPr>
              <w:t>Officer, Former Chief Executive Officer,</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650,000</w:t>
            </w:r>
          </w:p>
        </w:tc>
        <w:tc>
          <w:tcPr>
            <w:tcW w:w="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513,000</w:t>
            </w:r>
          </w:p>
        </w:tc>
        <w:tc>
          <w:tcPr>
            <w:tcW w:w="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10,699,239</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3,867,064</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41,533</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15,770,836</w:t>
            </w:r>
          </w:p>
        </w:tc>
        <w:tc>
          <w:tcPr>
            <w:tcW w:w="0" w:type="dxa"/>
            <w:vAlign w:val="bottom"/>
          </w:tcPr>
          <w:p>
            <w:pPr>
              <w:spacing w:after="0"/>
              <w:rPr>
                <w:sz w:val="1"/>
                <w:szCs w:val="1"/>
                <w:color w:val="auto"/>
              </w:rPr>
            </w:pPr>
          </w:p>
        </w:tc>
      </w:tr>
      <w:tr>
        <w:trPr>
          <w:trHeight w:val="206"/>
        </w:trPr>
        <w:tc>
          <w:tcPr>
            <w:tcW w:w="304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and Director</w:t>
            </w:r>
          </w:p>
        </w:tc>
        <w:tc>
          <w:tcPr>
            <w:tcW w:w="7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643,846</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540,000</w:t>
            </w: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1,770,474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2,968,076</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line="166" w:lineRule="exact"/>
              <w:rPr>
                <w:sz w:val="20"/>
                <w:szCs w:val="20"/>
                <w:color w:val="auto"/>
              </w:rPr>
            </w:pPr>
            <w:r>
              <w:rPr>
                <w:rFonts w:ascii="Arial" w:cs="Arial" w:eastAsia="Arial" w:hAnsi="Arial"/>
                <w:sz w:val="16"/>
                <w:szCs w:val="16"/>
                <w:color w:val="auto"/>
              </w:rPr>
              <w:t>Isaac Ro</w:t>
            </w:r>
          </w:p>
        </w:tc>
        <w:tc>
          <w:tcPr>
            <w:tcW w:w="700" w:type="dxa"/>
            <w:vAlign w:val="bottom"/>
            <w:gridSpan w:val="2"/>
            <w:vMerge w:val="restart"/>
          </w:tcPr>
          <w:p>
            <w:pPr>
              <w:jc w:val="right"/>
              <w:spacing w:after="0"/>
              <w:rPr>
                <w:sz w:val="20"/>
                <w:szCs w:val="20"/>
                <w:color w:val="auto"/>
              </w:rPr>
            </w:pPr>
            <w:r>
              <w:rPr>
                <w:rFonts w:ascii="Arial" w:cs="Arial" w:eastAsia="Arial" w:hAnsi="Arial"/>
                <w:sz w:val="16"/>
                <w:szCs w:val="16"/>
                <w:color w:val="auto"/>
              </w:rPr>
              <w:t>2021</w:t>
            </w:r>
          </w:p>
        </w:tc>
        <w:tc>
          <w:tcPr>
            <w:tcW w:w="80" w:type="dxa"/>
            <w:vAlign w:val="bottom"/>
          </w:tcPr>
          <w:p>
            <w:pPr>
              <w:spacing w:after="0"/>
              <w:rPr>
                <w:sz w:val="14"/>
                <w:szCs w:val="14"/>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6"/>
                <w:szCs w:val="16"/>
                <w:color w:val="auto"/>
              </w:rPr>
              <w:t>353,846</w:t>
            </w:r>
          </w:p>
        </w:tc>
        <w:tc>
          <w:tcPr>
            <w:tcW w:w="80" w:type="dxa"/>
            <w:vAlign w:val="bottom"/>
          </w:tcPr>
          <w:p>
            <w:pPr>
              <w:spacing w:after="0"/>
              <w:rPr>
                <w:sz w:val="14"/>
                <w:szCs w:val="14"/>
                <w:color w:val="auto"/>
              </w:rPr>
            </w:pPr>
          </w:p>
        </w:tc>
        <w:tc>
          <w:tcPr>
            <w:tcW w:w="1080" w:type="dxa"/>
            <w:vAlign w:val="bottom"/>
            <w:vMerge w:val="restart"/>
          </w:tcPr>
          <w:p>
            <w:pPr>
              <w:jc w:val="right"/>
              <w:ind w:right="1"/>
              <w:spacing w:after="0"/>
              <w:rPr>
                <w:sz w:val="20"/>
                <w:szCs w:val="20"/>
                <w:color w:val="auto"/>
              </w:rPr>
            </w:pPr>
            <w:r>
              <w:rPr>
                <w:rFonts w:ascii="Arial" w:cs="Arial" w:eastAsia="Arial" w:hAnsi="Arial"/>
                <w:sz w:val="16"/>
                <w:szCs w:val="16"/>
                <w:color w:val="auto"/>
              </w:rPr>
              <w:t>139,333</w:t>
            </w:r>
          </w:p>
        </w:tc>
        <w:tc>
          <w:tcPr>
            <w:tcW w:w="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7,897,167</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2,633,103</w:t>
            </w:r>
          </w:p>
        </w:tc>
        <w:tc>
          <w:tcPr>
            <w:tcW w:w="1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16,615</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11,040,064</w:t>
            </w:r>
          </w:p>
        </w:tc>
        <w:tc>
          <w:tcPr>
            <w:tcW w:w="0" w:type="dxa"/>
            <w:vAlign w:val="bottom"/>
          </w:tcPr>
          <w:p>
            <w:pPr>
              <w:spacing w:after="0"/>
              <w:rPr>
                <w:sz w:val="1"/>
                <w:szCs w:val="1"/>
                <w:color w:val="auto"/>
              </w:rPr>
            </w:pPr>
          </w:p>
        </w:tc>
      </w:tr>
      <w:tr>
        <w:trPr>
          <w:trHeight w:val="209"/>
        </w:trPr>
        <w:tc>
          <w:tcPr>
            <w:tcW w:w="3040" w:type="dxa"/>
            <w:vAlign w:val="bottom"/>
          </w:tcPr>
          <w:p>
            <w:pPr>
              <w:ind w:left="20"/>
              <w:spacing w:after="0"/>
              <w:rPr>
                <w:sz w:val="20"/>
                <w:szCs w:val="20"/>
                <w:color w:val="auto"/>
              </w:rPr>
            </w:pPr>
            <w:r>
              <w:rPr>
                <w:rFonts w:ascii="Arial" w:cs="Arial" w:eastAsia="Arial" w:hAnsi="Arial"/>
                <w:sz w:val="16"/>
                <w:szCs w:val="16"/>
                <w:i w:val="1"/>
                <w:iCs w:val="1"/>
                <w:color w:val="auto"/>
              </w:rPr>
              <w:t>Chief Financial Officer</w:t>
            </w:r>
          </w:p>
        </w:tc>
        <w:tc>
          <w:tcPr>
            <w:tcW w:w="7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James Coffin, Ph.D.</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i w:val="1"/>
                <w:iCs w:val="1"/>
                <w:color w:val="auto"/>
              </w:rPr>
              <w:t>Former President and Chief Operating</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530,397</w:t>
            </w:r>
          </w:p>
        </w:tc>
        <w:tc>
          <w:tcPr>
            <w:tcW w:w="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180,370</w:t>
            </w:r>
          </w:p>
        </w:tc>
        <w:tc>
          <w:tcPr>
            <w:tcW w:w="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3,155,535</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1,104,874</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17,400</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4,988,576</w:t>
            </w:r>
          </w:p>
        </w:tc>
        <w:tc>
          <w:tcPr>
            <w:tcW w:w="0" w:type="dxa"/>
            <w:vAlign w:val="bottom"/>
          </w:tcPr>
          <w:p>
            <w:pPr>
              <w:spacing w:after="0"/>
              <w:rPr>
                <w:sz w:val="1"/>
                <w:szCs w:val="1"/>
                <w:color w:val="auto"/>
              </w:rPr>
            </w:pPr>
          </w:p>
        </w:tc>
      </w:tr>
      <w:tr>
        <w:trPr>
          <w:trHeight w:val="212"/>
        </w:trPr>
        <w:tc>
          <w:tcPr>
            <w:tcW w:w="3040" w:type="dxa"/>
            <w:vAlign w:val="bottom"/>
            <w:shd w:val="clear" w:color="auto" w:fill="CCEEFF"/>
          </w:tcPr>
          <w:p>
            <w:pPr>
              <w:ind w:left="180"/>
              <w:spacing w:after="0" w:line="213" w:lineRule="exact"/>
              <w:rPr>
                <w:sz w:val="20"/>
                <w:szCs w:val="20"/>
                <w:color w:val="auto"/>
              </w:rPr>
            </w:pPr>
            <w:r>
              <w:rPr>
                <w:rFonts w:ascii="Arial" w:cs="Arial" w:eastAsia="Arial" w:hAnsi="Arial"/>
                <w:sz w:val="16"/>
                <w:szCs w:val="16"/>
                <w:i w:val="1"/>
                <w:iCs w:val="1"/>
                <w:color w:val="auto"/>
              </w:rPr>
              <w:t>Officer</w:t>
            </w:r>
            <w:r>
              <w:rPr>
                <w:rFonts w:ascii="Arial" w:cs="Arial" w:eastAsia="Arial" w:hAnsi="Arial"/>
                <w:sz w:val="21"/>
                <w:szCs w:val="21"/>
                <w:i w:val="1"/>
                <w:iCs w:val="1"/>
                <w:color w:val="auto"/>
                <w:vertAlign w:val="superscript"/>
              </w:rPr>
              <w:t>(4)</w:t>
            </w:r>
          </w:p>
        </w:tc>
        <w:tc>
          <w:tcPr>
            <w:tcW w:w="7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524,615</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363,000</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623,189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1,521,973</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100" w:hanging="332"/>
        <w:spacing w:after="0" w:line="241" w:lineRule="auto"/>
        <w:tabs>
          <w:tab w:leader="none" w:pos="332"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amounts reported reflect the annual performance-based cash bonus amounts awarded to our named executive officers for their service in 2021. For additional information regarding the bonus compensation, see “—2021 Bonuses.”</w:t>
      </w:r>
    </w:p>
    <w:p>
      <w:pPr>
        <w:ind w:left="340" w:right="160" w:hanging="332"/>
        <w:spacing w:after="0" w:line="241" w:lineRule="auto"/>
        <w:tabs>
          <w:tab w:leader="none" w:pos="332" w:val="left"/>
        </w:tabs>
        <w:numPr>
          <w:ilvl w:val="0"/>
          <w:numId w:val="59"/>
        </w:numPr>
        <w:rPr>
          <w:rFonts w:ascii="Arial" w:cs="Arial" w:eastAsia="Arial" w:hAnsi="Arial"/>
          <w:sz w:val="14"/>
          <w:szCs w:val="14"/>
          <w:color w:val="auto"/>
        </w:rPr>
      </w:pPr>
      <w:r>
        <w:rPr>
          <w:rFonts w:ascii="Arial" w:cs="Arial" w:eastAsia="Arial" w:hAnsi="Arial"/>
          <w:sz w:val="14"/>
          <w:szCs w:val="14"/>
          <w:color w:val="auto"/>
        </w:rPr>
        <w:t>Amounts represent the grant date fair value of the restricted stock units and stock options awarded to the named executive officer during 2021 in accordance with FASB Accounting Standards Codification Topic 718. The assumptions used in determining the grant date fair value of the restricted stock units and stock options are set forth in Note 10 of the notes to our audited consolidated financial statements included in this prospectus. In determining the total value of the equity awards, we have considered all grants issued during the year as earned by the respective executive officers.</w:t>
      </w:r>
    </w:p>
    <w:p>
      <w:pPr>
        <w:spacing w:after="0" w:line="1" w:lineRule="exact"/>
        <w:rPr>
          <w:rFonts w:ascii="Arial" w:cs="Arial" w:eastAsia="Arial" w:hAnsi="Arial"/>
          <w:sz w:val="14"/>
          <w:szCs w:val="14"/>
          <w:color w:val="auto"/>
        </w:rPr>
      </w:pPr>
    </w:p>
    <w:p>
      <w:pPr>
        <w:ind w:left="340" w:right="380" w:hanging="332"/>
        <w:spacing w:after="0" w:line="241" w:lineRule="auto"/>
        <w:tabs>
          <w:tab w:leader="none" w:pos="332"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amounts reported in this column represent our matching contributions made on behalf of our named executive officers under our 401(k) plan and other personal benefits including reimbursement for travel costs in the amount of $24,133.</w:t>
      </w:r>
    </w:p>
    <w:p>
      <w:pPr>
        <w:ind w:left="320" w:hanging="312"/>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Dr. Coffin left the Company in February 2022. Amounts reported include payments in respect of his 2021 bonus pursuant to our separation agreement with Dr. Coffin.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Bonuses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their employment agreements, Dr. Eric Schadt and Mr. Ro are entitled to receive annual bonuses based on the achievement of certain corporate and individual performance objectives. Prior to his leaving the Company, Dr. Coffin was also entitled to receive annual bonuses based on the achievement of corporate performance objectives. For the 2021 bonuses, the target annual bonuses for Dr. Schadt and Mr. Ro were equal to 100% and 50 %, respectively, of their respective annual base salaries. In February 2022, based on the achievement of corporate and individual performance objectives, the Compensation Committee determined to award bonuses for 2021 to Dr. Schadt, and to Mr. Ro on a pro rata basis based on his hire date, as set forth in the table above. Further, pursuant to a separation agreement we entered into with Dr. Coffin in January 2022, we agreed to pay Dr. Coffin a 2021 bonus in the amount reflected in the table above.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Awards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company offers stock options as well as service-based RSUs to our named executive officers as the long-term incentive component of our compensation program. Stock options allow employees to purchase shares of our Class A common stock at a price per share at least equal to the fair market value of our Class A common stock on the date of grant and may or may not be intended to qualify as “incentive stock options” for U.S. federal income tax purposes. All of our named executive officers received RSU awards in recognition of their service to us and to further incentivize continued performance. Generally, our equity-based awards vest over four years, subject to the employee’s continued employment with us on each vesting date. In connection with the Prior Merger Agreement and following the closing of the Business Combination, we also granted RSUs in the form of “Earnout RSUs” to our named executive officers that vest subject to certain market-based and service-based vesting conditions. In December 2021, we also issued stock bonuses to our employees who were hired on or before June 30, 2021, including our named executive officers, in connection with the termination of our sabbatical leave program. The stock bonuses were fully vested as of the date of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2021 Fiscal Year-End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concerning outstanding equity awards held by each of our named executive officers as of December 31, 2021.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gridSpan w:val="5"/>
          </w:tcPr>
          <w:p>
            <w:pPr>
              <w:ind w:left="50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8"/>
                <w:szCs w:val="18"/>
                <w:b w:val="1"/>
                <w:bCs w:val="1"/>
                <w:color w:val="auto"/>
                <w:vertAlign w:val="superscript"/>
              </w:rPr>
              <w:t>(1)</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gridSpan w:val="4"/>
          </w:tcPr>
          <w:p>
            <w:pPr>
              <w:jc w:val="right"/>
              <w:ind w:right="601"/>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30"/>
        </w:trPr>
        <w:tc>
          <w:tcPr>
            <w:tcW w:w="2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Shares or Units</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Underlying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or Units</w:t>
            </w:r>
          </w:p>
        </w:tc>
        <w:tc>
          <w:tcPr>
            <w:tcW w:w="120" w:type="dxa"/>
            <w:vAlign w:val="bottom"/>
          </w:tcPr>
          <w:p>
            <w:pPr>
              <w:spacing w:after="0"/>
              <w:rPr>
                <w:sz w:val="14"/>
                <w:szCs w:val="14"/>
                <w:color w:val="auto"/>
              </w:rPr>
            </w:pPr>
          </w:p>
        </w:tc>
        <w:tc>
          <w:tcPr>
            <w:tcW w:w="100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of Stock That</w:t>
            </w:r>
          </w:p>
        </w:tc>
        <w:tc>
          <w:tcPr>
            <w:tcW w:w="0" w:type="dxa"/>
            <w:vAlign w:val="bottom"/>
          </w:tcPr>
          <w:p>
            <w:pPr>
              <w:spacing w:after="0"/>
              <w:rPr>
                <w:sz w:val="1"/>
                <w:szCs w:val="1"/>
                <w:color w:val="auto"/>
              </w:rPr>
            </w:pPr>
          </w:p>
        </w:tc>
      </w:tr>
      <w:tr>
        <w:trPr>
          <w:trHeight w:val="159"/>
        </w:trPr>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5"/>
              </w:rPr>
              <w:t>Underlying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8"/>
              </w:rPr>
              <w:t>Unexercised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7"/>
              </w:rPr>
              <w:t>Option</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2"/>
              </w:rPr>
              <w:t>of Stock That</w:t>
            </w:r>
          </w:p>
        </w:tc>
        <w:tc>
          <w:tcPr>
            <w:tcW w:w="112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0"/>
              </w:rPr>
              <w:t>Have Not Vested</w:t>
            </w:r>
          </w:p>
        </w:tc>
        <w:tc>
          <w:tcPr>
            <w:tcW w:w="0" w:type="dxa"/>
            <w:vAlign w:val="bottom"/>
          </w:tcPr>
          <w:p>
            <w:pPr>
              <w:spacing w:after="0"/>
              <w:rPr>
                <w:sz w:val="1"/>
                <w:szCs w:val="1"/>
                <w:color w:val="auto"/>
              </w:rPr>
            </w:pPr>
          </w:p>
        </w:tc>
      </w:tr>
      <w:tr>
        <w:trPr>
          <w:trHeight w:val="165"/>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Unexercised Options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Exercise Price</w:t>
            </w:r>
          </w:p>
        </w:tc>
        <w:tc>
          <w:tcPr>
            <w:tcW w:w="1220" w:type="dxa"/>
            <w:vAlign w:val="bottom"/>
            <w:gridSpan w:val="2"/>
          </w:tcPr>
          <w:p>
            <w:pPr>
              <w:ind w:left="340"/>
              <w:spacing w:after="0"/>
              <w:rPr>
                <w:sz w:val="20"/>
                <w:szCs w:val="20"/>
                <w:color w:val="auto"/>
              </w:rPr>
            </w:pPr>
            <w:r>
              <w:rPr>
                <w:rFonts w:ascii="Arial" w:cs="Arial" w:eastAsia="Arial" w:hAnsi="Arial"/>
                <w:sz w:val="14"/>
                <w:szCs w:val="14"/>
                <w:b w:val="1"/>
                <w:bCs w:val="1"/>
                <w:color w:val="auto"/>
              </w:rPr>
              <w:t>Option</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Have Not Vested</w:t>
            </w:r>
          </w:p>
        </w:tc>
        <w:tc>
          <w:tcPr>
            <w:tcW w:w="120" w:type="dxa"/>
            <w:vAlign w:val="bottom"/>
          </w:tcPr>
          <w:p>
            <w:pPr>
              <w:spacing w:after="0"/>
              <w:rPr>
                <w:sz w:val="14"/>
                <w:szCs w:val="14"/>
                <w:color w:val="auto"/>
              </w:rPr>
            </w:pPr>
          </w:p>
        </w:tc>
        <w:tc>
          <w:tcPr>
            <w:tcW w:w="1000" w:type="dxa"/>
            <w:vAlign w:val="bottom"/>
          </w:tcPr>
          <w:p>
            <w:pPr>
              <w:jc w:val="center"/>
              <w:ind w:right="41"/>
              <w:spacing w:after="0" w:line="165"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8"/>
                <w:szCs w:val="8"/>
                <w:b w:val="1"/>
                <w:bCs w:val="1"/>
                <w:color w:val="auto"/>
              </w:rPr>
              <w:t>(*)</w:t>
            </w:r>
          </w:p>
        </w:tc>
        <w:tc>
          <w:tcPr>
            <w:tcW w:w="0" w:type="dxa"/>
            <w:vAlign w:val="bottom"/>
          </w:tcPr>
          <w:p>
            <w:pPr>
              <w:spacing w:after="0"/>
              <w:rPr>
                <w:sz w:val="1"/>
                <w:szCs w:val="1"/>
                <w:color w:val="auto"/>
              </w:rPr>
            </w:pPr>
          </w:p>
        </w:tc>
      </w:tr>
      <w:tr>
        <w:trPr>
          <w:trHeight w:val="186"/>
        </w:trPr>
        <w:tc>
          <w:tcPr>
            <w:tcW w:w="238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6"/>
                <w:szCs w:val="16"/>
                <w:color w:val="auto"/>
              </w:rPr>
            </w:pPr>
          </w:p>
        </w:tc>
        <w:tc>
          <w:tcPr>
            <w:tcW w:w="1280" w:type="dxa"/>
            <w:vAlign w:val="bottom"/>
          </w:tcPr>
          <w:p>
            <w:pPr>
              <w:jc w:val="right"/>
              <w:ind w:right="220"/>
              <w:spacing w:after="0"/>
              <w:rPr>
                <w:sz w:val="20"/>
                <w:szCs w:val="20"/>
                <w:color w:val="auto"/>
              </w:rPr>
            </w:pPr>
            <w:r>
              <w:rPr>
                <w:rFonts w:ascii="Arial" w:cs="Arial" w:eastAsia="Arial" w:hAnsi="Arial"/>
                <w:sz w:val="14"/>
                <w:szCs w:val="14"/>
                <w:b w:val="1"/>
                <w:bCs w:val="1"/>
                <w:color w:val="auto"/>
              </w:rPr>
              <w:t>Grant Date</w:t>
            </w:r>
          </w:p>
        </w:tc>
        <w:tc>
          <w:tcPr>
            <w:tcW w:w="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Exercisable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Unexercisable (#)</w:t>
            </w:r>
          </w:p>
        </w:tc>
        <w:tc>
          <w:tcPr>
            <w:tcW w:w="1060" w:type="dxa"/>
            <w:vAlign w:val="bottom"/>
            <w:gridSpan w:val="3"/>
          </w:tcPr>
          <w:p>
            <w:pPr>
              <w:jc w:val="center"/>
              <w:ind w:left="60"/>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Expiration Date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Eric Schadt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6/1/2017</w:t>
            </w:r>
            <w:r>
              <w:rPr>
                <w:rFonts w:ascii="Arial" w:cs="Arial" w:eastAsia="Arial" w:hAnsi="Arial"/>
                <w:sz w:val="21"/>
                <w:szCs w:val="21"/>
                <w:color w:val="auto"/>
                <w:vertAlign w:val="superscript"/>
              </w:rPr>
              <w:t>(2)</w:t>
            </w: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4,829,521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$0.1529</w:t>
            </w:r>
          </w:p>
        </w:tc>
        <w:tc>
          <w:tcPr>
            <w:tcW w:w="10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5/31/2027</w:t>
            </w:r>
          </w:p>
        </w:tc>
        <w:tc>
          <w:tcPr>
            <w:tcW w:w="1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440" w:type="dxa"/>
            <w:vAlign w:val="bottom"/>
            <w:gridSpan w:val="2"/>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1060" w:type="dxa"/>
            <w:vAlign w:val="bottom"/>
            <w:gridSpan w:val="3"/>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10/17/2019</w:t>
            </w:r>
            <w:r>
              <w:rPr>
                <w:rFonts w:ascii="Arial" w:cs="Arial" w:eastAsia="Arial" w:hAnsi="Arial"/>
                <w:sz w:val="21"/>
                <w:szCs w:val="21"/>
                <w:color w:val="auto"/>
                <w:vertAlign w:val="superscript"/>
              </w:rPr>
              <w:t>(3)</w:t>
            </w: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851,357</w:t>
            </w:r>
          </w:p>
        </w:tc>
        <w:tc>
          <w:tcPr>
            <w:tcW w:w="13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510,815</w:t>
            </w:r>
          </w:p>
        </w:tc>
        <w:tc>
          <w:tcPr>
            <w:tcW w:w="10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$0.7659</w:t>
            </w:r>
          </w:p>
        </w:tc>
        <w:tc>
          <w:tcPr>
            <w:tcW w:w="10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10/16/2029</w:t>
            </w:r>
          </w:p>
        </w:tc>
        <w:tc>
          <w:tcPr>
            <w:tcW w:w="1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440" w:type="dxa"/>
            <w:vAlign w:val="bottom"/>
            <w:gridSpan w:val="2"/>
            <w:vMerge w:val="continue"/>
            <w:shd w:val="clear" w:color="auto" w:fill="CCEEFF"/>
          </w:tcPr>
          <w:p>
            <w:pPr>
              <w:spacing w:after="0"/>
              <w:rPr>
                <w:sz w:val="8"/>
                <w:szCs w:val="8"/>
                <w:color w:val="auto"/>
              </w:rPr>
            </w:pPr>
          </w:p>
        </w:tc>
        <w:tc>
          <w:tcPr>
            <w:tcW w:w="1360" w:type="dxa"/>
            <w:vAlign w:val="bottom"/>
            <w:gridSpan w:val="3"/>
            <w:vMerge w:val="continue"/>
            <w:shd w:val="clear" w:color="auto" w:fill="CCEEFF"/>
          </w:tcPr>
          <w:p>
            <w:pPr>
              <w:spacing w:after="0"/>
              <w:rPr>
                <w:sz w:val="8"/>
                <w:szCs w:val="8"/>
                <w:color w:val="auto"/>
              </w:rPr>
            </w:pPr>
          </w:p>
        </w:tc>
        <w:tc>
          <w:tcPr>
            <w:tcW w:w="1060" w:type="dxa"/>
            <w:vAlign w:val="bottom"/>
            <w:gridSpan w:val="3"/>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2/18/2020</w:t>
            </w:r>
            <w:r>
              <w:rPr>
                <w:rFonts w:ascii="Arial" w:cs="Arial" w:eastAsia="Arial" w:hAnsi="Arial"/>
                <w:sz w:val="21"/>
                <w:szCs w:val="21"/>
                <w:color w:val="auto"/>
                <w:vertAlign w:val="superscript"/>
              </w:rPr>
              <w:t>(4)</w:t>
            </w: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1,300,203</w:t>
            </w:r>
          </w:p>
        </w:tc>
        <w:tc>
          <w:tcPr>
            <w:tcW w:w="13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1,011,285</w:t>
            </w:r>
          </w:p>
        </w:tc>
        <w:tc>
          <w:tcPr>
            <w:tcW w:w="10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$0.7659</w:t>
            </w:r>
          </w:p>
        </w:tc>
        <w:tc>
          <w:tcPr>
            <w:tcW w:w="10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2/17/2030</w:t>
            </w:r>
          </w:p>
        </w:tc>
        <w:tc>
          <w:tcPr>
            <w:tcW w:w="1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440" w:type="dxa"/>
            <w:vAlign w:val="bottom"/>
            <w:gridSpan w:val="2"/>
            <w:vMerge w:val="continue"/>
            <w:shd w:val="clear" w:color="auto" w:fill="CCEEFF"/>
          </w:tcPr>
          <w:p>
            <w:pPr>
              <w:spacing w:after="0"/>
              <w:rPr>
                <w:sz w:val="8"/>
                <w:szCs w:val="8"/>
                <w:color w:val="auto"/>
              </w:rPr>
            </w:pPr>
          </w:p>
        </w:tc>
        <w:tc>
          <w:tcPr>
            <w:tcW w:w="1360" w:type="dxa"/>
            <w:vAlign w:val="bottom"/>
            <w:gridSpan w:val="3"/>
            <w:vMerge w:val="continue"/>
            <w:shd w:val="clear" w:color="auto" w:fill="CCEEFF"/>
          </w:tcPr>
          <w:p>
            <w:pPr>
              <w:spacing w:after="0"/>
              <w:rPr>
                <w:sz w:val="8"/>
                <w:szCs w:val="8"/>
                <w:color w:val="auto"/>
              </w:rPr>
            </w:pPr>
          </w:p>
        </w:tc>
        <w:tc>
          <w:tcPr>
            <w:tcW w:w="1060" w:type="dxa"/>
            <w:vAlign w:val="bottom"/>
            <w:gridSpan w:val="3"/>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1"/>
                <w:szCs w:val="21"/>
                <w:color w:val="auto"/>
                <w:vertAlign w:val="superscript"/>
              </w:rPr>
              <w:t>(5)</w:t>
            </w: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52,541</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788,125</w:t>
            </w:r>
          </w:p>
        </w:tc>
        <w:tc>
          <w:tcPr>
            <w:tcW w:w="10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0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9/30/2031</w:t>
            </w:r>
          </w:p>
        </w:tc>
        <w:tc>
          <w:tcPr>
            <w:tcW w:w="1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060" w:type="dxa"/>
            <w:vAlign w:val="bottom"/>
            <w:gridSpan w:val="3"/>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1"/>
                <w:szCs w:val="21"/>
                <w:color w:val="auto"/>
                <w:vertAlign w:val="superscript"/>
              </w:rPr>
              <w:t>(5)</w:t>
            </w: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1,182,187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5,272,552</w:t>
            </w:r>
          </w:p>
        </w:tc>
        <w:tc>
          <w:tcPr>
            <w:tcW w:w="0" w:type="dxa"/>
            <w:vAlign w:val="bottom"/>
          </w:tcPr>
          <w:p>
            <w:pPr>
              <w:spacing w:after="0"/>
              <w:rPr>
                <w:sz w:val="1"/>
                <w:szCs w:val="1"/>
                <w:color w:val="auto"/>
              </w:rPr>
            </w:pPr>
          </w:p>
        </w:tc>
      </w:tr>
      <w:tr>
        <w:trPr>
          <w:trHeight w:val="405"/>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(6)</w:t>
            </w: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223,830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309,334</w:t>
            </w:r>
          </w:p>
        </w:tc>
        <w:tc>
          <w:tcPr>
            <w:tcW w:w="0" w:type="dxa"/>
            <w:vAlign w:val="bottom"/>
          </w:tcPr>
          <w:p>
            <w:pPr>
              <w:spacing w:after="0"/>
              <w:rPr>
                <w:sz w:val="1"/>
                <w:szCs w:val="1"/>
                <w:color w:val="auto"/>
              </w:rPr>
            </w:pPr>
          </w:p>
        </w:tc>
      </w:tr>
      <w:tr>
        <w:trPr>
          <w:trHeight w:val="405"/>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(7)</w:t>
            </w: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48,444</w:t>
            </w:r>
          </w:p>
        </w:tc>
        <w:tc>
          <w:tcPr>
            <w:tcW w:w="0" w:type="dxa"/>
            <w:vAlign w:val="bottom"/>
          </w:tcPr>
          <w:p>
            <w:pPr>
              <w:spacing w:after="0"/>
              <w:rPr>
                <w:sz w:val="1"/>
                <w:szCs w:val="1"/>
                <w:color w:val="auto"/>
              </w:rPr>
            </w:pPr>
          </w:p>
        </w:tc>
      </w:tr>
      <w:tr>
        <w:trPr>
          <w:trHeight w:val="405"/>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(8)</w:t>
            </w: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197,635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273,133</w:t>
            </w:r>
          </w:p>
        </w:tc>
        <w:tc>
          <w:tcPr>
            <w:tcW w:w="0" w:type="dxa"/>
            <w:vAlign w:val="bottom"/>
          </w:tcPr>
          <w:p>
            <w:pPr>
              <w:spacing w:after="0"/>
              <w:rPr>
                <w:sz w:val="1"/>
                <w:szCs w:val="1"/>
                <w:color w:val="auto"/>
              </w:rPr>
            </w:pPr>
          </w:p>
        </w:tc>
      </w:tr>
      <w:tr>
        <w:trPr>
          <w:trHeight w:val="405"/>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(8)</w:t>
            </w: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115,836</w:t>
            </w:r>
          </w:p>
        </w:tc>
        <w:tc>
          <w:tcPr>
            <w:tcW w:w="0" w:type="dxa"/>
            <w:vAlign w:val="bottom"/>
          </w:tcPr>
          <w:p>
            <w:pPr>
              <w:spacing w:after="0"/>
              <w:rPr>
                <w:sz w:val="1"/>
                <w:szCs w:val="1"/>
                <w:color w:val="auto"/>
              </w:rPr>
            </w:pPr>
          </w:p>
        </w:tc>
      </w:tr>
      <w:tr>
        <w:trPr>
          <w:trHeight w:val="405"/>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(9)</w:t>
            </w: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278,778</w:t>
            </w:r>
          </w:p>
        </w:tc>
        <w:tc>
          <w:tcPr>
            <w:tcW w:w="0" w:type="dxa"/>
            <w:vAlign w:val="bottom"/>
          </w:tcPr>
          <w:p>
            <w:pPr>
              <w:spacing w:after="0"/>
              <w:rPr>
                <w:sz w:val="1"/>
                <w:szCs w:val="1"/>
                <w:color w:val="auto"/>
              </w:rPr>
            </w:pPr>
          </w:p>
        </w:tc>
      </w:tr>
      <w:tr>
        <w:trPr>
          <w:trHeight w:val="113"/>
        </w:trPr>
        <w:tc>
          <w:tcPr>
            <w:tcW w:w="2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380" w:type="dxa"/>
            <w:vAlign w:val="bottom"/>
          </w:tcPr>
          <w:p>
            <w:pPr>
              <w:ind w:left="20"/>
              <w:spacing w:after="0"/>
              <w:rPr>
                <w:sz w:val="20"/>
                <w:szCs w:val="20"/>
                <w:color w:val="auto"/>
              </w:rPr>
            </w:pPr>
            <w:r>
              <w:rPr>
                <w:rFonts w:ascii="Arial" w:cs="Arial" w:eastAsia="Arial" w:hAnsi="Arial"/>
                <w:sz w:val="16"/>
                <w:szCs w:val="16"/>
                <w:color w:val="auto"/>
              </w:rPr>
              <w:t>Isaac Ro</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1"/>
                <w:szCs w:val="21"/>
                <w:color w:val="auto"/>
                <w:vertAlign w:val="superscript"/>
              </w:rPr>
              <w:t>(10)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108,507</w:t>
            </w: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470,197</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9/30/2031</w:t>
            </w:r>
          </w:p>
        </w:tc>
        <w:tc>
          <w:tcPr>
            <w:tcW w:w="10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5"/>
        </w:trPr>
        <w:tc>
          <w:tcPr>
            <w:tcW w:w="238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1"/>
                <w:szCs w:val="21"/>
                <w:color w:val="auto"/>
                <w:vertAlign w:val="superscript"/>
              </w:rPr>
              <w:t>(10)</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812,500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3,623,750</w:t>
            </w:r>
          </w:p>
        </w:tc>
        <w:tc>
          <w:tcPr>
            <w:tcW w:w="0" w:type="dxa"/>
            <w:vAlign w:val="bottom"/>
          </w:tcPr>
          <w:p>
            <w:pPr>
              <w:spacing w:after="0"/>
              <w:rPr>
                <w:sz w:val="1"/>
                <w:szCs w:val="1"/>
                <w:color w:val="auto"/>
              </w:rPr>
            </w:pPr>
          </w:p>
        </w:tc>
      </w:tr>
      <w:tr>
        <w:trPr>
          <w:trHeight w:val="405"/>
        </w:trPr>
        <w:tc>
          <w:tcPr>
            <w:tcW w:w="238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(11)</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197,848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273,428</w:t>
            </w:r>
          </w:p>
        </w:tc>
        <w:tc>
          <w:tcPr>
            <w:tcW w:w="0" w:type="dxa"/>
            <w:vAlign w:val="bottom"/>
          </w:tcPr>
          <w:p>
            <w:pPr>
              <w:spacing w:after="0"/>
              <w:rPr>
                <w:sz w:val="1"/>
                <w:szCs w:val="1"/>
                <w:color w:val="auto"/>
              </w:rPr>
            </w:pPr>
          </w:p>
        </w:tc>
      </w:tr>
      <w:tr>
        <w:trPr>
          <w:trHeight w:val="113"/>
        </w:trPr>
        <w:tc>
          <w:tcPr>
            <w:tcW w:w="2380" w:type="dxa"/>
            <w:vAlign w:val="bottom"/>
          </w:tcPr>
          <w:p>
            <w:pPr>
              <w:spacing w:after="0"/>
              <w:rPr>
                <w:sz w:val="9"/>
                <w:szCs w:val="9"/>
                <w:color w:val="auto"/>
              </w:rPr>
            </w:pPr>
          </w:p>
        </w:tc>
        <w:tc>
          <w:tcPr>
            <w:tcW w:w="1360" w:type="dxa"/>
            <w:vAlign w:val="bottom"/>
            <w:gridSpan w:val="2"/>
          </w:tcPr>
          <w:p>
            <w:pPr>
              <w:spacing w:after="0"/>
              <w:rPr>
                <w:sz w:val="9"/>
                <w:szCs w:val="9"/>
                <w:color w:val="auto"/>
              </w:rPr>
            </w:pPr>
          </w:p>
        </w:tc>
        <w:tc>
          <w:tcPr>
            <w:tcW w:w="14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James Coffin</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8/31/2017</w:t>
            </w:r>
            <w:r>
              <w:rPr>
                <w:rFonts w:ascii="Arial" w:cs="Arial" w:eastAsia="Arial" w:hAnsi="Arial"/>
                <w:sz w:val="21"/>
                <w:szCs w:val="21"/>
                <w:color w:val="auto"/>
                <w:vertAlign w:val="superscript"/>
              </w:rPr>
              <w:t>(12)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2,167,093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$0.1529</w:t>
            </w:r>
          </w:p>
        </w:tc>
        <w:tc>
          <w:tcPr>
            <w:tcW w:w="10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8/30/2027</w:t>
            </w:r>
          </w:p>
        </w:tc>
        <w:tc>
          <w:tcPr>
            <w:tcW w:w="1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2/18/2020</w:t>
            </w:r>
            <w:r>
              <w:rPr>
                <w:rFonts w:ascii="Arial" w:cs="Arial" w:eastAsia="Arial" w:hAnsi="Arial"/>
                <w:sz w:val="21"/>
                <w:szCs w:val="21"/>
                <w:color w:val="auto"/>
                <w:vertAlign w:val="superscript"/>
              </w:rPr>
              <w:t>(4)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457,659</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355,961</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$0.7659</w:t>
            </w:r>
          </w:p>
        </w:tc>
        <w:tc>
          <w:tcPr>
            <w:tcW w:w="10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2/17/2030</w:t>
            </w:r>
          </w:p>
        </w:tc>
        <w:tc>
          <w:tcPr>
            <w:tcW w:w="1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1"/>
                <w:szCs w:val="21"/>
                <w:color w:val="auto"/>
                <w:vertAlign w:val="superscript"/>
              </w:rPr>
              <w:t>(5)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15,011</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225,179</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9/30/2031</w:t>
            </w:r>
          </w:p>
        </w:tc>
        <w:tc>
          <w:tcPr>
            <w:tcW w:w="1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5"/>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1"/>
                <w:szCs w:val="21"/>
                <w:color w:val="auto"/>
                <w:vertAlign w:val="superscript"/>
              </w:rPr>
              <w:t>(5)</w:t>
            </w: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337,767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1,506,442</w:t>
            </w:r>
          </w:p>
        </w:tc>
        <w:tc>
          <w:tcPr>
            <w:tcW w:w="0" w:type="dxa"/>
            <w:vAlign w:val="bottom"/>
          </w:tcPr>
          <w:p>
            <w:pPr>
              <w:spacing w:after="0"/>
              <w:rPr>
                <w:sz w:val="1"/>
                <w:szCs w:val="1"/>
                <w:color w:val="auto"/>
              </w:rPr>
            </w:pPr>
          </w:p>
        </w:tc>
      </w:tr>
      <w:tr>
        <w:trPr>
          <w:trHeight w:val="405"/>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(6)</w:t>
            </w: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189,119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261,363</w:t>
            </w:r>
          </w:p>
        </w:tc>
        <w:tc>
          <w:tcPr>
            <w:tcW w:w="0" w:type="dxa"/>
            <w:vAlign w:val="bottom"/>
          </w:tcPr>
          <w:p>
            <w:pPr>
              <w:spacing w:after="0"/>
              <w:rPr>
                <w:sz w:val="1"/>
                <w:szCs w:val="1"/>
                <w:color w:val="auto"/>
              </w:rPr>
            </w:pPr>
          </w:p>
        </w:tc>
      </w:tr>
      <w:tr>
        <w:trPr>
          <w:trHeight w:val="405"/>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(13)</w:t>
            </w: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29,056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40,155</w:t>
            </w:r>
          </w:p>
        </w:tc>
        <w:tc>
          <w:tcPr>
            <w:tcW w:w="0" w:type="dxa"/>
            <w:vAlign w:val="bottom"/>
          </w:tcPr>
          <w:p>
            <w:pPr>
              <w:spacing w:after="0"/>
              <w:rPr>
                <w:sz w:val="1"/>
                <w:szCs w:val="1"/>
                <w:color w:val="auto"/>
              </w:rPr>
            </w:pPr>
          </w:p>
        </w:tc>
      </w:tr>
      <w:tr>
        <w:trPr>
          <w:trHeight w:val="405"/>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(14)</w:t>
            </w: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41,946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57,968</w:t>
            </w:r>
          </w:p>
        </w:tc>
        <w:tc>
          <w:tcPr>
            <w:tcW w:w="0" w:type="dxa"/>
            <w:vAlign w:val="bottom"/>
          </w:tcPr>
          <w:p>
            <w:pPr>
              <w:spacing w:after="0"/>
              <w:rPr>
                <w:sz w:val="1"/>
                <w:szCs w:val="1"/>
                <w:color w:val="auto"/>
              </w:rPr>
            </w:pPr>
          </w:p>
        </w:tc>
      </w:tr>
      <w:tr>
        <w:trPr>
          <w:trHeight w:val="113"/>
        </w:trPr>
        <w:tc>
          <w:tcPr>
            <w:tcW w:w="2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closing market price of our Class A common stock on December 31, 2021 was $4.46 per share.</w:t>
      </w:r>
    </w:p>
    <w:p>
      <w:pPr>
        <w:spacing w:after="0" w:line="1" w:lineRule="exact"/>
        <w:rPr>
          <w:sz w:val="20"/>
          <w:szCs w:val="20"/>
          <w:color w:val="auto"/>
        </w:rPr>
      </w:pPr>
    </w:p>
    <w:p>
      <w:pPr>
        <w:ind w:left="340" w:right="40" w:hanging="332"/>
        <w:spacing w:after="0" w:line="241" w:lineRule="auto"/>
        <w:tabs>
          <w:tab w:leader="none" w:pos="332"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outstanding stock options were granted under our 2021 Equity Incentive Plan and Legacy Sema4’s 2017 Equity Incentive Plan, as applicable. The outstanding RSUs were granted under our 2021 Equity Incentive Plan and pursuant to the Prior Merger Agreement, as applicable.</w:t>
      </w:r>
    </w:p>
    <w:p>
      <w:pPr>
        <w:ind w:left="320" w:hanging="312"/>
        <w:spacing w:after="0"/>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shares underlying the stock option are fully vested.</w:t>
      </w:r>
    </w:p>
    <w:p>
      <w:pPr>
        <w:spacing w:after="0" w:line="1" w:lineRule="exact"/>
        <w:rPr>
          <w:rFonts w:ascii="Arial" w:cs="Arial" w:eastAsia="Arial" w:hAnsi="Arial"/>
          <w:sz w:val="14"/>
          <w:szCs w:val="14"/>
          <w:color w:val="auto"/>
        </w:rPr>
      </w:pPr>
    </w:p>
    <w:p>
      <w:pPr>
        <w:ind w:left="340" w:right="180" w:hanging="332"/>
        <w:spacing w:after="0" w:line="241" w:lineRule="auto"/>
        <w:tabs>
          <w:tab w:leader="none" w:pos="332"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stock option vests at in quarterly installments over a four-year period. 100% of the shares underlying the stock option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spacing w:after="0" w:line="1" w:lineRule="exact"/>
        <w:rPr>
          <w:rFonts w:ascii="Arial" w:cs="Arial" w:eastAsia="Arial" w:hAnsi="Arial"/>
          <w:sz w:val="14"/>
          <w:szCs w:val="14"/>
          <w:color w:val="auto"/>
        </w:rPr>
      </w:pPr>
    </w:p>
    <w:p>
      <w:pPr>
        <w:jc w:val="both"/>
        <w:ind w:left="340" w:right="300" w:hanging="332"/>
        <w:spacing w:after="0" w:line="241" w:lineRule="auto"/>
        <w:tabs>
          <w:tab w:leader="none" w:pos="332"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stock option vests in quarterly installments over a four-year period.. 100% of the shares underlying the stock option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spacing w:after="0" w:line="1" w:lineRule="exact"/>
        <w:rPr>
          <w:rFonts w:ascii="Arial" w:cs="Arial" w:eastAsia="Arial" w:hAnsi="Arial"/>
          <w:sz w:val="14"/>
          <w:szCs w:val="14"/>
          <w:color w:val="auto"/>
        </w:rPr>
      </w:pPr>
    </w:p>
    <w:p>
      <w:pPr>
        <w:ind w:left="340" w:right="300" w:hanging="332"/>
        <w:spacing w:after="0" w:line="241" w:lineRule="auto"/>
        <w:tabs>
          <w:tab w:leader="none" w:pos="332"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stock options and RSU vest in quarterly installments over a four-year period. 100% of the shares underlying the stock options and RSUs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spacing w:after="0" w:line="1" w:lineRule="exact"/>
        <w:rPr>
          <w:rFonts w:ascii="Arial" w:cs="Arial" w:eastAsia="Arial" w:hAnsi="Arial"/>
          <w:sz w:val="14"/>
          <w:szCs w:val="14"/>
          <w:color w:val="auto"/>
        </w:rPr>
      </w:pPr>
    </w:p>
    <w:p>
      <w:pPr>
        <w:ind w:left="340" w:right="140" w:hanging="332"/>
        <w:spacing w:after="0" w:line="241" w:lineRule="auto"/>
        <w:tabs>
          <w:tab w:leader="none" w:pos="332"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w:t>
      </w:r>
    </w:p>
    <w:p>
      <w:pPr>
        <w:ind w:left="340" w:hanging="332"/>
        <w:spacing w:after="0" w:line="248" w:lineRule="auto"/>
        <w:tabs>
          <w:tab w:leader="none" w:pos="332"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12,254 of the RSUs, and will be satisfied with respect to the remainder of the RSUs over four vesting periods, subject to the officer’s continued service to us on each service-based vesting date.</w:t>
      </w:r>
    </w:p>
    <w:p>
      <w:pPr>
        <w:sectPr>
          <w:pgSz w:w="11900" w:h="16838" w:orient="portrait"/>
          <w:cols w:equalWidth="0" w:num="1">
            <w:col w:w="11240"/>
          </w:cols>
          <w:pgMar w:left="320" w:top="1440" w:right="339" w:bottom="1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02" w:gutter="0" w:footer="0" w:header="0"/>
          <w:type w:val="continuous"/>
        </w:sectPr>
      </w:pPr>
    </w:p>
    <w:bookmarkStart w:id="141" w:name="page142"/>
    <w:bookmarkEnd w:id="141"/>
    <w:p>
      <w:pPr>
        <w:spacing w:after="0" w:line="139" w:lineRule="exact"/>
        <w:rPr>
          <w:sz w:val="20"/>
          <w:szCs w:val="20"/>
          <w:color w:val="auto"/>
        </w:rPr>
      </w:pPr>
    </w:p>
    <w:p>
      <w:pPr>
        <w:ind w:left="340" w:right="140" w:hanging="332"/>
        <w:spacing w:after="0" w:line="247" w:lineRule="auto"/>
        <w:tabs>
          <w:tab w:leader="none" w:pos="332"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54,532 of the RSUs, and will be satisfied with respect to the remainder of the RSUs over five semi-annual periods, subject to the officer’s continued service to us on each service-based vesting date.</w:t>
      </w:r>
    </w:p>
    <w:p>
      <w:pPr>
        <w:ind w:left="340" w:right="140" w:hanging="332"/>
        <w:spacing w:after="0" w:line="241" w:lineRule="auto"/>
        <w:tabs>
          <w:tab w:leader="none" w:pos="332"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100,737 of the RSUs, and will be satisfied with respect to the remainder of the RSUs over eight quarterly periods, subject to the officer’s continued service to us on each service-based vesting date.</w:t>
      </w:r>
    </w:p>
    <w:p>
      <w:pPr>
        <w:spacing w:after="0" w:line="1" w:lineRule="exact"/>
        <w:rPr>
          <w:rFonts w:ascii="Arial" w:cs="Arial" w:eastAsia="Arial" w:hAnsi="Arial"/>
          <w:sz w:val="14"/>
          <w:szCs w:val="14"/>
          <w:color w:val="auto"/>
        </w:rPr>
      </w:pPr>
    </w:p>
    <w:p>
      <w:pPr>
        <w:ind w:left="340" w:right="120" w:hanging="332"/>
        <w:spacing w:after="0" w:line="260" w:lineRule="auto"/>
        <w:tabs>
          <w:tab w:leader="none" w:pos="337" w:val="left"/>
        </w:tabs>
        <w:numPr>
          <w:ilvl w:val="0"/>
          <w:numId w:val="62"/>
        </w:numPr>
        <w:rPr>
          <w:rFonts w:ascii="Arial" w:cs="Arial" w:eastAsia="Arial" w:hAnsi="Arial"/>
          <w:sz w:val="13"/>
          <w:szCs w:val="13"/>
          <w:color w:val="auto"/>
        </w:rPr>
      </w:pPr>
      <w:r>
        <w:rPr>
          <w:rFonts w:ascii="Arial" w:cs="Arial" w:eastAsia="Arial" w:hAnsi="Arial"/>
          <w:sz w:val="13"/>
          <w:szCs w:val="13"/>
          <w:color w:val="auto"/>
        </w:rPr>
        <w:t>1/8th of the total shares underlying the stock options and RSUs vested on October 25, 2021, 1/16th of the total shares vested on November 8, 2021, and the RSUs thereafter vests as to 1/16th of the total shares underlying the award in quarterly installments until fully vested on February 8, 2025, subject to the officer's continued service to us on each vesting date. 100% of the shares underlying the stock options and RSUs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ind w:left="340" w:right="140" w:hanging="332"/>
        <w:spacing w:after="0" w:line="241" w:lineRule="auto"/>
        <w:tabs>
          <w:tab w:leader="none" w:pos="331"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24,701 of the RSUs, and will be satisfied with respect to the remainder of the RSUs over 14 quarterly periods, subject to the officer’s continued service to us on each service-based vesting date.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shares underlying the stock option are fully vested.</w:t>
      </w:r>
    </w:p>
    <w:p>
      <w:pPr>
        <w:spacing w:after="0" w:line="1" w:lineRule="exact"/>
        <w:rPr>
          <w:rFonts w:ascii="Arial" w:cs="Arial" w:eastAsia="Arial" w:hAnsi="Arial"/>
          <w:sz w:val="14"/>
          <w:szCs w:val="14"/>
          <w:color w:val="auto"/>
        </w:rPr>
      </w:pPr>
    </w:p>
    <w:p>
      <w:pPr>
        <w:ind w:left="340" w:right="40" w:hanging="332"/>
        <w:spacing w:after="0" w:line="241" w:lineRule="auto"/>
        <w:tabs>
          <w:tab w:leader="none" w:pos="337"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6,263 of the RSUs, and will be satisfied with respect to the remainder of the RSUs over six quarterly periods, subject to the officer’s continued service to us on each service-based vesting date. Dr. Coffin left the Company in February 2022.</w:t>
      </w:r>
    </w:p>
    <w:p>
      <w:pPr>
        <w:spacing w:after="0" w:line="1" w:lineRule="exact"/>
        <w:rPr>
          <w:rFonts w:ascii="Arial" w:cs="Arial" w:eastAsia="Arial" w:hAnsi="Arial"/>
          <w:sz w:val="14"/>
          <w:szCs w:val="14"/>
          <w:color w:val="auto"/>
        </w:rPr>
      </w:pPr>
    </w:p>
    <w:p>
      <w:pPr>
        <w:ind w:left="340" w:hanging="332"/>
        <w:spacing w:after="0" w:line="248" w:lineRule="auto"/>
        <w:tabs>
          <w:tab w:leader="none" w:pos="337"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29,196 of the RSUs, and will be satisfied with respect to the remainder of the RSUs over four vesting periods, subject to the officer’s continued service to us on each service-based vesting date. Dr. Coffin left the Company in February 2022.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with Our Current Named Executive Officers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Each of our current named executive officers has entered into an employment agreement with us that provides for at-will employment and includes each named executive officer’s base salary, a discretionary incentive bonus opportunity and standard employee benefit plan participation. The employment agreements provide for an annual base salary of $675,000 and a target annual bonus of 100% of annual base salary, in the case of Dr. Schadt, and an annual base salary of $400,000 and a target annual bonus of 50% of annual base salary, in the case of Mr. Ro. The employment agreements also provide for the potential payments and benefits upon a termination of employment or in connection with a change in control as described below in “—</w:t>
      </w:r>
      <w:r>
        <w:rPr>
          <w:rFonts w:ascii="Arial" w:cs="Arial" w:eastAsia="Arial" w:hAnsi="Arial"/>
          <w:sz w:val="16"/>
          <w:szCs w:val="16"/>
          <w:i w:val="1"/>
          <w:iCs w:val="1"/>
          <w:color w:val="auto"/>
        </w:rPr>
        <w:t>Potential Payments</w:t>
      </w:r>
      <w:r>
        <w:rPr>
          <w:rFonts w:ascii="Arial" w:cs="Arial" w:eastAsia="Arial" w:hAnsi="Arial"/>
          <w:sz w:val="16"/>
          <w:szCs w:val="16"/>
          <w:color w:val="auto"/>
        </w:rPr>
        <w:t xml:space="preserve"> </w:t>
      </w:r>
      <w:r>
        <w:rPr>
          <w:rFonts w:ascii="Arial" w:cs="Arial" w:eastAsia="Arial" w:hAnsi="Arial"/>
          <w:sz w:val="16"/>
          <w:szCs w:val="16"/>
          <w:i w:val="1"/>
          <w:iCs w:val="1"/>
          <w:color w:val="auto"/>
        </w:rPr>
        <w:t>upon Termination or Change in Control</w:t>
      </w:r>
      <w:r>
        <w:rPr>
          <w:rFonts w:ascii="Arial" w:cs="Arial" w:eastAsia="Arial" w:hAnsi="Arial"/>
          <w:sz w:val="16"/>
          <w:szCs w:val="16"/>
          <w:color w:val="auto"/>
        </w:rPr>
        <w:t>.” In addition, Dr’s Schadt’s and Mr. Ro’s employment agreements provided for each to receive certain equity-based incentive awards following the closing of the Business Combination, which awards were granted under the 2021 Equity Incentive Plan (the “2021 EIP”) and are subject to service-based vesting conditions. For more information, see “—</w:t>
      </w:r>
      <w:r>
        <w:rPr>
          <w:rFonts w:ascii="Arial" w:cs="Arial" w:eastAsia="Arial" w:hAnsi="Arial"/>
          <w:sz w:val="16"/>
          <w:szCs w:val="16"/>
          <w:i w:val="1"/>
          <w:iCs w:val="1"/>
          <w:color w:val="auto"/>
        </w:rPr>
        <w:t>Outstanding Equity Awards at 2021 Fiscal Year-End</w:t>
      </w:r>
      <w:r>
        <w:rPr>
          <w:rFonts w:ascii="Arial" w:cs="Arial" w:eastAsia="Arial" w:hAnsi="Arial"/>
          <w:sz w:val="16"/>
          <w:szCs w:val="16"/>
          <w:color w:val="auto"/>
        </w:rPr>
        <w:t>.”</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pursuant to their employment agreements, each of Dr. Schadt and Mr. Ro agreed that, during the nine-month period following the closing of our Business Combination, he will not: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any shares of our Class A common stock, (ii) enter into any swap or other arrangement that transfers to another, in whole or in part, any of the economic consequences of ownership of any of such shares, in cash or otherwise, or (iii) publicly announce any intention to effect any transaction specified in clause (i) or (ii).</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his employment agreement, if Dr. Schadt is terminated without “cause” or resigns for “good reason” (as such terms are defined in his employment agreement) other than in connection with a change in control, he will be entitled to receive 24 months of base salary continuation and continued coverage under our group health benefit plans, subject to his execution of a release of claims. If instead such termination occurs within the period commencing three months prior to and ending 12 months following a change in control, he will be entitled to receive 24 months of base salary continuation, a lump sum payment equal to two times his target annual bonus, 24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continued coverage under our group health benefit plans, and accelerated vesting of his outstanding equity-based compensation awards, subject to his execution of a release of claims.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his employment agreement, if Mr. Ro is terminated without “cause” or resigns for “good reason” (as such terms are defined in his employment agreement) other than in connection with a change in control, he will be entitled to receive 9 months of base salary continuation and 12 months of continued coverage under our group health benefit plans, subject to his execution of a release of claims. If instead such termination occurs within the 12-month period following a change in control, he will be entitled to receive 12 months of base salary continuation, a lump sum payment equal to one times his target annual bonus, 12 months of continued coverage under our group health benefit plans, and accelerated vesting of his outstanding equity-based compensation awards, subject to his execution of a release of claims.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described above in “—</w:t>
      </w:r>
      <w:r>
        <w:rPr>
          <w:rFonts w:ascii="Arial" w:cs="Arial" w:eastAsia="Arial" w:hAnsi="Arial"/>
          <w:sz w:val="18"/>
          <w:szCs w:val="18"/>
          <w:i w:val="1"/>
          <w:iCs w:val="1"/>
          <w:color w:val="auto"/>
        </w:rPr>
        <w:t>Outstanding Equity Awards at 2021 Fiscal Year-End</w:t>
      </w:r>
      <w:r>
        <w:rPr>
          <w:rFonts w:ascii="Arial" w:cs="Arial" w:eastAsia="Arial" w:hAnsi="Arial"/>
          <w:sz w:val="18"/>
          <w:szCs w:val="18"/>
          <w:color w:val="auto"/>
        </w:rPr>
        <w:t>”, a portion of the stock options held by Dr. Schadt would vest upon a change in control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 with Our Former Named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Dr. Coffin’s departure from our company in February 2022, we and Dr. Coffin entered into a separation agreement (the “Separation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 pursuant to which Dr. Coffin received the following severance benefits in exchange for his execution of release of claims:</w:t>
      </w:r>
    </w:p>
    <w:p>
      <w:pPr>
        <w:spacing w:after="0" w:line="157"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severance payment equal to 12 months of Dr. Coffin’s annual base salary in the amount of $550,000;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discretionary 2021 annual bonus payment in the amount of $180,370;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12 months of reimbursement of COBRA continuation benefits;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accelerated vesting of 25,425 stock options that were otherwise scheduled to vest on February 2, 2022 in the amount of $58,233, which is calculated based on the fair value estimated as of the effective date of his separation agreement;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extended period to exercise certain of Dr. Coffin’s vested stock options through May 30,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 and Other Benefit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2021 Equity Incentive Plan or the 2021 EIP was adopted by our Board and approved by our stockholders in July 2021. The following summarizes the material terms of the 2021 EIP. This summary is qualified in its entirety to the full text of the 2021 EIP.</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Shares reserved. </w:t>
      </w:r>
      <w:r>
        <w:rPr>
          <w:rFonts w:ascii="Arial" w:cs="Arial" w:eastAsia="Arial" w:hAnsi="Arial"/>
          <w:sz w:val="17"/>
          <w:szCs w:val="17"/>
          <w:color w:val="auto"/>
        </w:rPr>
        <w:t>We initially reserved 32,734,983 shares of Class A common stock for issuance pursuant to awards granted under the 2021 EIP,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shares of our Class A common stock previously reserved but unissued under Legacy Sema4’s 2017 Equity Incentive Plan that became available for issuance under the 2021 Plan. The number of shares reserved for issuance under the 2021 EIP will increase automatically on January 1 of each of 2022 through 2031 by the number of shares equal to 5% of the aggregate number of outstanding shares of all classes of our Class A common stock as of the immediately preceding December 31, or a lesser number as may be determined by our Board. On January 25, 2022, an additional 12,128,941 shares became available for future issuance under the 2021 EIP pursuant to the plan’s evergreen provision.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shares set forth below will again be available for issuance pursuant to awards granted under our 2021 EIP:</w:t>
      </w:r>
    </w:p>
    <w:p>
      <w:pPr>
        <w:spacing w:after="0" w:line="171" w:lineRule="exact"/>
        <w:rPr>
          <w:sz w:val="20"/>
          <w:szCs w:val="20"/>
          <w:color w:val="auto"/>
        </w:rPr>
      </w:pPr>
    </w:p>
    <w:p>
      <w:pPr>
        <w:ind w:left="660" w:right="2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shares subject to options or SARs granted under our 2021 EIP that cease to be subject to the option or SAR for any reason other than exercise of the option or SAR;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shares subject to awards granted under our 2021 EIP that are subsequently forfeited or repurchased by us at the original issue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44"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shares subject to awards granted under our 2021 EIP that otherwise terminate without such shares being issued;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shares subject to awards granted under our 2021 EIP that are surrendered, cancelled, or exchanged for cash or a different award (or combination thereof);</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shares issuable upon the exercise of options or subject to other awards granted under the 2021 EIP that cease to be subject to such options or other awards, by forfeiture or otherwise, after the effective date of the 2021 EIP;</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shares subject to awards granted under the 2021 EIP that are forfeited or repurchased by us at the original price after the effective date of the 2021 EIP;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shares subject to awards under the 2021 EIP that are used to pay the exercise price of an option or withheld to satisfy the tax withholding obligations related to any award.</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2021 EIP will be administered by our compensation committee, or by our Board acting in place of our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terms and conditions of the 2021 EIP, the administrator will have the authority, among other things, to select the persons to whom awards may be granted, construe and interpret our 2021 EIP as well as to determine the terms of such awards and prescribe, amend and rescind the rules and regulations relating to the plan or any award granted thereunder. The 2021 EIP provides that the administrator may delegate its authority, including the authority to grant awards, to one or more executive officers to the extent permitted by applicable law, provided that awards granted to non-employee directors may only be determined by our Board.</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2021 EIP provides for the grant of both incentive stock options intended to qualify under Section 422 of the Code, and nonqualified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to purchase shares of our Class A common stock at a stated exercise price. Incentive stock options may only be granted to employees, including officers and directors who are also employees. The exercise price of stock options granted under the 2021 EIP must be at least equal to the fair market value of our Class A common stock on the date of grant. Incentive stock options granted to an individual who holds, directly or by attribution, more than ten percent of the total combined voting power of all classes of our capital stock must have an exercise price of at least 110% the fair market value of our Class A common stock on the date of grant.</w:t>
      </w:r>
    </w:p>
    <w:p>
      <w:pPr>
        <w:spacing w:after="0" w:line="1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Options may vest based on service or achievement of performance conditions, as determined by the administrator. The administrator may provide for options to be exercised only as they vest or to be immediately exercisable, with any shares issued on exercise being subject to our right of repurchase that lapses as the shares vest. In the event of a participant’s termination of service, an option is generally exercisable, to the extent vested, for a period of three months in the case of termination without cause (except due to a participant’s death or disability), for a period of 12 months in the case of termination due to the participant’s death or disability, or such longer or shorter period as the administrator may provide, and for a period of 24 months in the case of termination due to the participant’s retirement (consistent with our policies regarding retirement). Stock options generally terminate upon a participant’s termination of employment for cause. The maximum term of options granted under our 2021 EIP is ten years from the date of grant, except that the maximum permitted term of incentive stock options granted to an individual who holds, directly or by attribution, more than ten percent of the total combined voting power of all classes of our capital stock is five years from the date of grant.</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Restricted stock awards (“</w:t>
      </w:r>
      <w:r>
        <w:rPr>
          <w:rFonts w:ascii="Arial" w:cs="Arial" w:eastAsia="Arial" w:hAnsi="Arial"/>
          <w:sz w:val="18"/>
          <w:szCs w:val="18"/>
          <w:color w:val="auto"/>
        </w:rPr>
        <w:t>RSA</w:t>
      </w:r>
      <w:r>
        <w:rPr>
          <w:rFonts w:ascii="Arial" w:cs="Arial" w:eastAsia="Arial" w:hAnsi="Arial"/>
          <w:sz w:val="18"/>
          <w:szCs w:val="18"/>
          <w:i w:val="1"/>
          <w:iCs w:val="1"/>
          <w:color w:val="auto"/>
        </w:rPr>
        <w:t xml:space="preserve">”). </w:t>
      </w:r>
      <w:r>
        <w:rPr>
          <w:rFonts w:ascii="Arial" w:cs="Arial" w:eastAsia="Arial" w:hAnsi="Arial"/>
          <w:sz w:val="18"/>
          <w:szCs w:val="18"/>
          <w:color w:val="auto"/>
        </w:rPr>
        <w:t>An RSA is an offer by us to grant or sell shares of our Class A common stock subject to restrictions, which may lapse</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satisfaction of service or achievement of performance conditions. The price, if any, of an RSA will be determined by the administrator. Unless otherwise determined by the administrator, vesting will cease on the date the participant no longer provides services to us and unvested shares may be forfeited to or repurchased by us.</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Stock appreciation rights (“</w:t>
      </w:r>
      <w:r>
        <w:rPr>
          <w:rFonts w:ascii="Arial" w:cs="Arial" w:eastAsia="Arial" w:hAnsi="Arial"/>
          <w:sz w:val="16"/>
          <w:szCs w:val="16"/>
          <w:color w:val="auto"/>
        </w:rPr>
        <w:t>SAR”</w:t>
      </w:r>
      <w:r>
        <w:rPr>
          <w:rFonts w:ascii="Arial" w:cs="Arial" w:eastAsia="Arial" w:hAnsi="Arial"/>
          <w:sz w:val="16"/>
          <w:szCs w:val="16"/>
          <w:i w:val="1"/>
          <w:iCs w:val="1"/>
          <w:color w:val="auto"/>
        </w:rPr>
        <w:t>)</w:t>
      </w:r>
      <w:r>
        <w:rPr>
          <w:rFonts w:ascii="Arial" w:cs="Arial" w:eastAsia="Arial" w:hAnsi="Arial"/>
          <w:sz w:val="16"/>
          <w:szCs w:val="16"/>
          <w:color w:val="auto"/>
        </w:rPr>
        <w:t>. A SAR provides for a payment, in cash or shares of our Class A common stock (up to a specified maximum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if determined by the administrator), to the participant based upon the difference between the fair market value of our Class A common stock on the date of exercise and a predetermined exercise price, multiplied by the number of shares. The exercise price of a SAR must be at least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fair market value of a share of our Class A common stock on the date of grant. SARs may vest based on service or achievement of performance conditions.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SAR may have a term that is longer than ten years from the date of grant.</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Restricted stock units (“</w:t>
      </w:r>
      <w:r>
        <w:rPr>
          <w:rFonts w:ascii="Arial" w:cs="Arial" w:eastAsia="Arial" w:hAnsi="Arial"/>
          <w:sz w:val="18"/>
          <w:szCs w:val="18"/>
          <w:color w:val="auto"/>
        </w:rPr>
        <w:t>RSU</w:t>
      </w:r>
      <w:r>
        <w:rPr>
          <w:rFonts w:ascii="Arial" w:cs="Arial" w:eastAsia="Arial" w:hAnsi="Arial"/>
          <w:sz w:val="18"/>
          <w:szCs w:val="18"/>
          <w:i w:val="1"/>
          <w:iCs w:val="1"/>
          <w:color w:val="auto"/>
        </w:rPr>
        <w:t xml:space="preserve">”). </w:t>
      </w:r>
      <w:r>
        <w:rPr>
          <w:rFonts w:ascii="Arial" w:cs="Arial" w:eastAsia="Arial" w:hAnsi="Arial"/>
          <w:sz w:val="18"/>
          <w:szCs w:val="18"/>
          <w:color w:val="auto"/>
        </w:rPr>
        <w:t>An RSU represents the right to receive the value of shares of our Class A common stock at a specified date in the future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may be subject to vesting based on service or achievement of performance conditions. RSUs may be settled in cash, shares of our Class A common stock or a combination of both as soon as practicable following vesting or on a later date subject to the terms of the 2021 EIP. No RSU may have a term that is longer than ten years from the date of grant.</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Performance awards granted pursuant to the 2021 EIP may be in the form of a cash bonus, or an award of performance shares or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units denominated in shares of our Class A common stock that may be settled in cash, property or by issuance of those shares, subject to the satisfaction or achievement of specified performance conditions.</w:t>
      </w:r>
    </w:p>
    <w:p>
      <w:pPr>
        <w:spacing w:after="0" w:line="13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i w:val="1"/>
          <w:iCs w:val="1"/>
          <w:color w:val="auto"/>
        </w:rPr>
        <w:t xml:space="preserve">Stock bonus awards. </w:t>
      </w:r>
      <w:r>
        <w:rPr>
          <w:rFonts w:ascii="Arial" w:cs="Arial" w:eastAsia="Arial" w:hAnsi="Arial"/>
          <w:sz w:val="16"/>
          <w:szCs w:val="16"/>
          <w:color w:val="auto"/>
        </w:rPr>
        <w:t>A stock bonus award provides for payment in the form of cash, shares of our Class A common stock or a combination thereof,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fair market value of shares subject to such award as determined by the administrator. The awards may be granted as consideration for services already rendered, or at the discretion of the administrator, may be subject to vesting restrictions based on continued service or performance conditions.</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Dividend equivalents rights. </w:t>
      </w:r>
      <w:r>
        <w:rPr>
          <w:rFonts w:ascii="Arial" w:cs="Arial" w:eastAsia="Arial" w:hAnsi="Arial"/>
          <w:sz w:val="18"/>
          <w:szCs w:val="18"/>
          <w:color w:val="auto"/>
        </w:rPr>
        <w:t>Our Board or the compensation committee thereof may permit participants holding RSUs to receive dividend equivalent</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if and when dividends are paid to stockholders. In the discretion of our board or the compensation committee thereof, such dividend equivalent payments may be paid in cash or shares of our Class A common stock and may either be paid at the same time as dividend payments are made to stockholders or delayed until shares are issued pursuant to the RSU grants and may be subject to the same vesting or performance requirements as the RSUs.</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Change of control. </w:t>
      </w:r>
      <w:r>
        <w:rPr>
          <w:rFonts w:ascii="Arial" w:cs="Arial" w:eastAsia="Arial" w:hAnsi="Arial"/>
          <w:sz w:val="17"/>
          <w:szCs w:val="17"/>
          <w:color w:val="auto"/>
        </w:rPr>
        <w:t>Our 2021 EIP provides that, in the event of a corporate transaction that constitutes a change of control of our company under the terms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plan, outstanding awards will be subject to the agreement evidencing the change of control, which need not treat all outstanding awards in an identical manner, and may include one or more of the following: (i) the continuation of the outstanding awards; (ii) the assumption of the outstanding awards by the surviving corporation or its parent; (iii) the substitution by the surviving corporation or its parent of new options or equity awards for the outstanding awards; (iv) the full or partial acceleration of exercisability or vesting or lapse of the company’s right to repurchase or other terms of forfeiture and accelerated expiration of the award; or (v) the settlement of the full value of the outstanding awards (whether or not then vested or exercisable) in cash, cash equivalents, or securities of the successor entity with a fair market value equal to the required amount, as determined in accordance with the 2021 EIP, which payments may be deferred until the date or dates the award would have become exercisable or vested. Notwithstanding the foregoing, upon a change of control the vesting of all awards granted to our non-employee directors will accelerate and such awards will become exercisable, to the extent applicable, and vested in full immediately prior to the consummation of the change of control.</w:t>
      </w:r>
    </w:p>
    <w:p>
      <w:pPr>
        <w:spacing w:after="0" w:line="13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Adjustment. </w:t>
      </w:r>
      <w:r>
        <w:rPr>
          <w:rFonts w:ascii="Arial" w:cs="Arial" w:eastAsia="Arial" w:hAnsi="Arial"/>
          <w:sz w:val="17"/>
          <w:szCs w:val="17"/>
          <w:color w:val="auto"/>
        </w:rPr>
        <w:t>In the event of a change in the number of outstanding shares of our Class A common stock without consideration by reason of a stock</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 extraordinary dividend or distribution, spin-off, recapitalization, stock split, reverse stock split, subdivision, combination, consolidation reclassification, spin-off or similar change in our capital structure, proportional adjustments will be made to (i) the number and class of shares reserved for issuance under our 2021 EIP; (ii) the exercise prices, number and class of shares subject to outstanding options or SARs; (iii) the number and class of shares subject to other outstanding awards; and (iv) the maximum number and class of shares that may be issued as incentive stock options, subject to any required action by the board or our stockholders and compliance with applicable laws.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Exchange, repricing and buyout of awards</w:t>
      </w:r>
      <w:r>
        <w:rPr>
          <w:rFonts w:ascii="Arial" w:cs="Arial" w:eastAsia="Arial" w:hAnsi="Arial"/>
          <w:sz w:val="18"/>
          <w:szCs w:val="18"/>
          <w:color w:val="auto"/>
        </w:rPr>
        <w:t>. The administrator may, without prior stockholder approval, (i) reduce the exercise price of outstanding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or SARs without the consent of any participant and (ii) pay cash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issue new awards in exchange for the surrender and cancellation of any, or all, outstanding awards, subject to the consent of any affected participant to the extent required by the terms of the 2021 EIP.</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No non-employee director may receive awards under our 2021 EIP with a grant date value that when combined with cash</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received for his or her service as a director, exceed $750,000 in a calendar year, increased to $1,000,000 in the calendar year of his or her initial services as a non-employee director.</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Clawback; transferability</w:t>
      </w:r>
      <w:r>
        <w:rPr>
          <w:rFonts w:ascii="Arial" w:cs="Arial" w:eastAsia="Arial" w:hAnsi="Arial"/>
          <w:sz w:val="18"/>
          <w:szCs w:val="18"/>
          <w:color w:val="auto"/>
        </w:rPr>
        <w:t>. All awards will be subject to clawback or recoupment pursuant to any compensation clawback or recoupment policy adopted by</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or the compensation committee thereof or required by law during the term of service of the participant, to the extent set forth in such policy or applicable agreement. Except in limited circumstances, awards granted under our 2021 EIP may generally not be transferred in any manner other than by will or by the laws of descent and distribution.</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Sub-plans</w:t>
      </w:r>
      <w:r>
        <w:rPr>
          <w:rFonts w:ascii="Arial" w:cs="Arial" w:eastAsia="Arial" w:hAnsi="Arial"/>
          <w:sz w:val="18"/>
          <w:szCs w:val="18"/>
          <w:color w:val="auto"/>
        </w:rPr>
        <w:t>. Subject to the terms of the 2021 EIP, the plan administrator may establish a sub-plan under the 2021 EIP and/or modify the terms of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to participants outside of the United States to comply with any laws or regulations applicable to any such jurisdiction.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or compensation committee may amend our 2021 EIP at any time, subject to stockholder approval as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Our 2021 EIP will terminate ten years from the date our Board adopts the plan, unless it is terminated earlier by our Board. No termination or amendment of the 2021 EIP may materially adversely affect any then-outstanding award without the consent of the affected participant, except as is necessary to comply with applicable laws or as otherwise provided by the terms of the 2021 EIP.</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Legacy Sema4’s 2017 Equity Incentive Plan (the “2017 EIP”) was adopted by Legacy Sema4’s board of directors and approved by its stockholders in April 2017. The 2017 EIP allowed for the grant of stock options, stock appreciation rights, restricted stock, and RSUs. As of December 31, 2021, we had 27,671,750 shares of our Class A common stock reserved for issuance pursuant to outstanding awards granted under the 2017 EIP. We terminated the 2017 EIP upon the effective date of the 2021 EIP, which was July 21, 2021. Any awards granted under the 2017 EIP that remained outstanding as of such date continue to be subject to the terms of the 2017 EIP and applicable award agreements until such awards are exercised or amended or until they terminate or expire by their terms.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2021 Employee Stock Purchase Plan (the “ESPP”) was adopted by our Board and approved by our stockholders in July 2021. The following summarizes the material terms of the ESPP. This summary is qualified in its entirety to the full text of the ESPP. We have not yet established an offering period under the ESPP.</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Shares Reserved</w:t>
      </w:r>
      <w:r>
        <w:rPr>
          <w:rFonts w:ascii="Arial" w:cs="Arial" w:eastAsia="Arial" w:hAnsi="Arial"/>
          <w:sz w:val="18"/>
          <w:szCs w:val="18"/>
          <w:color w:val="auto"/>
        </w:rPr>
        <w:t>. We have initially reserved 4,804,011 shares of our Class A common stock equal for issuance and sale under the ESPP.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reserved for issuance and sale under our ESPP will increase automatically on January 1 of each of 2022 through 2031 by the number of shares equal to 1% of the aggregate number of outstanding shares of all classes of our Class A common stock as of the immediately preceding December 31, or a lesser number as may be determined by our compensation committee, or by our Board acting in place of our compensation committee. Subject to stock splits, recapitalizations, or similar events, no more than the number of shares of our Class A common stock equal to ten times the Initial ESPP Share Reserve may be issued over the term of the ESPP. On January 25, 2022, an additional 2,425,788 shares became available for future issuance under the ESPP pursuant to the plan’s evergreen provision.</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ESPP will be administered by our compensation committee, or by our Board acting in place of our compensation committee,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and conditions of the ESPP. Among other things, the administrator will have the authority to determine eligibility for participation in the ESPP, designate separate offerings under the plan, and construe, interpret and apply the terms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Employees eligible to participate in any offering pursuant to the ESPP generally include any employee that is employed by us or certain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designated subsidiaries at the beginning of the offering period. However, the administrator may exclude employees who do not meet eligibility requirements that our compensation committee may choose to impose (within the limits permitted by the Code), are customarily employed for 20 hours or less per week, are customarily employed for five months or less in a calendar year or certain highly-compensated employees as determined in accordance with applicable tax laws. In addition, any employee who owns (or is deemed to own because of attribution rules) 5% or more of the total combined voting power or value of all classes of our capital stock, or the capital stock of one of our qualifying subsidiaries, or who will own such amount because of participation in the ESPP, will not be eligible to participate in the ESPP. The administrator may impose additional restrictions on eligibility from time to time.</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Offering Periods; Enrollment. </w:t>
      </w:r>
      <w:r>
        <w:rPr>
          <w:rFonts w:ascii="Arial" w:cs="Arial" w:eastAsia="Arial" w:hAnsi="Arial"/>
          <w:sz w:val="17"/>
          <w:szCs w:val="17"/>
          <w:color w:val="auto"/>
        </w:rPr>
        <w:t>Under our ESPP, eligible employees will be offered the option to purchase shares of our Class A common stock at a discount</w:t>
      </w:r>
      <w:r>
        <w:rPr>
          <w:rFonts w:ascii="Arial" w:cs="Arial" w:eastAsia="Arial" w:hAnsi="Arial"/>
          <w:sz w:val="17"/>
          <w:szCs w:val="17"/>
          <w:i w:val="1"/>
          <w:iCs w:val="1"/>
          <w:color w:val="auto"/>
        </w:rPr>
        <w:t xml:space="preserve"> </w:t>
      </w:r>
      <w:r>
        <w:rPr>
          <w:rFonts w:ascii="Arial" w:cs="Arial" w:eastAsia="Arial" w:hAnsi="Arial"/>
          <w:sz w:val="17"/>
          <w:szCs w:val="17"/>
          <w:color w:val="auto"/>
        </w:rPr>
        <w:t>over a series of offering periods through accumulated payroll deductions over the period. The length of the offering periods under ESPP will be determined by the plan administrator and may be up to twenty-seven (27) months long. Each offering period may itself consist of one or more purchase periods. When the first offering period commences, our employees who meet the eligibility requirements for participation in that offering period will be eligible to enroll. For subsequent offering periods, new participants will be required to enroll in a timely manner. Once an employee is enrolled, participation will be automatic in subsequence offering periods. Participation in the ESPP ends automatically upon a participant’s termination of employment. A participant may withdraw his or her participation from the ESPP at any time by submitting written notice to the company.</w:t>
      </w:r>
    </w:p>
    <w:p>
      <w:pPr>
        <w:spacing w:after="0" w:line="12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Offerings; Contributions; Limitations. </w:t>
      </w:r>
      <w:r>
        <w:rPr>
          <w:rFonts w:ascii="Arial" w:cs="Arial" w:eastAsia="Arial" w:hAnsi="Arial"/>
          <w:sz w:val="16"/>
          <w:szCs w:val="16"/>
          <w:color w:val="auto"/>
        </w:rPr>
        <w:t>The purchase price for shares purchased under the ESPP during any given purchase period will be 85% of the lesser</w:t>
      </w:r>
      <w:r>
        <w:rPr>
          <w:rFonts w:ascii="Arial" w:cs="Arial" w:eastAsia="Arial" w:hAnsi="Arial"/>
          <w:sz w:val="16"/>
          <w:szCs w:val="16"/>
          <w:i w:val="1"/>
          <w:iCs w:val="1"/>
          <w:color w:val="auto"/>
        </w:rPr>
        <w:t xml:space="preserve"> </w:t>
      </w:r>
      <w:r>
        <w:rPr>
          <w:rFonts w:ascii="Arial" w:cs="Arial" w:eastAsia="Arial" w:hAnsi="Arial"/>
          <w:sz w:val="16"/>
          <w:szCs w:val="16"/>
          <w:color w:val="auto"/>
        </w:rPr>
        <w:t>of the fair market value of our Class A common stock on (i) the first trading day of the applicable offering period or (ii) the last trading day of the purchase period. The ESPP permits participants to purchase shares of our Class A common stock through payroll deductions of a percentage of their eligible compensation, which may not be less than one percent (1%) and may be up to a maximum of fifteen percent (15%) or such lower limit set by the plan administrator. No participant may purchase more than 2,500 shares of our Class A common stock during any one purchase period, and may not subscribe for more than $25,000 in fair market value of shares of our Class A common stock (determined as of the date the offering period commences) in any calendar year in which the offering is in effect. The administrator in its discretion, may set a lower maximum number of shares which may be purchased.</w:t>
      </w:r>
    </w:p>
    <w:p>
      <w:pPr>
        <w:spacing w:after="0" w:line="1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Adjustments upon recapitalization. </w:t>
      </w:r>
      <w:r>
        <w:rPr>
          <w:rFonts w:ascii="Arial" w:cs="Arial" w:eastAsia="Arial" w:hAnsi="Arial"/>
          <w:sz w:val="17"/>
          <w:szCs w:val="17"/>
          <w:color w:val="auto"/>
        </w:rPr>
        <w:t>If the number of outstanding shares of our Class A common stock is changed by stock dividend, recapitalization,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split, reverse stock split, subdivision, combination, reclassification or similar change in our capital structure without consideration, then the administrator will proportionately adjust the number and class of common stock that is available under the ESPP, the purchase price and number of shares any participant has elected to purchase as well as the maximum number of shares which may be purchased by participants.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Corporate Transaction. </w:t>
      </w:r>
      <w:r>
        <w:rPr>
          <w:rFonts w:ascii="Arial" w:cs="Arial" w:eastAsia="Arial" w:hAnsi="Arial"/>
          <w:sz w:val="17"/>
          <w:szCs w:val="17"/>
          <w:color w:val="auto"/>
        </w:rPr>
        <w:t>If the post-combination company experiences a corporate transaction as determined under the terms of the ESPP, any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period then in effect will be shortened and terminated on a final purchase date established by the administrator. The final purchase date will occur on or prior to the effective date of change of control transaction, and our ESPP will terminate on the closing of the change of control.</w:t>
      </w:r>
    </w:p>
    <w:p>
      <w:pPr>
        <w:spacing w:after="0" w:line="1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Participants may generally not assign, transfer, pledge or otherwise dispose of payroll deductions credited to his or her account, or any</w:t>
      </w:r>
      <w:r>
        <w:rPr>
          <w:rFonts w:ascii="Arial" w:cs="Arial" w:eastAsia="Arial" w:hAnsi="Arial"/>
          <w:sz w:val="17"/>
          <w:szCs w:val="17"/>
          <w:i w:val="1"/>
          <w:iCs w:val="1"/>
          <w:color w:val="auto"/>
        </w:rPr>
        <w:t xml:space="preserve"> </w:t>
      </w:r>
      <w:r>
        <w:rPr>
          <w:rFonts w:ascii="Arial" w:cs="Arial" w:eastAsia="Arial" w:hAnsi="Arial"/>
          <w:sz w:val="17"/>
          <w:szCs w:val="17"/>
          <w:color w:val="auto"/>
        </w:rPr>
        <w:t>rights with regard to an election to purchase shares pursuant to the ESPP other than by will or the laws of descent or distribution.</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Amendment; Termination. </w:t>
      </w:r>
      <w:r>
        <w:rPr>
          <w:rFonts w:ascii="Arial" w:cs="Arial" w:eastAsia="Arial" w:hAnsi="Arial"/>
          <w:sz w:val="18"/>
          <w:szCs w:val="18"/>
          <w:color w:val="auto"/>
        </w:rPr>
        <w:t>The board or compensation committee may amend, suspend or terminate the ESPP at any time without stockholder consent,</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to the extent such amendment would increase the number of shares available for issuance under the ESPP, change the class or designation of employees eligible for participation in the plan or otherwise as required by law. If the ESPP is terminated, the administrator may elect to terminate all outstanding offering periods immediately, upon the next purchase date (which may be sooner than originally scheduled) or upon the last day of such offering period. If any offering period is terminated prior to its scheduled completion, all amounts credited to participants which have not been used to purchase shares will be returned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participants as soon as administratively practicable. Unless earlier terminated, the ESPP will terminated upon the earlier to occur of the issuance of all shares of common stock reserved for issuance under the ESPP, or the 10th anniversary of the effective date.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sponsor a retirement savings plan established on January 1, 2018 that is intended to qualify for favorable tax treatment under Section 401(a) of the IRC, and contains a cash or deferred feature that is intended to meet the requirements of Section 401(k) of the IRC. Participants may make pre-tax and certain after-tax (Roth) salary deferral contributions to the plan from their eligible earnings up to the statutorily prescribed annual limit under the IRC. Participants who are 50 years of age or older may contribute additional amounts based on the statutory limits for catch-up contributions. Participant contributions are held in trust as required by law. No minimum benefit is provided under the plan. The plan provides for employer safe harbor matching contributions equal to 100% of an employee’s salary deferrals that do not exceed 6% of the employee’s compensation. An employee’s interest in his or her deferrals and safe harbor matching contributions is 100% vested when contributed.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named executive officers, while employed by us, are eligible to participate in our employee benefit plans on the same basis as our other employees, including our health and welfare plans. We generally do not provide our named executive officers with perquisites or other personal benefits. However, we do reimburse our named executive officers for their necessary and reasonable business and travel expenses incurred in connection with their services to us.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directors who were members of our compensation committee during 2021 were Joshua Ruch, Rachel Sherman and Nat Turner. None of them at any time has been one of our officers or employees. None of our executive officers serves, or in the past has served, as a member of the Board or compensation committee of any entity that has one or more of its executive officers serving on our Board or our compensation committee.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adopted a non-employee director compensation policy that is designed to enable us to attract and retain, on a long-term basis, highly qualified non-employee directors. Our non-employee directors will receive an annual cash retainer of $40,000, payable quarterly, and a grant of stock options and RSUs with an aggregate grant-date value of $200,000, which will vest on the earlier of the first anniversary of the grant date and the next annual meeting of our stockholders. New non-employee directors will receive a grant of stock options RSUs upon joining our Board with an aggregate grant-date value of $400,000, which will vest over the three-year period following the grant date.</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Members of our audit committee will receive an additional annual cash retainer of $10,000, and the chairperson of our audit committee will receive an additional cash retainer of $20,000 (in lieu of the annual retainer for membership on the audit committee). Members of our compensation committee will receive an additional annual cash retainer of $7,500, and the chairperson of our compensation committee will receive an additional cash retainer of $15,000 (in lieu of the annual retainer for membership on the compensation committee). Members of our nominating and governance committee will receive an additional annual cash retainer of $5,000, and the chairperson of our nominating and governance committee will receive an additional cash retainer of $10,000 (in lieu of the annual retainer for membership on the compensation committee).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Chairman Compensation</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January 2022, our Board appointed Jason Ryan as Executive Chairman and entered into an executive chairman agreement (the “Executive Chairman Agreement”) with Mr. Ryan. Prior to this appointment, Mr. Ryan served as a non-employee director of our Board. The Executive Chairman Agreement provides for an annual base salary of $540,000. In connection with the appointment, we issued to our Executive Chairman an option to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429,730 shares of our Class A common stock, 247,525 service-based RSUs and 126,980 performance-based stock units, which awards will vest in full on the earlier of (a) December 31, 2022, and (b) a change in control of our company subject to Mr. Ryan’s continued service as our Executive Chairman through such date and, in the case of the performance-based RSUs, subject to the achievement of certain performance-based vesting conditions. The Executive Chairman Agreement will terminate on December 31, 2022 unless terminated earlier in accordance with its terms or extended by the mutual agreement of our Board and Mr. Ryan.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Director Compensation Table</w:t>
      </w:r>
    </w:p>
    <w:p>
      <w:pPr>
        <w:spacing w:after="0" w:line="171" w:lineRule="exact"/>
        <w:rPr>
          <w:sz w:val="20"/>
          <w:szCs w:val="20"/>
          <w:color w:val="auto"/>
        </w:rPr>
      </w:pPr>
    </w:p>
    <w:p>
      <w:pPr>
        <w:jc w:val="both"/>
        <w:spacing w:after="0" w:line="291" w:lineRule="auto"/>
        <w:rPr>
          <w:rFonts w:ascii="Arial" w:cs="Arial" w:eastAsia="Arial" w:hAnsi="Arial"/>
          <w:sz w:val="16"/>
          <w:szCs w:val="16"/>
          <w:color w:val="auto"/>
        </w:rPr>
      </w:pPr>
      <w:r>
        <w:rPr>
          <w:rFonts w:ascii="Arial" w:cs="Arial" w:eastAsia="Arial" w:hAnsi="Arial"/>
          <w:sz w:val="16"/>
          <w:szCs w:val="16"/>
          <w:color w:val="auto"/>
        </w:rPr>
        <w:t>The following table sets forth the compensation earned by or paid to our non-employee directors for services provided during the year ended December 31, 2021, other than Keith Meister who joined the Board in January 2022 and Richard Pfenniger, Jr., who joined the Board in April 2022. Dr. Schadt did not receive any compensation for his service as a director during fiscal year 2021, while also serving as Chief Executive Officer. Ms. Stueland also joined the Board in April 2022 and will not receive any compensation for her service as a director while also service as Co-Chief Executive Officer. Other than as described below, none of our non-employee directors received any fees or reimbursement of any expenses (other than customary expenses in connection with the attendance of meetings of our Board) or any equity or non-equity awards in the year ended December 31, 2021. Please see the section entitled “</w:t>
      </w:r>
      <w:hyperlink w:anchor="page138">
        <w:r>
          <w:rPr>
            <w:rFonts w:ascii="Arial" w:cs="Arial" w:eastAsia="Arial" w:hAnsi="Arial"/>
            <w:sz w:val="16"/>
            <w:szCs w:val="16"/>
            <w:i w:val="1"/>
            <w:iCs w:val="1"/>
            <w:u w:val="single" w:color="auto"/>
            <w:color w:val="0000FF"/>
          </w:rPr>
          <w:t>Executive Compensation</w:t>
        </w:r>
        <w:r>
          <w:rPr>
            <w:rFonts w:ascii="Arial" w:cs="Arial" w:eastAsia="Arial" w:hAnsi="Arial"/>
            <w:sz w:val="16"/>
            <w:szCs w:val="16"/>
            <w:u w:val="single" w:color="auto"/>
            <w:color w:val="0000FF"/>
            <w:highlight w:val="white"/>
          </w:rPr>
          <w:t>—</w:t>
        </w:r>
        <w:r>
          <w:rPr>
            <w:rFonts w:ascii="Arial" w:cs="Arial" w:eastAsia="Arial" w:hAnsi="Arial"/>
            <w:sz w:val="16"/>
            <w:szCs w:val="16"/>
            <w:i w:val="1"/>
            <w:iCs w:val="1"/>
            <w:u w:val="single" w:color="auto"/>
            <w:color w:val="0000FF"/>
            <w:highlight w:val="white"/>
          </w:rPr>
          <w:t>2021 Summary Compensation Table</w:t>
        </w:r>
      </w:hyperlink>
      <w:r>
        <w:rPr>
          <w:rFonts w:ascii="Arial" w:cs="Arial" w:eastAsia="Arial" w:hAnsi="Arial"/>
          <w:sz w:val="16"/>
          <w:szCs w:val="16"/>
          <w:color w:val="auto"/>
          <w:highlight w:val="white"/>
        </w:rPr>
        <w:t>”</w:t>
      </w:r>
      <w:r>
        <w:rPr>
          <w:rFonts w:ascii="Arial" w:cs="Arial" w:eastAsia="Arial" w:hAnsi="Arial"/>
          <w:sz w:val="16"/>
          <w:szCs w:val="16"/>
          <w:color w:val="auto"/>
        </w:rPr>
        <w:t xml:space="preserve"> </w:t>
      </w:r>
      <w:r>
        <w:rPr>
          <w:rFonts w:ascii="Arial" w:cs="Arial" w:eastAsia="Arial" w:hAnsi="Arial"/>
          <w:sz w:val="16"/>
          <w:szCs w:val="16"/>
          <w:color w:val="auto"/>
          <w:highlight w:val="white"/>
        </w:rPr>
        <w:t>for a summary of payments made to Dr. Schadt.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Restricted Stock</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Fees Earned or Paid</w:t>
            </w:r>
          </w:p>
        </w:tc>
        <w:tc>
          <w:tcPr>
            <w:tcW w:w="1400" w:type="dxa"/>
            <w:vAlign w:val="bottom"/>
            <w:gridSpan w:val="2"/>
          </w:tcPr>
          <w:p>
            <w:pPr>
              <w:ind w:left="60"/>
              <w:spacing w:after="0" w:line="189" w:lineRule="exact"/>
              <w:rPr>
                <w:sz w:val="20"/>
                <w:szCs w:val="20"/>
                <w:color w:val="auto"/>
              </w:rPr>
            </w:pPr>
            <w:r>
              <w:rPr>
                <w:rFonts w:ascii="Arial" w:cs="Arial" w:eastAsia="Arial" w:hAnsi="Arial"/>
                <w:sz w:val="14"/>
                <w:szCs w:val="14"/>
                <w:b w:val="1"/>
                <w:bCs w:val="1"/>
                <w:color w:val="auto"/>
              </w:rPr>
              <w:t>Option Awards($)</w:t>
            </w:r>
            <w:r>
              <w:rPr>
                <w:rFonts w:ascii="Arial" w:cs="Arial" w:eastAsia="Arial" w:hAnsi="Arial"/>
                <w:sz w:val="18"/>
                <w:szCs w:val="18"/>
                <w:b w:val="1"/>
                <w:bCs w:val="1"/>
                <w:color w:val="auto"/>
                <w:vertAlign w:val="superscript"/>
              </w:rPr>
              <w:t>(1)</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and Other Securities</w:t>
            </w:r>
          </w:p>
        </w:tc>
        <w:tc>
          <w:tcPr>
            <w:tcW w:w="1420" w:type="dxa"/>
            <w:vAlign w:val="bottom"/>
            <w:gridSpan w:val="2"/>
          </w:tcPr>
          <w:p>
            <w:pPr>
              <w:ind w:left="360"/>
              <w:spacing w:after="0"/>
              <w:rPr>
                <w:sz w:val="20"/>
                <w:szCs w:val="20"/>
                <w:color w:val="auto"/>
              </w:rPr>
            </w:pPr>
            <w:r>
              <w:rPr>
                <w:rFonts w:ascii="Arial" w:cs="Arial" w:eastAsia="Arial" w:hAnsi="Arial"/>
                <w:sz w:val="14"/>
                <w:szCs w:val="14"/>
                <w:b w:val="1"/>
                <w:bCs w:val="1"/>
                <w:color w:val="auto"/>
              </w:rPr>
              <w:t>All Other</w:t>
            </w:r>
          </w:p>
        </w:tc>
        <w:tc>
          <w:tcPr>
            <w:tcW w:w="130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2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320" w:type="dxa"/>
            <w:vAlign w:val="bottom"/>
            <w:tcBorders>
              <w:bottom w:val="single" w:sz="8" w:color="auto"/>
            </w:tcBorders>
          </w:tcPr>
          <w:p>
            <w:pPr>
              <w:jc w:val="right"/>
              <w:ind w:right="261"/>
              <w:spacing w:after="0" w:line="135" w:lineRule="exact"/>
              <w:rPr>
                <w:sz w:val="20"/>
                <w:szCs w:val="20"/>
                <w:color w:val="auto"/>
              </w:rPr>
            </w:pPr>
            <w:r>
              <w:rPr>
                <w:rFonts w:ascii="Arial" w:cs="Arial" w:eastAsia="Arial" w:hAnsi="Arial"/>
                <w:sz w:val="14"/>
                <w:szCs w:val="14"/>
                <w:b w:val="1"/>
                <w:bCs w:val="1"/>
                <w:color w:val="auto"/>
              </w:rPr>
              <w:t>in Cash($)</w:t>
            </w:r>
          </w:p>
        </w:tc>
        <w:tc>
          <w:tcPr>
            <w:tcW w:w="8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tcPr>
          <w:p>
            <w:pPr>
              <w:jc w:val="right"/>
              <w:ind w:right="523"/>
              <w:spacing w:after="0"/>
              <w:rPr>
                <w:sz w:val="20"/>
                <w:szCs w:val="20"/>
                <w:color w:val="auto"/>
              </w:rPr>
            </w:pPr>
            <w:r>
              <w:rPr>
                <w:rFonts w:ascii="Arial" w:cs="Arial" w:eastAsia="Arial" w:hAnsi="Arial"/>
                <w:sz w:val="9"/>
                <w:szCs w:val="9"/>
                <w:b w:val="1"/>
                <w:bCs w:val="1"/>
                <w:color w:val="auto"/>
              </w:rPr>
              <w:t>(5)</w:t>
            </w:r>
          </w:p>
        </w:tc>
        <w:tc>
          <w:tcPr>
            <w:tcW w:w="8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5"/>
                <w:szCs w:val="15"/>
                <w:b w:val="1"/>
                <w:bCs w:val="1"/>
                <w:color w:val="auto"/>
                <w:vertAlign w:val="subscript"/>
              </w:rPr>
              <w:t>($)</w:t>
            </w:r>
            <w:r>
              <w:rPr>
                <w:rFonts w:ascii="Arial" w:cs="Arial" w:eastAsia="Arial" w:hAnsi="Arial"/>
                <w:sz w:val="7"/>
                <w:szCs w:val="7"/>
                <w:b w:val="1"/>
                <w:bCs w:val="1"/>
                <w:color w:val="auto"/>
              </w:rPr>
              <w:t>(1)(5)</w:t>
            </w:r>
          </w:p>
        </w:tc>
        <w:tc>
          <w:tcPr>
            <w:tcW w:w="10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b w:val="1"/>
                <w:bCs w:val="1"/>
                <w:color w:val="auto"/>
              </w:rPr>
              <w:t>Compensation ($)</w:t>
            </w:r>
            <w:r>
              <w:rPr>
                <w:rFonts w:ascii="Arial" w:cs="Arial" w:eastAsia="Arial" w:hAnsi="Arial"/>
                <w:sz w:val="15"/>
                <w:szCs w:val="15"/>
                <w:b w:val="1"/>
                <w:bCs w:val="1"/>
                <w:color w:val="auto"/>
                <w:vertAlign w:val="superscript"/>
              </w:rPr>
              <w:t>(2)</w:t>
            </w:r>
          </w:p>
        </w:tc>
        <w:tc>
          <w:tcPr>
            <w:tcW w:w="100" w:type="dxa"/>
            <w:vAlign w:val="bottom"/>
            <w:tcBorders>
              <w:bottom w:val="single" w:sz="8" w:color="CCEEFF"/>
            </w:tcBorders>
          </w:tcPr>
          <w:p>
            <w:pPr>
              <w:spacing w:after="0"/>
              <w:rPr>
                <w:sz w:val="11"/>
                <w:szCs w:val="11"/>
                <w:color w:val="auto"/>
              </w:rPr>
            </w:pPr>
          </w:p>
        </w:tc>
        <w:tc>
          <w:tcPr>
            <w:tcW w:w="13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Joshua Ruch</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47,500</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201,911</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199,985</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449,396</w:t>
            </w:r>
          </w:p>
        </w:tc>
        <w:tc>
          <w:tcPr>
            <w:tcW w:w="0" w:type="dxa"/>
            <w:vAlign w:val="bottom"/>
          </w:tcPr>
          <w:p>
            <w:pPr>
              <w:spacing w:after="0"/>
              <w:rPr>
                <w:sz w:val="1"/>
                <w:szCs w:val="1"/>
                <w:color w:val="auto"/>
              </w:rPr>
            </w:pPr>
          </w:p>
        </w:tc>
      </w:tr>
      <w:tr>
        <w:trPr>
          <w:trHeight w:val="213"/>
        </w:trPr>
        <w:tc>
          <w:tcPr>
            <w:tcW w:w="4300" w:type="dxa"/>
            <w:vAlign w:val="bottom"/>
            <w:gridSpan w:val="2"/>
          </w:tcPr>
          <w:p>
            <w:pPr>
              <w:ind w:left="20"/>
              <w:spacing w:after="0"/>
              <w:rPr>
                <w:sz w:val="20"/>
                <w:szCs w:val="20"/>
                <w:color w:val="auto"/>
              </w:rPr>
            </w:pPr>
            <w:r>
              <w:rPr>
                <w:rFonts w:ascii="Arial" w:cs="Arial" w:eastAsia="Arial" w:hAnsi="Arial"/>
                <w:sz w:val="16"/>
                <w:szCs w:val="16"/>
                <w:color w:val="auto"/>
              </w:rPr>
              <w:t>Dennis Charney, M.D.</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Eli D. Casdin</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20,000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101,401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99,992</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221,393</w:t>
            </w:r>
          </w:p>
        </w:tc>
        <w:tc>
          <w:tcPr>
            <w:tcW w:w="0" w:type="dxa"/>
            <w:vAlign w:val="bottom"/>
          </w:tcPr>
          <w:p>
            <w:pPr>
              <w:spacing w:after="0"/>
              <w:rPr>
                <w:sz w:val="1"/>
                <w:szCs w:val="1"/>
                <w:color w:val="auto"/>
              </w:rPr>
            </w:pPr>
          </w:p>
        </w:tc>
      </w:tr>
      <w:tr>
        <w:trPr>
          <w:trHeight w:val="213"/>
        </w:trPr>
        <w:tc>
          <w:tcPr>
            <w:tcW w:w="4300" w:type="dxa"/>
            <w:vAlign w:val="bottom"/>
            <w:gridSpan w:val="2"/>
          </w:tcPr>
          <w:p>
            <w:pPr>
              <w:ind w:left="20"/>
              <w:spacing w:after="0"/>
              <w:rPr>
                <w:sz w:val="20"/>
                <w:szCs w:val="20"/>
                <w:color w:val="auto"/>
              </w:rPr>
            </w:pPr>
            <w:r>
              <w:rPr>
                <w:rFonts w:ascii="Arial" w:cs="Arial" w:eastAsia="Arial" w:hAnsi="Arial"/>
                <w:sz w:val="16"/>
                <w:szCs w:val="16"/>
                <w:color w:val="auto"/>
              </w:rPr>
              <w:t>Emily Leproust, Ph.D.</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25,000</w:t>
            </w:r>
          </w:p>
        </w:tc>
        <w:tc>
          <w:tcPr>
            <w:tcW w:w="8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101,401</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99,992</w:t>
            </w:r>
          </w:p>
        </w:tc>
        <w:tc>
          <w:tcPr>
            <w:tcW w:w="1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226,393</w:t>
            </w:r>
          </w:p>
        </w:tc>
        <w:tc>
          <w:tcPr>
            <w:tcW w:w="0" w:type="dxa"/>
            <w:vAlign w:val="bottom"/>
          </w:tcPr>
          <w:p>
            <w:pPr>
              <w:spacing w:after="0"/>
              <w:rPr>
                <w:sz w:val="1"/>
                <w:szCs w:val="1"/>
                <w:color w:val="auto"/>
              </w:rPr>
            </w:pPr>
          </w:p>
        </w:tc>
      </w:tr>
      <w:tr>
        <w:trPr>
          <w:trHeight w:val="219"/>
        </w:trPr>
        <w:tc>
          <w:tcPr>
            <w:tcW w:w="430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Jason Ryan</w:t>
            </w:r>
            <w:r>
              <w:rPr>
                <w:rFonts w:ascii="Arial" w:cs="Arial" w:eastAsia="Arial" w:hAnsi="Arial"/>
                <w:sz w:val="21"/>
                <w:szCs w:val="21"/>
                <w:color w:val="auto"/>
                <w:vertAlign w:val="superscript"/>
              </w:rPr>
              <w:t>(3)</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30,000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201,911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199,985</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431,896</w:t>
            </w:r>
          </w:p>
        </w:tc>
        <w:tc>
          <w:tcPr>
            <w:tcW w:w="0" w:type="dxa"/>
            <w:vAlign w:val="bottom"/>
          </w:tcPr>
          <w:p>
            <w:pPr>
              <w:spacing w:after="0"/>
              <w:rPr>
                <w:sz w:val="1"/>
                <w:szCs w:val="1"/>
                <w:color w:val="auto"/>
              </w:rPr>
            </w:pPr>
          </w:p>
        </w:tc>
      </w:tr>
      <w:tr>
        <w:trPr>
          <w:trHeight w:val="213"/>
        </w:trPr>
        <w:tc>
          <w:tcPr>
            <w:tcW w:w="4300" w:type="dxa"/>
            <w:vAlign w:val="bottom"/>
            <w:gridSpan w:val="2"/>
          </w:tcPr>
          <w:p>
            <w:pPr>
              <w:ind w:left="20"/>
              <w:spacing w:after="0"/>
              <w:rPr>
                <w:sz w:val="20"/>
                <w:szCs w:val="20"/>
                <w:color w:val="auto"/>
              </w:rPr>
            </w:pPr>
            <w:r>
              <w:rPr>
                <w:rFonts w:ascii="Arial" w:cs="Arial" w:eastAsia="Arial" w:hAnsi="Arial"/>
                <w:sz w:val="16"/>
                <w:szCs w:val="16"/>
                <w:color w:val="auto"/>
              </w:rPr>
              <w:t>Michael Pellini, M.D.</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20,000</w:t>
            </w:r>
          </w:p>
        </w:tc>
        <w:tc>
          <w:tcPr>
            <w:tcW w:w="8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201,911</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199,985</w:t>
            </w:r>
          </w:p>
        </w:tc>
        <w:tc>
          <w:tcPr>
            <w:tcW w:w="1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421,896</w:t>
            </w:r>
          </w:p>
        </w:tc>
        <w:tc>
          <w:tcPr>
            <w:tcW w:w="0" w:type="dxa"/>
            <w:vAlign w:val="bottom"/>
          </w:tcPr>
          <w:p>
            <w:pPr>
              <w:spacing w:after="0"/>
              <w:rPr>
                <w:sz w:val="1"/>
                <w:szCs w:val="1"/>
                <w:color w:val="auto"/>
              </w:rPr>
            </w:pPr>
          </w:p>
        </w:tc>
      </w:tr>
      <w:tr>
        <w:trPr>
          <w:trHeight w:val="219"/>
        </w:trPr>
        <w:tc>
          <w:tcPr>
            <w:tcW w:w="430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Nat Turner</w:t>
            </w:r>
            <w:r>
              <w:rPr>
                <w:rFonts w:ascii="Arial" w:cs="Arial" w:eastAsia="Arial" w:hAnsi="Arial"/>
                <w:sz w:val="21"/>
                <w:szCs w:val="21"/>
                <w:color w:val="auto"/>
                <w:vertAlign w:val="superscript"/>
              </w:rPr>
              <w:t>(4)</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23,750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101,401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99,992</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225,143</w:t>
            </w:r>
          </w:p>
        </w:tc>
        <w:tc>
          <w:tcPr>
            <w:tcW w:w="0" w:type="dxa"/>
            <w:vAlign w:val="bottom"/>
          </w:tcPr>
          <w:p>
            <w:pPr>
              <w:spacing w:after="0"/>
              <w:rPr>
                <w:sz w:val="1"/>
                <w:szCs w:val="1"/>
                <w:color w:val="auto"/>
              </w:rPr>
            </w:pPr>
          </w:p>
        </w:tc>
      </w:tr>
      <w:tr>
        <w:trPr>
          <w:trHeight w:val="210"/>
        </w:trPr>
        <w:tc>
          <w:tcPr>
            <w:tcW w:w="4300" w:type="dxa"/>
            <w:vAlign w:val="bottom"/>
            <w:gridSpan w:val="2"/>
          </w:tcPr>
          <w:p>
            <w:pPr>
              <w:ind w:left="20"/>
              <w:spacing w:after="0"/>
              <w:rPr>
                <w:sz w:val="20"/>
                <w:szCs w:val="20"/>
                <w:color w:val="auto"/>
              </w:rPr>
            </w:pPr>
            <w:r>
              <w:rPr>
                <w:rFonts w:ascii="Arial" w:cs="Arial" w:eastAsia="Arial" w:hAnsi="Arial"/>
                <w:sz w:val="16"/>
                <w:szCs w:val="16"/>
                <w:color w:val="auto"/>
              </w:rPr>
              <w:t>Rachel Sherman, M.D., M.P.H., F.A.C.P.</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20,000</w:t>
            </w:r>
          </w:p>
        </w:tc>
        <w:tc>
          <w:tcPr>
            <w:tcW w:w="8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101,401</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143,797</w:t>
            </w:r>
          </w:p>
        </w:tc>
        <w:tc>
          <w:tcPr>
            <w:tcW w:w="10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315,198</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60" w:hanging="332"/>
        <w:spacing w:after="0" w:line="241" w:lineRule="auto"/>
        <w:tabs>
          <w:tab w:leader="none" w:pos="332"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aggregate grant date fair value of the awards granted under the 2021 EIP and pursuant to the Prior Merger Agreement, as applicable, to our directors during the year ended December 31, 2021, as computed in accordance with FASB ASC Topic 718. The assumptions used in determining the grant date fair value of the awards reported in the Option Awards and Restricted Stock and Other Securities columns are set forth in Note 10 to our financial statements included elsewhere in this prospectus. Note that the amounts reported in this column reflect the aggregate accounting cost for these awards granted during the year, and do not necessarily correspond to the actual economic value that may be received by the director from the awards.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amounts reported in this column represents payments under director legacy and other charitable award programs.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Mr. Ryan served as a non-employee director until January 2022.</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Mr. Turner resigned as a director in April 2022.</w:t>
      </w:r>
    </w:p>
    <w:p>
      <w:pPr>
        <w:spacing w:after="0" w:line="1" w:lineRule="exact"/>
        <w:rPr>
          <w:rFonts w:ascii="Arial" w:cs="Arial" w:eastAsia="Arial" w:hAnsi="Arial"/>
          <w:sz w:val="14"/>
          <w:szCs w:val="14"/>
          <w:color w:val="auto"/>
        </w:rPr>
      </w:pPr>
    </w:p>
    <w:p>
      <w:pPr>
        <w:ind w:left="340" w:right="80" w:hanging="332"/>
        <w:spacing w:after="0" w:line="248" w:lineRule="auto"/>
        <w:tabs>
          <w:tab w:leader="none" w:pos="332"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following table sets forth information regarding the aggregate number of shares of our Class A common stock underlying outstanding stock options held by our non-employee directors as of December 31, 2021 and the aggregate number of unvested shares of our Class A common stock underlying outstanding RSU awards held by our non-employee directors as of December 31, 2021:</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7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5660" w:type="dxa"/>
            <w:vAlign w:val="bottom"/>
            <w:gridSpan w:val="5"/>
          </w:tcPr>
          <w:p>
            <w:pPr>
              <w:jc w:val="right"/>
              <w:ind w:right="9"/>
              <w:spacing w:after="0"/>
              <w:rPr>
                <w:sz w:val="20"/>
                <w:szCs w:val="20"/>
                <w:color w:val="auto"/>
              </w:rPr>
            </w:pPr>
            <w:r>
              <w:rPr>
                <w:rFonts w:ascii="Arial" w:cs="Arial" w:eastAsia="Arial" w:hAnsi="Arial"/>
                <w:sz w:val="13"/>
                <w:szCs w:val="13"/>
                <w:b w:val="1"/>
                <w:bCs w:val="1"/>
                <w:color w:val="auto"/>
              </w:rPr>
              <w:t>Shares Underlying UnexercisedUnvested Shares of Restricted</w:t>
            </w:r>
          </w:p>
        </w:tc>
        <w:tc>
          <w:tcPr>
            <w:tcW w:w="0" w:type="dxa"/>
            <w:vAlign w:val="bottom"/>
          </w:tcPr>
          <w:p>
            <w:pPr>
              <w:spacing w:after="0"/>
              <w:rPr>
                <w:sz w:val="1"/>
                <w:szCs w:val="1"/>
                <w:color w:val="auto"/>
              </w:rPr>
            </w:pPr>
          </w:p>
        </w:tc>
      </w:tr>
      <w:tr>
        <w:trPr>
          <w:trHeight w:val="170"/>
        </w:trPr>
        <w:tc>
          <w:tcPr>
            <w:tcW w:w="4700" w:type="dxa"/>
            <w:vAlign w:val="bottom"/>
            <w:gridSpan w:val="2"/>
            <w:vMerge w:val="continue"/>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ind w:left="360"/>
              <w:spacing w:after="0"/>
              <w:rPr>
                <w:sz w:val="20"/>
                <w:szCs w:val="20"/>
                <w:color w:val="auto"/>
              </w:rPr>
            </w:pPr>
            <w:r>
              <w:rPr>
                <w:rFonts w:ascii="Arial" w:cs="Arial" w:eastAsia="Arial" w:hAnsi="Arial"/>
                <w:sz w:val="13"/>
                <w:szCs w:val="13"/>
                <w:b w:val="1"/>
                <w:bCs w:val="1"/>
                <w:color w:val="auto"/>
              </w:rPr>
              <w:t>Stock Options</w:t>
            </w:r>
          </w:p>
        </w:tc>
        <w:tc>
          <w:tcPr>
            <w:tcW w:w="1480" w:type="dxa"/>
            <w:vAlign w:val="bottom"/>
          </w:tcPr>
          <w:p>
            <w:pPr>
              <w:jc w:val="right"/>
              <w:ind w:right="349"/>
              <w:spacing w:after="0"/>
              <w:rPr>
                <w:sz w:val="20"/>
                <w:szCs w:val="20"/>
                <w:color w:val="auto"/>
              </w:rPr>
            </w:pPr>
            <w:r>
              <w:rPr>
                <w:rFonts w:ascii="Arial" w:cs="Arial" w:eastAsia="Arial" w:hAnsi="Arial"/>
                <w:sz w:val="13"/>
                <w:szCs w:val="13"/>
                <w:b w:val="1"/>
                <w:bCs w:val="1"/>
                <w:color w:val="auto"/>
              </w:rPr>
              <w:t>Stock Units</w:t>
            </w:r>
          </w:p>
        </w:tc>
        <w:tc>
          <w:tcPr>
            <w:tcW w:w="0" w:type="dxa"/>
            <w:vAlign w:val="bottom"/>
          </w:tcPr>
          <w:p>
            <w:pPr>
              <w:spacing w:after="0"/>
              <w:rPr>
                <w:sz w:val="1"/>
                <w:szCs w:val="1"/>
                <w:color w:val="auto"/>
              </w:rPr>
            </w:pPr>
          </w:p>
        </w:tc>
      </w:tr>
      <w:tr>
        <w:trPr>
          <w:trHeight w:val="188"/>
        </w:trPr>
        <w:tc>
          <w:tcPr>
            <w:tcW w:w="320" w:type="dxa"/>
            <w:vAlign w:val="bottom"/>
          </w:tcPr>
          <w:p>
            <w:pPr>
              <w:spacing w:after="0"/>
              <w:rPr>
                <w:sz w:val="20"/>
                <w:szCs w:val="20"/>
                <w:color w:val="auto"/>
              </w:rPr>
            </w:pPr>
            <w:r>
              <w:rPr>
                <w:rFonts w:ascii="Arial" w:cs="Arial" w:eastAsia="Arial" w:hAnsi="Arial"/>
                <w:sz w:val="13"/>
                <w:szCs w:val="13"/>
                <w:color w:val="auto"/>
                <w:w w:val="71"/>
              </w:rPr>
              <w:t>Joshua</w:t>
            </w:r>
          </w:p>
        </w:tc>
        <w:tc>
          <w:tcPr>
            <w:tcW w:w="4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Ruch</w:t>
            </w:r>
          </w:p>
        </w:tc>
        <w:tc>
          <w:tcPr>
            <w:tcW w:w="2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44,572</w:t>
            </w:r>
          </w:p>
        </w:tc>
        <w:tc>
          <w:tcPr>
            <w:tcW w:w="10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25,672</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3"/>
                <w:szCs w:val="13"/>
                <w:color w:val="auto"/>
                <w:w w:val="74"/>
              </w:rPr>
              <w:t>Dennis</w:t>
            </w:r>
          </w:p>
        </w:tc>
        <w:tc>
          <w:tcPr>
            <w:tcW w:w="4380" w:type="dxa"/>
            <w:vAlign w:val="bottom"/>
          </w:tcPr>
          <w:p>
            <w:pPr>
              <w:ind w:left="120"/>
              <w:spacing w:after="0"/>
              <w:rPr>
                <w:sz w:val="20"/>
                <w:szCs w:val="20"/>
                <w:color w:val="auto"/>
              </w:rPr>
            </w:pPr>
            <w:r>
              <w:rPr>
                <w:rFonts w:ascii="Arial" w:cs="Arial" w:eastAsia="Arial" w:hAnsi="Arial"/>
                <w:sz w:val="14"/>
                <w:szCs w:val="14"/>
                <w:color w:val="auto"/>
              </w:rPr>
              <w:t>Charney, M.D.</w:t>
            </w:r>
          </w:p>
        </w:tc>
        <w:tc>
          <w:tcPr>
            <w:tcW w:w="2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4700" w:type="dxa"/>
            <w:vAlign w:val="bottom"/>
            <w:gridSpan w:val="2"/>
          </w:tcPr>
          <w:p>
            <w:pPr>
              <w:spacing w:after="0"/>
              <w:rPr>
                <w:sz w:val="20"/>
                <w:szCs w:val="20"/>
                <w:color w:val="auto"/>
              </w:rPr>
            </w:pPr>
            <w:r>
              <w:rPr>
                <w:rFonts w:ascii="Arial" w:cs="Arial" w:eastAsia="Arial" w:hAnsi="Arial"/>
                <w:sz w:val="14"/>
                <w:szCs w:val="14"/>
                <w:color w:val="auto"/>
              </w:rPr>
              <w:t>Eli D. Casdin</w:t>
            </w:r>
          </w:p>
        </w:tc>
        <w:tc>
          <w:tcPr>
            <w:tcW w:w="4080" w:type="dxa"/>
            <w:vAlign w:val="bottom"/>
            <w:gridSpan w:val="3"/>
          </w:tcPr>
          <w:p>
            <w:pPr>
              <w:jc w:val="right"/>
              <w:spacing w:after="0"/>
              <w:rPr>
                <w:sz w:val="20"/>
                <w:szCs w:val="20"/>
                <w:color w:val="auto"/>
              </w:rPr>
            </w:pPr>
            <w:r>
              <w:rPr>
                <w:rFonts w:ascii="Arial" w:cs="Arial" w:eastAsia="Arial" w:hAnsi="Arial"/>
                <w:sz w:val="14"/>
                <w:szCs w:val="14"/>
                <w:color w:val="auto"/>
              </w:rPr>
              <w:t>22,286</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12,836</w:t>
            </w:r>
          </w:p>
        </w:tc>
        <w:tc>
          <w:tcPr>
            <w:tcW w:w="0" w:type="dxa"/>
            <w:vAlign w:val="bottom"/>
          </w:tcPr>
          <w:p>
            <w:pPr>
              <w:spacing w:after="0"/>
              <w:rPr>
                <w:sz w:val="1"/>
                <w:szCs w:val="1"/>
                <w:color w:val="auto"/>
              </w:rPr>
            </w:pPr>
          </w:p>
        </w:tc>
      </w:tr>
      <w:tr>
        <w:trPr>
          <w:trHeight w:val="189"/>
        </w:trPr>
        <w:tc>
          <w:tcPr>
            <w:tcW w:w="4700" w:type="dxa"/>
            <w:vAlign w:val="bottom"/>
            <w:gridSpan w:val="2"/>
          </w:tcPr>
          <w:p>
            <w:pPr>
              <w:spacing w:after="0"/>
              <w:rPr>
                <w:sz w:val="20"/>
                <w:szCs w:val="20"/>
                <w:color w:val="auto"/>
              </w:rPr>
            </w:pPr>
            <w:r>
              <w:rPr>
                <w:rFonts w:ascii="Arial" w:cs="Arial" w:eastAsia="Arial" w:hAnsi="Arial"/>
                <w:sz w:val="14"/>
                <w:szCs w:val="14"/>
                <w:color w:val="auto"/>
              </w:rPr>
              <w:t>Emily Leproust, Ph.D.</w:t>
            </w:r>
          </w:p>
        </w:tc>
        <w:tc>
          <w:tcPr>
            <w:tcW w:w="4080" w:type="dxa"/>
            <w:vAlign w:val="bottom"/>
            <w:gridSpan w:val="3"/>
          </w:tcPr>
          <w:p>
            <w:pPr>
              <w:jc w:val="right"/>
              <w:spacing w:after="0"/>
              <w:rPr>
                <w:sz w:val="20"/>
                <w:szCs w:val="20"/>
                <w:color w:val="auto"/>
              </w:rPr>
            </w:pPr>
            <w:r>
              <w:rPr>
                <w:rFonts w:ascii="Arial" w:cs="Arial" w:eastAsia="Arial" w:hAnsi="Arial"/>
                <w:sz w:val="14"/>
                <w:szCs w:val="14"/>
                <w:color w:val="auto"/>
              </w:rPr>
              <w:t>22,286</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12,836</w:t>
            </w:r>
          </w:p>
        </w:tc>
        <w:tc>
          <w:tcPr>
            <w:tcW w:w="0" w:type="dxa"/>
            <w:vAlign w:val="bottom"/>
          </w:tcPr>
          <w:p>
            <w:pPr>
              <w:spacing w:after="0"/>
              <w:rPr>
                <w:sz w:val="1"/>
                <w:szCs w:val="1"/>
                <w:color w:val="auto"/>
              </w:rPr>
            </w:pPr>
          </w:p>
        </w:tc>
      </w:tr>
      <w:tr>
        <w:trPr>
          <w:trHeight w:val="201"/>
        </w:trPr>
        <w:tc>
          <w:tcPr>
            <w:tcW w:w="320" w:type="dxa"/>
            <w:vAlign w:val="bottom"/>
          </w:tcPr>
          <w:p>
            <w:pPr>
              <w:spacing w:after="0"/>
              <w:rPr>
                <w:sz w:val="20"/>
                <w:szCs w:val="20"/>
                <w:color w:val="auto"/>
              </w:rPr>
            </w:pPr>
            <w:r>
              <w:rPr>
                <w:rFonts w:ascii="Arial" w:cs="Arial" w:eastAsia="Arial" w:hAnsi="Arial"/>
                <w:sz w:val="14"/>
                <w:szCs w:val="14"/>
                <w:color w:val="auto"/>
                <w:w w:val="80"/>
              </w:rPr>
              <w:t>Jason</w:t>
            </w:r>
          </w:p>
        </w:tc>
        <w:tc>
          <w:tcPr>
            <w:tcW w:w="4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Ryan</w:t>
            </w:r>
          </w:p>
        </w:tc>
        <w:tc>
          <w:tcPr>
            <w:tcW w:w="40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44,572</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25,672</w:t>
            </w:r>
          </w:p>
        </w:tc>
        <w:tc>
          <w:tcPr>
            <w:tcW w:w="0" w:type="dxa"/>
            <w:vAlign w:val="bottom"/>
          </w:tcPr>
          <w:p>
            <w:pPr>
              <w:spacing w:after="0"/>
              <w:rPr>
                <w:sz w:val="1"/>
                <w:szCs w:val="1"/>
                <w:color w:val="auto"/>
              </w:rPr>
            </w:pPr>
          </w:p>
        </w:tc>
      </w:tr>
      <w:tr>
        <w:trPr>
          <w:trHeight w:val="182"/>
        </w:trPr>
        <w:tc>
          <w:tcPr>
            <w:tcW w:w="4700" w:type="dxa"/>
            <w:vAlign w:val="bottom"/>
            <w:gridSpan w:val="2"/>
          </w:tcPr>
          <w:p>
            <w:pPr>
              <w:spacing w:after="0"/>
              <w:rPr>
                <w:sz w:val="20"/>
                <w:szCs w:val="20"/>
                <w:color w:val="auto"/>
              </w:rPr>
            </w:pPr>
            <w:r>
              <w:rPr>
                <w:rFonts w:ascii="Arial" w:cs="Arial" w:eastAsia="Arial" w:hAnsi="Arial"/>
                <w:sz w:val="14"/>
                <w:szCs w:val="14"/>
                <w:color w:val="auto"/>
              </w:rPr>
              <w:t>Michael Pellini, M.D.</w:t>
            </w:r>
          </w:p>
        </w:tc>
        <w:tc>
          <w:tcPr>
            <w:tcW w:w="4080" w:type="dxa"/>
            <w:vAlign w:val="bottom"/>
            <w:gridSpan w:val="3"/>
          </w:tcPr>
          <w:p>
            <w:pPr>
              <w:jc w:val="right"/>
              <w:spacing w:after="0"/>
              <w:rPr>
                <w:sz w:val="20"/>
                <w:szCs w:val="20"/>
                <w:color w:val="auto"/>
              </w:rPr>
            </w:pPr>
            <w:r>
              <w:rPr>
                <w:rFonts w:ascii="Arial" w:cs="Arial" w:eastAsia="Arial" w:hAnsi="Arial"/>
                <w:sz w:val="14"/>
                <w:szCs w:val="14"/>
                <w:color w:val="auto"/>
              </w:rPr>
              <w:t>44,572</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25,672</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20"/>
                <w:szCs w:val="20"/>
                <w:color w:val="auto"/>
              </w:rPr>
            </w:pPr>
            <w:r>
              <w:rPr>
                <w:rFonts w:ascii="Arial" w:cs="Arial" w:eastAsia="Arial" w:hAnsi="Arial"/>
                <w:sz w:val="14"/>
                <w:szCs w:val="14"/>
                <w:color w:val="auto"/>
              </w:rPr>
              <w:t>Nat</w:t>
            </w:r>
          </w:p>
        </w:tc>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Turner</w:t>
            </w:r>
          </w:p>
        </w:tc>
        <w:tc>
          <w:tcPr>
            <w:tcW w:w="40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22,286</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12,836</w:t>
            </w:r>
          </w:p>
        </w:tc>
        <w:tc>
          <w:tcPr>
            <w:tcW w:w="0" w:type="dxa"/>
            <w:vAlign w:val="bottom"/>
          </w:tcPr>
          <w:p>
            <w:pPr>
              <w:spacing w:after="0"/>
              <w:rPr>
                <w:sz w:val="1"/>
                <w:szCs w:val="1"/>
                <w:color w:val="auto"/>
              </w:rPr>
            </w:pPr>
          </w:p>
        </w:tc>
      </w:tr>
      <w:tr>
        <w:trPr>
          <w:trHeight w:val="244"/>
        </w:trPr>
        <w:tc>
          <w:tcPr>
            <w:tcW w:w="320" w:type="dxa"/>
            <w:vAlign w:val="bottom"/>
          </w:tcPr>
          <w:p>
            <w:pPr>
              <w:spacing w:after="0"/>
              <w:rPr>
                <w:sz w:val="20"/>
                <w:szCs w:val="20"/>
                <w:color w:val="auto"/>
              </w:rPr>
            </w:pPr>
            <w:r>
              <w:rPr>
                <w:rFonts w:ascii="Arial" w:cs="Arial" w:eastAsia="Arial" w:hAnsi="Arial"/>
                <w:sz w:val="13"/>
                <w:szCs w:val="13"/>
                <w:color w:val="auto"/>
                <w:w w:val="74"/>
              </w:rPr>
              <w:t>Rachel</w:t>
            </w:r>
          </w:p>
        </w:tc>
        <w:tc>
          <w:tcPr>
            <w:tcW w:w="4380" w:type="dxa"/>
            <w:vAlign w:val="bottom"/>
          </w:tcPr>
          <w:p>
            <w:pPr>
              <w:ind w:left="120"/>
              <w:spacing w:after="0"/>
              <w:rPr>
                <w:sz w:val="20"/>
                <w:szCs w:val="20"/>
                <w:color w:val="auto"/>
              </w:rPr>
            </w:pPr>
            <w:r>
              <w:rPr>
                <w:rFonts w:ascii="Arial" w:cs="Arial" w:eastAsia="Arial" w:hAnsi="Arial"/>
                <w:sz w:val="14"/>
                <w:szCs w:val="14"/>
                <w:color w:val="auto"/>
              </w:rPr>
              <w:t>Sherman, M.D., M.P.H., F.A.C.P.</w:t>
            </w:r>
          </w:p>
        </w:tc>
        <w:tc>
          <w:tcPr>
            <w:tcW w:w="4080" w:type="dxa"/>
            <w:vAlign w:val="bottom"/>
            <w:gridSpan w:val="3"/>
          </w:tcPr>
          <w:p>
            <w:pPr>
              <w:jc w:val="right"/>
              <w:spacing w:after="0"/>
              <w:rPr>
                <w:sz w:val="20"/>
                <w:szCs w:val="20"/>
                <w:color w:val="auto"/>
              </w:rPr>
            </w:pPr>
            <w:r>
              <w:rPr>
                <w:rFonts w:ascii="Arial" w:cs="Arial" w:eastAsia="Arial" w:hAnsi="Arial"/>
                <w:sz w:val="14"/>
                <w:szCs w:val="14"/>
                <w:color w:val="auto"/>
              </w:rPr>
              <w:t>385,509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44533</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-754380</wp:posOffset>
            </wp:positionV>
            <wp:extent cx="6386195" cy="1200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386195" cy="12001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640" w:hanging="308"/>
        <w:spacing w:after="0"/>
        <w:tabs>
          <w:tab w:leader="none" w:pos="6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31,697 Earnout RSUs granted in connection with the Prior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transactions since January 1, 2020 and currently proposed transactions in which:</w:t>
      </w:r>
    </w:p>
    <w:p>
      <w:pPr>
        <w:spacing w:after="0" w:line="171" w:lineRule="exact"/>
        <w:rPr>
          <w:sz w:val="20"/>
          <w:szCs w:val="20"/>
          <w:color w:val="auto"/>
        </w:rPr>
      </w:pPr>
    </w:p>
    <w:p>
      <w:pPr>
        <w:ind w:left="640" w:hanging="308"/>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have been or is to be a participant;</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 involved exceeded or will exceed the lesser $120,000 or 1% of the average of our total assets as of year-end for the last two completed fiscal years; and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Related to the Acquisition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Subscription Agreements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connection with the Acquisition, the PIPE Investors executed subscription agreements to purchase an aggregate of 50,000,000 shares of our Class A common stock at $4.00 per share, for an aggregate purchase price of $200 million in the PIPE Investment. The PIPE Investment closed on April 29, 2022. The funds from the PIPE Investment were used, in part, to fund the Acquisition of GeneDx. The following table sets forth the number of shares of our Class A common stock that we issued to our directors, executive officers and 5% stockholders and their affiliates in connection with the PIPE Investment: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Shares of Class A Common Stock</w:t>
            </w:r>
          </w:p>
        </w:tc>
        <w:tc>
          <w:tcPr>
            <w:tcW w:w="0" w:type="dxa"/>
            <w:vAlign w:val="bottom"/>
          </w:tcPr>
          <w:p>
            <w:pPr>
              <w:spacing w:after="0"/>
              <w:rPr>
                <w:sz w:val="1"/>
                <w:szCs w:val="1"/>
                <w:color w:val="auto"/>
              </w:rPr>
            </w:pPr>
          </w:p>
        </w:tc>
      </w:tr>
      <w:tr>
        <w:trPr>
          <w:trHeight w:val="135"/>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Purchaser</w:t>
            </w:r>
          </w:p>
        </w:tc>
        <w:tc>
          <w:tcPr>
            <w:tcW w:w="16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 of Shares</w:t>
            </w:r>
          </w:p>
        </w:tc>
        <w:tc>
          <w:tcPr>
            <w:tcW w:w="1560" w:type="dxa"/>
            <w:vAlign w:val="bottom"/>
          </w:tcPr>
          <w:p>
            <w:pPr>
              <w:jc w:val="right"/>
              <w:ind w:right="194"/>
              <w:spacing w:after="0" w:line="135" w:lineRule="exact"/>
              <w:rPr>
                <w:sz w:val="20"/>
                <w:szCs w:val="20"/>
                <w:color w:val="auto"/>
              </w:rPr>
            </w:pPr>
            <w:r>
              <w:rPr>
                <w:rFonts w:ascii="Arial" w:cs="Arial" w:eastAsia="Arial" w:hAnsi="Arial"/>
                <w:sz w:val="14"/>
                <w:szCs w:val="14"/>
                <w:b w:val="1"/>
                <w:bCs w:val="1"/>
                <w:color w:val="auto"/>
              </w:rPr>
              <w:t>Aggregate Gross</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560" w:type="dxa"/>
            <w:vAlign w:val="bottom"/>
          </w:tcPr>
          <w:p>
            <w:pPr>
              <w:jc w:val="right"/>
              <w:ind w:right="154"/>
              <w:spacing w:after="0"/>
              <w:rPr>
                <w:sz w:val="20"/>
                <w:szCs w:val="20"/>
                <w:color w:val="auto"/>
              </w:rPr>
            </w:pPr>
            <w:r>
              <w:rPr>
                <w:rFonts w:ascii="Arial" w:cs="Arial" w:eastAsia="Arial" w:hAnsi="Arial"/>
                <w:sz w:val="14"/>
                <w:szCs w:val="14"/>
                <w:b w:val="1"/>
                <w:bCs w:val="1"/>
                <w:color w:val="auto"/>
              </w:rPr>
              <w:t>Consideration ($)</w:t>
            </w: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Entities affiliated with Blackstone</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Casdin</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11,437,500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45,750,000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Corvex</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11,437,500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45,750,000</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Mount Sinai</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6,250,000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Deerfield</w:t>
            </w:r>
            <w:r>
              <w:rPr>
                <w:rFonts w:ascii="Arial" w:cs="Arial" w:eastAsia="Arial" w:hAnsi="Arial"/>
                <w:sz w:val="23"/>
                <w:szCs w:val="23"/>
                <w:color w:val="auto"/>
                <w:vertAlign w:val="superscript"/>
              </w:rPr>
              <w:t>(5)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Rho Partners</w:t>
            </w:r>
            <w:r>
              <w:rPr>
                <w:rFonts w:ascii="Arial" w:cs="Arial" w:eastAsia="Arial" w:hAnsi="Arial"/>
                <w:sz w:val="23"/>
                <w:szCs w:val="23"/>
                <w:color w:val="auto"/>
                <w:vertAlign w:val="superscript"/>
              </w:rPr>
              <w:t>(6)</w:t>
            </w:r>
          </w:p>
        </w:tc>
        <w:tc>
          <w:tcPr>
            <w:tcW w:w="1560" w:type="dxa"/>
            <w:vAlign w:val="bottom"/>
          </w:tcPr>
          <w:p>
            <w:pPr>
              <w:jc w:val="right"/>
              <w:spacing w:after="0"/>
              <w:rPr>
                <w:sz w:val="20"/>
                <w:szCs w:val="20"/>
                <w:color w:val="auto"/>
              </w:rPr>
            </w:pPr>
            <w:r>
              <w:rPr>
                <w:rFonts w:ascii="Arial" w:cs="Arial" w:eastAsia="Arial" w:hAnsi="Arial"/>
                <w:sz w:val="18"/>
                <w:szCs w:val="18"/>
                <w:color w:val="auto"/>
              </w:rPr>
              <w:t>2,125,000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8,500,000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Section32</w:t>
            </w:r>
            <w:r>
              <w:rPr>
                <w:rFonts w:ascii="Arial" w:cs="Arial" w:eastAsia="Arial" w:hAnsi="Arial"/>
                <w:sz w:val="23"/>
                <w:szCs w:val="23"/>
                <w:color w:val="auto"/>
                <w:vertAlign w:val="superscript"/>
              </w:rPr>
              <w:t>(7)</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40,000,000</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160,000,000</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80" w:hanging="332"/>
        <w:spacing w:after="0" w:line="241" w:lineRule="auto"/>
        <w:tabs>
          <w:tab w:leader="none" w:pos="332" w:val="left"/>
        </w:tabs>
        <w:numPr>
          <w:ilvl w:val="0"/>
          <w:numId w:val="69"/>
        </w:numPr>
        <w:rPr>
          <w:rFonts w:ascii="Arial" w:cs="Arial" w:eastAsia="Arial" w:hAnsi="Arial"/>
          <w:sz w:val="14"/>
          <w:szCs w:val="14"/>
          <w:color w:val="auto"/>
        </w:rPr>
      </w:pPr>
      <w:r>
        <w:rPr>
          <w:rFonts w:ascii="Arial" w:cs="Arial" w:eastAsia="Arial" w:hAnsi="Arial"/>
          <w:sz w:val="14"/>
          <w:szCs w:val="14"/>
          <w:color w:val="auto"/>
        </w:rPr>
        <w:t>Consists of 2,434,863 shares of Class A common stock issued to BTO Sema4 Holdings L.P., 50,402 shares of Class A common stock issued to Blackstone Tactical Opportunities Fund - FD L.P. and 14,735 shares of Class A common stock issued to Blackstone Family Tactical Opportunities Investment Partnership III ESC L.P.</w:t>
      </w:r>
    </w:p>
    <w:p>
      <w:pPr>
        <w:ind w:left="320" w:hanging="312"/>
        <w:spacing w:after="0"/>
        <w:tabs>
          <w:tab w:leader="none" w:pos="3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Consists of 11,437,500 shares of Class A common stock issued to Casdin Partners Master Fund, L.P.</w:t>
      </w:r>
    </w:p>
    <w:p>
      <w:pPr>
        <w:spacing w:after="0" w:line="1" w:lineRule="exact"/>
        <w:rPr>
          <w:rFonts w:ascii="Arial" w:cs="Arial" w:eastAsia="Arial" w:hAnsi="Arial"/>
          <w:sz w:val="14"/>
          <w:szCs w:val="14"/>
          <w:color w:val="auto"/>
        </w:rPr>
      </w:pPr>
    </w:p>
    <w:p>
      <w:pPr>
        <w:ind w:left="340" w:right="180" w:hanging="332"/>
        <w:spacing w:after="0" w:line="241" w:lineRule="auto"/>
        <w:tabs>
          <w:tab w:leader="none" w:pos="332" w:val="left"/>
        </w:tabs>
        <w:numPr>
          <w:ilvl w:val="0"/>
          <w:numId w:val="69"/>
        </w:numPr>
        <w:rPr>
          <w:rFonts w:ascii="Arial" w:cs="Arial" w:eastAsia="Arial" w:hAnsi="Arial"/>
          <w:sz w:val="14"/>
          <w:szCs w:val="14"/>
          <w:color w:val="auto"/>
        </w:rPr>
      </w:pPr>
      <w:r>
        <w:rPr>
          <w:rFonts w:ascii="Arial" w:cs="Arial" w:eastAsia="Arial" w:hAnsi="Arial"/>
          <w:sz w:val="14"/>
          <w:szCs w:val="14"/>
          <w:color w:val="auto"/>
        </w:rPr>
        <w:t>Consists of 3,557,000 shares of Class A common stock issued to Corvex Master Fund LP, 7,320,000 shares of Class A common stock issued to Corvex Select Equity Master Fund LP, and 560,500 shares of Class A common stock issued to Corvex Dynamic Equity Select Master Fund LP.</w:t>
      </w:r>
    </w:p>
    <w:p>
      <w:pPr>
        <w:ind w:left="320" w:hanging="312"/>
        <w:spacing w:after="0"/>
        <w:tabs>
          <w:tab w:leader="none" w:pos="3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Consists of 6,250,000 shares of Class A common stock issued to Ichan School of Medicine at Mount Sinai.</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Consists of 3,125,000 shares of Class A common stock issued to Deerfield Private Design Fund V, L.P. and 1,875,000 shares of Class A common stock issued to Deerfield Partners, L.P.</w:t>
      </w:r>
    </w:p>
    <w:p>
      <w:pPr>
        <w:spacing w:after="0" w:line="12" w:lineRule="exact"/>
        <w:rPr>
          <w:rFonts w:ascii="Arial" w:cs="Arial" w:eastAsia="Arial" w:hAnsi="Arial"/>
          <w:sz w:val="13"/>
          <w:szCs w:val="13"/>
          <w:color w:val="auto"/>
        </w:rPr>
      </w:pPr>
    </w:p>
    <w:p>
      <w:pPr>
        <w:ind w:left="340" w:right="260" w:hanging="332"/>
        <w:spacing w:after="0" w:line="241" w:lineRule="auto"/>
        <w:tabs>
          <w:tab w:leader="none" w:pos="332" w:val="left"/>
        </w:tabs>
        <w:numPr>
          <w:ilvl w:val="0"/>
          <w:numId w:val="69"/>
        </w:numPr>
        <w:rPr>
          <w:rFonts w:ascii="Arial" w:cs="Arial" w:eastAsia="Arial" w:hAnsi="Arial"/>
          <w:sz w:val="14"/>
          <w:szCs w:val="14"/>
          <w:color w:val="auto"/>
        </w:rPr>
      </w:pPr>
      <w:r>
        <w:rPr>
          <w:rFonts w:ascii="Arial" w:cs="Arial" w:eastAsia="Arial" w:hAnsi="Arial"/>
          <w:sz w:val="14"/>
          <w:szCs w:val="14"/>
          <w:color w:val="auto"/>
        </w:rPr>
        <w:t>Consists of 1,632,963 shares of Class A common stock issued to Vaal Investment Partners Q9 LP, 329,665 shares of Class A common stock issued to Rugu2 LLC, and 162,372 shares of Class A common stock issued to Kariba LLC. Rho Partners is an affiliate of Joshua Ruch, a member of our Board.</w:t>
      </w:r>
    </w:p>
    <w:p>
      <w:pPr>
        <w:ind w:left="320" w:hanging="312"/>
        <w:spacing w:after="0"/>
        <w:tabs>
          <w:tab w:leader="none" w:pos="3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Consists of 1,250,000 shares of Class A common stock issued to Section 32 Fund 2, L.P. Section32 is an affiliate of Michael Pellini, a member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Agreements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the execution of the Merger Agreement, OPKO, a 5% stockholder of the Company following the Closing of the Acquisition, and certain individual stockholders of OPKO who hold 5% or more of OPKO’s common stock (each a “Lock-Up Holder”) entered into the Shareholder Agreements, whereby each agreed to certain transfer restrictions with respect to shares of Class A common stock included in the Merger Consideration or Milestone Payments that were distributed or otherwise transferred to it (such shares of Class A common stock, the “</w:t>
      </w:r>
      <w:r>
        <w:rPr>
          <w:rFonts w:ascii="Arial" w:cs="Arial" w:eastAsia="Arial" w:hAnsi="Arial"/>
          <w:sz w:val="16"/>
          <w:szCs w:val="16"/>
          <w:i w:val="1"/>
          <w:iCs w:val="1"/>
          <w:color w:val="auto"/>
        </w:rPr>
        <w:t>Lock-up Shares</w:t>
      </w:r>
      <w:r>
        <w:rPr>
          <w:rFonts w:ascii="Arial" w:cs="Arial" w:eastAsia="Arial" w:hAnsi="Arial"/>
          <w:sz w:val="16"/>
          <w:szCs w:val="16"/>
          <w:color w:val="auto"/>
        </w:rPr>
        <w:t>”) that will remain in place until,</w:t>
      </w:r>
    </w:p>
    <w:p>
      <w:pPr>
        <w:spacing w:after="0" w:line="1" w:lineRule="exact"/>
        <w:rPr>
          <w:sz w:val="20"/>
          <w:szCs w:val="20"/>
          <w:color w:val="auto"/>
        </w:rPr>
      </w:pPr>
    </w:p>
    <w:p>
      <w:pPr>
        <w:jc w:val="both"/>
        <w:ind w:firstLine="8"/>
        <w:spacing w:after="0" w:line="281" w:lineRule="auto"/>
        <w:tabs>
          <w:tab w:leader="none" w:pos="245" w:val="left"/>
        </w:tabs>
        <w:numPr>
          <w:ilvl w:val="0"/>
          <w:numId w:val="70"/>
        </w:numPr>
        <w:rPr>
          <w:rFonts w:ascii="Arial" w:cs="Arial" w:eastAsia="Arial" w:hAnsi="Arial"/>
          <w:sz w:val="16"/>
          <w:szCs w:val="16"/>
          <w:color w:val="auto"/>
        </w:rPr>
      </w:pPr>
      <w:r>
        <w:rPr>
          <w:rFonts w:ascii="Arial" w:cs="Arial" w:eastAsia="Arial" w:hAnsi="Arial"/>
          <w:sz w:val="16"/>
          <w:szCs w:val="16"/>
          <w:color w:val="auto"/>
        </w:rPr>
        <w:t>with respect to the Stock Consideration Shares, the date that is one year from the Closing Date (as defined in the Merger Agreement), (b) with respect to the stock portion of the first Milestone Payment, if any, the date that is one year from the date of issuance for such payment and (c) with respect to the stock portion of the second Milestone Payment, if any, the date that is six months from the date of issuance for such payment (the period described in (a), (b)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is referred to as the “Lock-Up Period”).</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Lock-Up Holder has also agreed in the Shareholders Agreements that, following the Lock-Up Period and for so long as such Lock-Up Holder is the record or beneficial owner of at least 5% of the issued and outstanding Class A common stock, such Lock-Up Holder shall not, without the Company’s consent, sell more than 25% of the shares of the Company’s Class A common stock it received in connection with the Acquisition in any 90-day period, except as part of a marketed sale process for which one lead bookrunner has been selected by Company in its sole discretion.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Each Lock-Up Holder has also agreed to vote all of his, her or its Lock-Up Shares in whatever manner is recommended by the Board for so long as such Lock-Up Holder is the record or beneficial owner of at least 5% of the issued and outstanding Class A common stock.</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Shareholder Agreements also provide that, for a period of twelve months from the Closing, the Lock-Up Holders shall not, without the consent of the Company’s Board or chief executive officer (a) acquire shares or voting securities in the Company, (b) make any solicitation of votes, or seek to advise on any vote of the Company’s securities, (c) form a “group” (with the meaning of Section 13(d)(3) of the Exchange Act) with respect to any voting securities of the Company, (e) propose any merger, business combination, tender offer, or similar transaction with respect to the Company, (f) solicit or provide information to any person with respect of a business combination or tender offer involving the Company, (g) advise, assist or knowingly encourage any other person with respect to the actions described in (a)-(g) above, (h) enter into any discussions or negotiations with respect to the foregoing, (i) take any action that could reasonably be expected to require disclosure on the part of the Company with respect to any of the foregoing, or (j) disclose any intention inconsistent with the foregoing.</w:t>
      </w:r>
    </w:p>
    <w:p>
      <w:pPr>
        <w:spacing w:after="0" w:line="13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has agreed in the Shareholder Agreements to file a registration statement in respect of the Registrable Securities (as defined therein) within 30 days following the closing of the Acquisition and granted to the Lock-Up Holders certain customary shelf, piggyback and demand registration rights.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Agreement</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connection with the closing of the Acquisition, the Company (a) issued 80 million Stock Consideration Shares to OPKO (at a total value of $323.2 million based on a per share price of $4.04, which was the closing price of the Class A common stock on January 14, 2022, the date the Merger Agreement was signed) and (b) paid $150.0 million to OPKO as the Cash Consideration, each pursuant to the Merger Agreement. In addition, the Company may pay OPKO up to $150 million, in cash or Milestone Shares, in the Company’s sole discretion, following the Closing, if certain revenue-based milestones are achieved for each of the fiscal years ending December 31, 2022 and December 31, 2023.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Services Agreement</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closing of the Acquisition, GeneDx and OPKO entered into a Transition Services Agreement dated as of April 29, 2022 (the “Transition Services Agreement”) pursuant to which OPKO has agreed to provide, at cost, certain services in support of the Acquisition of the GeneDx business through December 31, 2022, subject to certain limited exceptions, with such services being in order to facilitate the transactions contemplated by the Merger Agreement, including human resources, information technology support, and finance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 with Immediate Family Members of Our Executive Officers and Directors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Emilio Schadt, the son of Eric Schadt, our former Chief Executive Officer and a director, has been employed with us since August 2018 as a Data Science Software Engineer, where he is responsible for implementing methods to improve data reliability. During the year ended December 31, 2021, Mr. Schadt had total compensation, including base salary and bonus, of $177,543. Rick Wallsten, the brother of Eric Schadt, our former Chief Executive Officer and a director, has been employed by us since November 2017 as a clinical pharmacist, where he is responsible for certain aspects of our pharmacogenomics program. During the year ended December 31, 2021, Mr. Wallsten had total cash compensation, including base salary and bonus, of $209,563. During the year ended December 31, 2020, Mr. Wallsten had total cash compensation, including base salary and bonus, of $157,620. Carol Senn, the sister-in-law of James Coffin, our former Chief Operating Officer, has been employed with us since November 2020 as an Account Manager, where she is responsible for certain aspects of growing the business. During the year ended December 31, 2021, Ms. Senn had total compensation, including base salary, of $155,706. Kelly Peterson, the sister of James Coffin, our former Chief Operating Officer, has been employed with us since February 2019 as a Sales Specialist Oncology, where she is responsible for the aspect of growing the business. During the year ended December 31, 2021, Ms. Peterson had total compensation, including base salary, of $211,152.</w:t>
      </w:r>
    </w:p>
    <w:p>
      <w:pPr>
        <w:spacing w:after="0" w:line="12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salary and bonus levels, as applicable, of the aforementioned individuals were based on reference to internal pay equity when compared to the compensation paid to employees in similar positions who were not related to our executive officers and directors. They also received equity awards on the same general terms and conditions as applicable to other employees in similar positions who were not related to our executive officers and directors.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Licenses and Subleases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were a party to several space license agreements and continue to be a party to sublease agreements with the Mount Sinai Health System (which we refer to together with its related entities as “Mount Sinai”) pursuant to which we leased approximately 124,000 square feet of office and laboratory space in Stamford, Connecticut for its headquarters and laboratory operations, and approximately 26,000 square feet of office and laboratory space in New York, New York for additional office space and laboratory operations. Rent expense for all facilities subleased by Icahn School of Medicine at Mount Sinai (“ISMMS”) to us was $4.2 million for the year ended December 31, 2021 and $5.9 million for the year ended December 31, 2020. Future minimum lease payments are expected to total $4.2 million related to all facilities subleased by ISMMS to Sema4 for the year ending December 31, 2022.</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Services and Employee Compensation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ISMMS provided transition services, under a transition services agreement and other contractual arrangements with us for services related to finance (accounts payable &amp; purchasing, general accounting, financial systems, and payroll), real estate management, insurance coverage, compliance, equipment subleases, and IT. The transition services agreement expired on March 28, 2021. We made direct payments to ISMMS of approximately $1.6 million pursuant to such transition services agreement in 2021.</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provide partial reimbursement to Mount Sinai for limited compensation, services, and related expenses for certain individuals employed by Mount Sinai and certain individuals employed at both Mount Sinai and our company. For the years ended December 31, 2021 and 2020, the total amount of reimbursement for employee compensation and expenses paid by us to Mount Sinai was equal to approximately $1.2 million and $1.3 million,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Relationships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provide products and services to Mount Sinai at fair market value, including for certain oncology testing, research services and clinical data services. Mount Sinai pays for certain of these services in cash, and for other of these services in kind through performing components of collaborative research projects and/or the provision of intellectual property and data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particular, these arrangements include a data structuring and curation services agreement, dated August 1, 2019, with ISMMS and certain other Mount Sinai entities, pursuant to which we provide certain data structuring and clinical support services to Mount Sinai, including the delivery to Mount Sinai of a curated dataset and interface allowing Mount Sinai users to query the curated dataset as mutually agreed by the parties. As compensation for these services, Mount Sinai provides us certain rights to use de-identified curated data. The data structuring and curation services agreement has a five-year term and, provided we are not in default under the terms of the agreement, the agreement may be renewed at our option for up to two one-year extension periods. Following the extension periods, the agreement may be further renewed by the mutual agreement of the parties. The agreement may be terminated earlier by Mount Sinai upon certain fundamental breaches by us, by us upon a breach by Mount Sinai of its material obligations, and by either party if certain insolvency or bankruptcy events occur with respect to the other party.</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receive products and services from Mount Sinai at fair market value, including for certain research and clinical services, development services and lab services, and licenses certain intellectual property from Mount Sinai. Pursuant to these arrangements, we made direct payments to Mount Sinai of approximately $1.4 million and $3.4 million for the years ended December 31, 2021 and 2020,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Charter contains provisions limiting the liability of directors, and our Bylaws provide that we will indemnify each of our directors to the fullest extent permitted under Delaware law. Our Charter and our Bylaws also provide the Board with discretion to indemnify officers and employees when determined appropriate by our Board.</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entered into indemnification agreements with each of our directors and executive officers and certain other key employees. The indemnification agreements provide that we will indemnify each of its directors, executive officers, and such other key employees against any and all expenses incurred by that director, executive officer, or other key employee because of his or her status as one of the Company’s directors, executive officers, or other key employees, to the fullest extent permitted by Delaware law, our Charter and our Bylaws. In addition, the indemnification agreements provide that, to the fullest extent permitted by Delaware law, the Company will advance all expenses incurred by its directors, executive officers, and other key employees in connection with a legal proceeding involving his or her status as a director, executive officer, or key employee.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Legacy Sema4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Preferred Stock Financing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2020, Legacy Sema4 sold an aggregate of 197,821 shares of its Series C preferred stock at a purchase price of $613.6743 per share to accredited investors for an aggregate purchase price of approximately $121.4 million. On July 22, 2021, each share of Legacy Sema4’s Series C preferred stock was cancelled and received a portion of the merger consideration in connection with the completion of the Business Combination, as provided in the Prior Merger Agreement.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purchases of shares of Legacy Sema4’s Series C preferred stock by its executive officers, directors, and holders of more than 5% of its capital stock.</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4"/>
          </w:tcPr>
          <w:p>
            <w:pPr>
              <w:jc w:val="right"/>
              <w:ind w:right="482"/>
              <w:spacing w:after="0"/>
              <w:rPr>
                <w:sz w:val="20"/>
                <w:szCs w:val="20"/>
                <w:color w:val="auto"/>
              </w:rPr>
            </w:pPr>
            <w:r>
              <w:rPr>
                <w:rFonts w:ascii="Arial" w:cs="Arial" w:eastAsia="Arial" w:hAnsi="Arial"/>
                <w:sz w:val="14"/>
                <w:szCs w:val="14"/>
                <w:b w:val="1"/>
                <w:bCs w:val="1"/>
                <w:color w:val="auto"/>
              </w:rPr>
              <w:t>Shares of Series C Preferred Stock</w:t>
            </w:r>
          </w:p>
        </w:tc>
        <w:tc>
          <w:tcPr>
            <w:tcW w:w="0" w:type="dxa"/>
            <w:vAlign w:val="bottom"/>
          </w:tcPr>
          <w:p>
            <w:pPr>
              <w:spacing w:after="0"/>
              <w:rPr>
                <w:sz w:val="1"/>
                <w:szCs w:val="1"/>
                <w:color w:val="auto"/>
              </w:rPr>
            </w:pPr>
          </w:p>
        </w:tc>
      </w:tr>
      <w:tr>
        <w:trPr>
          <w:trHeight w:val="135"/>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Purchaser</w:t>
            </w:r>
          </w:p>
        </w:tc>
        <w:tc>
          <w:tcPr>
            <w:tcW w:w="16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 of Shares</w:t>
            </w:r>
          </w:p>
        </w:tc>
        <w:tc>
          <w:tcPr>
            <w:tcW w:w="180" w:type="dxa"/>
            <w:vAlign w:val="bottom"/>
          </w:tcPr>
          <w:p>
            <w:pPr>
              <w:spacing w:after="0"/>
              <w:rPr>
                <w:sz w:val="11"/>
                <w:szCs w:val="11"/>
                <w:color w:val="auto"/>
              </w:rPr>
            </w:pPr>
          </w:p>
        </w:tc>
        <w:tc>
          <w:tcPr>
            <w:tcW w:w="1380" w:type="dxa"/>
            <w:vAlign w:val="bottom"/>
          </w:tcPr>
          <w:p>
            <w:pPr>
              <w:jc w:val="center"/>
              <w:ind w:right="122"/>
              <w:spacing w:after="0" w:line="135" w:lineRule="exact"/>
              <w:rPr>
                <w:sz w:val="20"/>
                <w:szCs w:val="20"/>
                <w:color w:val="auto"/>
              </w:rPr>
            </w:pPr>
            <w:r>
              <w:rPr>
                <w:rFonts w:ascii="Arial" w:cs="Arial" w:eastAsia="Arial" w:hAnsi="Arial"/>
                <w:sz w:val="14"/>
                <w:szCs w:val="14"/>
                <w:b w:val="1"/>
                <w:bCs w:val="1"/>
                <w:color w:val="auto"/>
                <w:w w:val="89"/>
              </w:rPr>
              <w:t>Aggregate Gross</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Consideration ($)</w:t>
            </w: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Entities affiliated with Blackstone</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38,130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23,399,401</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220" w:hanging="332"/>
        <w:spacing w:after="0" w:line="255" w:lineRule="auto"/>
        <w:tabs>
          <w:tab w:leader="none" w:pos="332" w:val="left"/>
        </w:tabs>
        <w:numPr>
          <w:ilvl w:val="0"/>
          <w:numId w:val="72"/>
        </w:numPr>
        <w:rPr>
          <w:rFonts w:ascii="Arial" w:cs="Arial" w:eastAsia="Arial" w:hAnsi="Arial"/>
          <w:sz w:val="14"/>
          <w:szCs w:val="14"/>
          <w:color w:val="auto"/>
        </w:rPr>
      </w:pPr>
      <w:r>
        <w:rPr>
          <w:rFonts w:ascii="Arial" w:cs="Arial" w:eastAsia="Arial" w:hAnsi="Arial"/>
          <w:sz w:val="14"/>
          <w:szCs w:val="14"/>
          <w:color w:val="auto"/>
        </w:rPr>
        <w:t>Consists of 37,138 shares of Series C preferred stock held by BTO Sema4 Holdings L.P., 768 shares of Series C preferred stock held by Blackstone Tactical Opportunities Fund - FD L.P. and 224 shares of Series C preferred stock held by Blackstone Family Tactical Opportunities Investment Partnership III ESC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Stockholders Agreement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27, 2020, Legacy Sema4 entered into a second amended and restated stockholders’ agreement, as amended (the “A&amp;R Stockholders’ Agreement”), with certain holders of Legacy Sema4’s capital stock. The A&amp;R Stockholders’ Agreement provided for certain customary rights with respect to the management of Legacy Sema4, rights of first offer and pre-emptive rights, transfer restrictions, tag-along rights and drag-along rights, which rights and restrictions terminated on July 22, 2021, upon the consummation of the Business Combination. In addition, the A&amp;R Stockholders’ Agreement provided for certain customary registration rights.</w:t>
      </w:r>
    </w:p>
    <w:p>
      <w:pPr>
        <w:spacing w:after="0" w:line="130" w:lineRule="exact"/>
        <w:rPr>
          <w:sz w:val="20"/>
          <w:szCs w:val="20"/>
          <w:color w:val="auto"/>
        </w:rPr>
      </w:pPr>
    </w:p>
    <w:p>
      <w:pPr>
        <w:ind w:right="4580"/>
        <w:spacing w:after="0" w:line="440" w:lineRule="auto"/>
        <w:rPr>
          <w:sz w:val="20"/>
          <w:szCs w:val="20"/>
          <w:color w:val="auto"/>
        </w:rPr>
      </w:pPr>
      <w:r>
        <w:rPr>
          <w:rFonts w:ascii="Arial" w:cs="Arial" w:eastAsia="Arial" w:hAnsi="Arial"/>
          <w:sz w:val="18"/>
          <w:szCs w:val="18"/>
          <w:b w:val="1"/>
          <w:bCs w:val="1"/>
          <w:color w:val="auto"/>
        </w:rPr>
        <w:t xml:space="preserve">Related Party Transactions Entered into in Connection with the Business Combination </w:t>
      </w:r>
      <w:r>
        <w:rPr>
          <w:rFonts w:ascii="Arial" w:cs="Arial" w:eastAsia="Arial" w:hAnsi="Arial"/>
          <w:sz w:val="18"/>
          <w:szCs w:val="18"/>
          <w:b w:val="1"/>
          <w:bCs w:val="1"/>
          <w:i w:val="1"/>
          <w:iCs w:val="1"/>
          <w:color w:val="auto"/>
        </w:rPr>
        <w:t>Business Combination Subscription Agreements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our Business Combination, the Prior PIPE Investors purchased an aggregate of 35,000,000 shares of our Class A common stock at $10.00 per share, for an aggregate purchase price of $350 million in private placements that closed immediately prior to the closing of the Business Combination. The funds from such private placement were used as part of the consideration to Legacy Sema4’s equity holders in connection with the Business Combination. The following table sets forth the number of shares of our Class A common stock that we issued to our directors, executive officers and 5% stockholders and their affiliates in this transaction: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Shares of Class A Common Stock</w:t>
            </w:r>
          </w:p>
        </w:tc>
        <w:tc>
          <w:tcPr>
            <w:tcW w:w="0" w:type="dxa"/>
            <w:vAlign w:val="bottom"/>
          </w:tcPr>
          <w:p>
            <w:pPr>
              <w:spacing w:after="0"/>
              <w:rPr>
                <w:sz w:val="1"/>
                <w:szCs w:val="1"/>
                <w:color w:val="auto"/>
              </w:rPr>
            </w:pPr>
          </w:p>
        </w:tc>
      </w:tr>
      <w:tr>
        <w:trPr>
          <w:trHeight w:val="134"/>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Purchaser</w:t>
            </w:r>
          </w:p>
        </w:tc>
        <w:tc>
          <w:tcPr>
            <w:tcW w:w="16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 of Shares</w:t>
            </w:r>
          </w:p>
        </w:tc>
        <w:tc>
          <w:tcPr>
            <w:tcW w:w="1560" w:type="dxa"/>
            <w:vAlign w:val="bottom"/>
          </w:tcPr>
          <w:p>
            <w:pPr>
              <w:jc w:val="right"/>
              <w:ind w:right="196"/>
              <w:spacing w:after="0" w:line="135" w:lineRule="exact"/>
              <w:rPr>
                <w:sz w:val="20"/>
                <w:szCs w:val="20"/>
                <w:color w:val="auto"/>
              </w:rPr>
            </w:pPr>
            <w:r>
              <w:rPr>
                <w:rFonts w:ascii="Arial" w:cs="Arial" w:eastAsia="Arial" w:hAnsi="Arial"/>
                <w:sz w:val="14"/>
                <w:szCs w:val="14"/>
                <w:b w:val="1"/>
                <w:bCs w:val="1"/>
                <w:color w:val="auto"/>
              </w:rPr>
              <w:t>Aggregate Gross</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560" w:type="dxa"/>
            <w:vAlign w:val="bottom"/>
          </w:tcPr>
          <w:p>
            <w:pPr>
              <w:jc w:val="right"/>
              <w:ind w:right="156"/>
              <w:spacing w:after="0"/>
              <w:rPr>
                <w:sz w:val="20"/>
                <w:szCs w:val="20"/>
                <w:color w:val="auto"/>
              </w:rPr>
            </w:pPr>
            <w:r>
              <w:rPr>
                <w:rFonts w:ascii="Arial" w:cs="Arial" w:eastAsia="Arial" w:hAnsi="Arial"/>
                <w:sz w:val="14"/>
                <w:szCs w:val="14"/>
                <w:b w:val="1"/>
                <w:bCs w:val="1"/>
                <w:color w:val="auto"/>
              </w:rPr>
              <w:t>Consideration ($)</w:t>
            </w: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Entities affiliated with Casdin</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Corvex</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Deerfield</w:t>
            </w:r>
            <w:r>
              <w:rPr>
                <w:rFonts w:ascii="Arial" w:cs="Arial" w:eastAsia="Arial" w:hAnsi="Arial"/>
                <w:sz w:val="23"/>
                <w:szCs w:val="23"/>
                <w:color w:val="auto"/>
                <w:vertAlign w:val="superscript"/>
              </w:rPr>
              <w:t>(3)</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2,750,000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27,500,000</w:t>
            </w:r>
          </w:p>
        </w:tc>
        <w:tc>
          <w:tcPr>
            <w:tcW w:w="0" w:type="dxa"/>
            <w:vAlign w:val="bottom"/>
          </w:tcPr>
          <w:p>
            <w:pPr>
              <w:spacing w:after="0"/>
              <w:rPr>
                <w:sz w:val="1"/>
                <w:szCs w:val="1"/>
                <w:color w:val="auto"/>
              </w:rPr>
            </w:pPr>
          </w:p>
        </w:tc>
      </w:tr>
      <w:tr>
        <w:trPr>
          <w:trHeight w:val="223"/>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16,250,000</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162,500,000</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5,000,000 shares of Class A common stock held by affiliates of Casdin Partners Master Fund L.P.</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4,000,000 shares of Class A common stock held by affiliates of Corvex Management LP.</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2,750,000 shares of Class A common stock held by affiliates of Deerfield Management Company, L.P.</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the consummation of our Business Combination, we, CMLS Holdings LLC (the “Former Sponsor”) and certain other parties thereto (collectively, the “rights holders”) entered into an amended and restated registration rights agreement (the “Amended and Restated Registration Rights Agreement”). Pursuant to the terms of the Amended and Restated Registration Rights Agreement, we were required to prepare and file with the SEC, no later than 30 days after the closing date for the Merger, a shelf registration statement for an offering to be made on a continuous basis from time to time with respect to the resale of the registrable shares under the Amended and Restated Registration Rights Agreement. We were further required to use commercially reasonable efforts to cause such shelf registration statement to be declared effective as soon as possible after filing, but in no event later than the earlier of 60 days following the filing date thereof and five business days after the SEC notifies us that it will not review such registration statement, subject to extension in the event that the registration is subject comments from the SEC.</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pursuant to the terms of the Amended and Restated Registration Rights Agreement and subject to certain requirements and customary conditions, including with regard to the number of demand rights that may be exercised, the rights holders may demand at any time or from time to time, that we file a registration statement on Form S-1 or Form S-3 to register certain shares of our Class A common stock held by such rights holders. The Amended and Restated Registration Rights Agreement also provides the rights holders with “piggy-back” registration rights, subject to certain requirements and customary conditions. We will bear the expenses incurred in connection with the filing of any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ISMMS Lock-Up Agreement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execution of the Prior Merger Agreement, we and Icahn School of Medicine at Mount Sinai entered into the ISMMS Lock-Up Agreement whereby ISMMS agreed to certain transfer restrictions in respect of the shares of our Class A common stock issued to ISMMS pursuant to the Prior Merger Agreement. These transfer restrictions expired on January 18,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Lock-up Agreements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execution of the Prior Merger Agreement, each stockholder of Legacy Sema4 prior to the closing of the Business Combination holding more than 1% of the outstanding common stock of Legacy Sema4 as of the date thereof, entered into a Stockholder Lock-up Agreement whereby such shareholder agreed to certain transfer restrictions in respect of the shares of our Class A common stock issued to such shareholder pursuant to the Prior Merger Agreement. These transfer restrictions expired on January 18, 2022.</w:t>
      </w:r>
    </w:p>
    <w:p>
      <w:pPr>
        <w:spacing w:after="0" w:line="129" w:lineRule="exact"/>
        <w:rPr>
          <w:sz w:val="20"/>
          <w:szCs w:val="20"/>
          <w:color w:val="auto"/>
        </w:rPr>
      </w:pPr>
    </w:p>
    <w:p>
      <w:pPr>
        <w:ind w:right="4880"/>
        <w:spacing w:after="0" w:line="440" w:lineRule="auto"/>
        <w:rPr>
          <w:sz w:val="20"/>
          <w:szCs w:val="20"/>
          <w:color w:val="auto"/>
        </w:rPr>
      </w:pPr>
      <w:r>
        <w:rPr>
          <w:rFonts w:ascii="Arial" w:cs="Arial" w:eastAsia="Arial" w:hAnsi="Arial"/>
          <w:sz w:val="18"/>
          <w:szCs w:val="18"/>
          <w:b w:val="1"/>
          <w:bCs w:val="1"/>
          <w:color w:val="auto"/>
        </w:rPr>
        <w:t xml:space="preserve">CMLS Related Party Transactions Entered into Prior to the Business Combination </w:t>
      </w:r>
      <w:r>
        <w:rPr>
          <w:rFonts w:ascii="Arial" w:cs="Arial" w:eastAsia="Arial" w:hAnsi="Arial"/>
          <w:sz w:val="18"/>
          <w:szCs w:val="18"/>
          <w:b w:val="1"/>
          <w:bCs w:val="1"/>
          <w:i w:val="1"/>
          <w:iCs w:val="1"/>
          <w:color w:val="auto"/>
        </w:rPr>
        <w:t>Founder Shares</w:t>
      </w:r>
    </w:p>
    <w:p>
      <w:pPr>
        <w:spacing w:after="0" w:line="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July 16, 2020, the Former Sponsor purchased an aggregate of 10,062,500 shares of Class B common stock of CMLS (the “Class B common stock”), for a total purchase price of $25,000, or approximately $0.002 per share. In August 2020, the Former Sponsor transferred 25,000 of Class B common stock to each of Dr. Leproust and Mr. Turner. On September 1, 2020, CMLS effected a 1:1.1 stock split of its Class B common stock, resulting in the Former Sponsor holding an aggregate of 10,993,750 shares of Class B common stock. The shares of Class B common stock automatically converted into Class A common stock on July 22, 2021 in connection with the consummation of the Business Combination (such shares, the “Founder Shares”).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September 1, 2020, simultaneously with the closing of CMLS’s initial public offering (the “Initial Public Offering”), the Former Sponsor and certain of CMLS’s independent directors purchased an aggregate of 7,236,667 private placement warrants (the “Private Placement Warrants”), at a price of $1.50 per Private Placement Warrant, for an aggregate purchase price of $10,855,000. The Former Sponsor purchased 6,903,335 Private Placement Warrants, and Dr. Leproust (and/or one or more entities controlled by her) purchased 166,666 Private Placement Warrants. Each Private Placement Warrant is exercisable to purchase one share of Class A common stock at a price of $11.50 per share, subject to adjustment.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Note–Related Party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16, 2020, the Former Sponsor issued an unsecured promissory note to CMLS (the “Promissory Note”), pursuant to which CMLS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 Letter</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1, 2020, in connection with the Initial Public Offering, CMLS, the Former Sponsor and certain insiders of CMLS entered into a letter agreement (the “Insider Letter”) providing for, among other things, a lock-up in relation to the Founder Shares until the earlier of (a) one year after the completion of the Business Combination and (b) subsequent to the Business Combination, if the closing price of the Class A common stock equals or exceeds $12.00 per share (as adjusted for stock splits, stock dividends, reorganizations, recapitalizations, and the like) for any 20 trading days within any 30-day trading day period commencing at least 150 days after the Business Combination or (y) the date following the completion of the Business Combination on which we complete a liquidation, merger, capital stock exchange, reorganization or other similar transaction that results in all of our stockholders having the right to exchange their shares of Class A common stock for cash securities or other property. The Former Sponsor and each insider also agreed not to transfer any Private Placement Warrants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 of Class A common stock issued or issuable upon the exercise of the Private Placement Warrants), until 30 days after the completion of the Business Combination.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 2020, in connection with the Initial Public Offering, CMLS entered into separate forward purchase agreements with Casdin Capital, LLC (“Casdin”) and Corvex Management LP (“Corvex”), in their capacities as investment advisors on behalf of one or more investment funds, clients or accounts managed by each of Casdin and Corvex, respectively (collectively, their “Clients”), pursuant to which, subject to the conditions provided therein, they caused the Clients to purchase from us up to an aggregate amount of 15,000,000 shares of Class A common stock the private placement that closed concurrently with the closing of the Business Combination.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Parties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22, 2021, we adopted a written related party transaction policy in connection with the completion of the Business Combination. The policy provides that officers, directors, holders of more than 5% of any class of our voting securities, and any member of the immediate family of and any entity affiliated with any of the foregoing persons, will not be permitted to enter into a related-party transaction with us without the prior consent of our audit committee, or other independent members of our Board in the event it is inappropriate for the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the proposed transactions, our audit committee will take into account all of the relevant facts and circumstances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4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PRINCIPAL SECURITYHOLDERS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Certain Stockholders, Directors and Executive Officers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with respect to the beneficial ownership of our Class A common stock as of April 30, 2022, by:</w:t>
      </w:r>
    </w:p>
    <w:p>
      <w:pPr>
        <w:spacing w:after="0" w:line="183"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Class A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Percentage ownership of our Class A common stock is based on 377,249,186 shares of our Class A common stock outstanding on April 30, 2022. 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above has sole voting and investment power with respect to such shares. Unless otherwise noted, the address of each beneficial owner is c/o Sema4 Holdings Corp., 333 Ludlow Street, North Tower, 8th Floor, Stamford, Connecticut 06902.</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of Shares of</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35"/>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of Beneficial Owners</w:t>
            </w: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Class A Common Stock</w:t>
            </w: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Beneficially Owned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Class A Common Stock</w:t>
            </w: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5% Stockholders:</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Blackstone Group Inc.</w:t>
            </w:r>
            <w:r>
              <w:rPr>
                <w:rFonts w:ascii="Arial" w:cs="Arial" w:eastAsia="Arial" w:hAnsi="Arial"/>
                <w:sz w:val="23"/>
                <w:szCs w:val="23"/>
                <w:color w:val="auto"/>
                <w:vertAlign w:val="superscript"/>
              </w:rPr>
              <w:t>(1)</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28,366,502</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7.5</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Deerfield Management Company, L.P.</w:t>
            </w:r>
            <w:r>
              <w:rPr>
                <w:rFonts w:ascii="Arial" w:cs="Arial" w:eastAsia="Arial" w:hAnsi="Arial"/>
                <w:sz w:val="23"/>
                <w:szCs w:val="23"/>
                <w:color w:val="auto"/>
                <w:vertAlign w:val="superscript"/>
              </w:rPr>
              <w:t>(2)</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18,966,824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Icahn School of Medicine at Mount Sinai</w:t>
            </w:r>
            <w:r>
              <w:rPr>
                <w:rFonts w:ascii="Arial" w:cs="Arial" w:eastAsia="Arial" w:hAnsi="Arial"/>
                <w:sz w:val="23"/>
                <w:szCs w:val="23"/>
                <w:color w:val="auto"/>
                <w:vertAlign w:val="superscript"/>
              </w:rPr>
              <w:t>(3)</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94,605,473</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25.1</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OPKO Health, Inc.</w:t>
            </w:r>
            <w:r>
              <w:rPr>
                <w:rFonts w:ascii="Arial" w:cs="Arial" w:eastAsia="Arial" w:hAnsi="Arial"/>
                <w:sz w:val="23"/>
                <w:szCs w:val="23"/>
                <w:color w:val="auto"/>
                <w:vertAlign w:val="superscript"/>
              </w:rPr>
              <w:t>(4)</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80,000,000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21.2</w:t>
            </w:r>
          </w:p>
        </w:tc>
        <w:tc>
          <w:tcPr>
            <w:tcW w:w="0" w:type="dxa"/>
            <w:vAlign w:val="bottom"/>
          </w:tcPr>
          <w:p>
            <w:pPr>
              <w:spacing w:after="0"/>
              <w:rPr>
                <w:sz w:val="1"/>
                <w:szCs w:val="1"/>
                <w:color w:val="auto"/>
              </w:rPr>
            </w:pPr>
          </w:p>
        </w:tc>
      </w:tr>
      <w:tr>
        <w:trPr>
          <w:trHeight w:val="203"/>
        </w:trPr>
        <w:tc>
          <w:tcPr>
            <w:tcW w:w="7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Directors and Named Executive Officers: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Katherine Stueland</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Eric Schadt</w:t>
            </w:r>
            <w:r>
              <w:rPr>
                <w:rFonts w:ascii="Arial" w:cs="Arial" w:eastAsia="Arial" w:hAnsi="Arial"/>
                <w:sz w:val="23"/>
                <w:szCs w:val="23"/>
                <w:color w:val="auto"/>
                <w:vertAlign w:val="superscript"/>
              </w:rPr>
              <w:t>(5)</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7,845,070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Isaac Ro</w:t>
            </w:r>
            <w:r>
              <w:rPr>
                <w:rFonts w:ascii="Arial" w:cs="Arial" w:eastAsia="Arial" w:hAnsi="Arial"/>
                <w:sz w:val="23"/>
                <w:szCs w:val="23"/>
                <w:color w:val="auto"/>
                <w:vertAlign w:val="superscript"/>
              </w:rPr>
              <w:t>(6)</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497,859</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James Coffin</w:t>
            </w:r>
            <w:r>
              <w:rPr>
                <w:rFonts w:ascii="Arial" w:cs="Arial" w:eastAsia="Arial" w:hAnsi="Arial"/>
                <w:sz w:val="23"/>
                <w:szCs w:val="23"/>
                <w:color w:val="auto"/>
                <w:vertAlign w:val="superscript"/>
              </w:rPr>
              <w:t>(7)</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2,696,081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Dennis Charney</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Eli D. Casdin</w:t>
            </w:r>
            <w:r>
              <w:rPr>
                <w:rFonts w:ascii="Arial" w:cs="Arial" w:eastAsia="Arial" w:hAnsi="Arial"/>
                <w:sz w:val="23"/>
                <w:szCs w:val="23"/>
                <w:color w:val="auto"/>
                <w:vertAlign w:val="superscript"/>
              </w:rPr>
              <w:t>(8)</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34,167,919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9.1</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Emily Leproust</w:t>
            </w:r>
            <w:r>
              <w:rPr>
                <w:rFonts w:ascii="Arial" w:cs="Arial" w:eastAsia="Arial" w:hAnsi="Arial"/>
                <w:sz w:val="23"/>
                <w:szCs w:val="23"/>
                <w:color w:val="auto"/>
                <w:vertAlign w:val="superscript"/>
              </w:rPr>
              <w:t>(9)</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191,666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Keith Meister</w:t>
            </w:r>
            <w:r>
              <w:rPr>
                <w:rFonts w:ascii="Arial" w:cs="Arial" w:eastAsia="Arial" w:hAnsi="Arial"/>
                <w:sz w:val="23"/>
                <w:szCs w:val="23"/>
                <w:color w:val="auto"/>
                <w:vertAlign w:val="superscript"/>
              </w:rPr>
              <w:t>(10)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33,667,919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8.9</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Michael Pellini</w:t>
            </w:r>
            <w:r>
              <w:rPr>
                <w:rFonts w:ascii="Arial" w:cs="Arial" w:eastAsia="Arial" w:hAnsi="Arial"/>
                <w:sz w:val="23"/>
                <w:szCs w:val="23"/>
                <w:color w:val="auto"/>
                <w:vertAlign w:val="superscript"/>
              </w:rPr>
              <w:t>(11)</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4,952</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Jason Ryan</w:t>
            </w:r>
            <w:r>
              <w:rPr>
                <w:rFonts w:ascii="Arial" w:cs="Arial" w:eastAsia="Arial" w:hAnsi="Arial"/>
                <w:sz w:val="23"/>
                <w:szCs w:val="23"/>
                <w:color w:val="auto"/>
                <w:vertAlign w:val="superscript"/>
              </w:rPr>
              <w:t>(12)</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4,952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Joshua Ruch</w:t>
            </w:r>
            <w:r>
              <w:rPr>
                <w:rFonts w:ascii="Arial" w:cs="Arial" w:eastAsia="Arial" w:hAnsi="Arial"/>
                <w:sz w:val="23"/>
                <w:szCs w:val="23"/>
                <w:color w:val="auto"/>
                <w:vertAlign w:val="superscript"/>
              </w:rPr>
              <w:t>(13)</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4,952</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Rachel Sherman</w:t>
            </w:r>
            <w:r>
              <w:rPr>
                <w:rFonts w:ascii="Arial" w:cs="Arial" w:eastAsia="Arial" w:hAnsi="Arial"/>
                <w:sz w:val="23"/>
                <w:szCs w:val="23"/>
                <w:color w:val="auto"/>
                <w:vertAlign w:val="superscript"/>
              </w:rPr>
              <w:t>(14)</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204,310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Richard Pfenniger, Jr.</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Directors and executive officers as a group (16 individuals)</w:t>
            </w:r>
            <w:r>
              <w:rPr>
                <w:rFonts w:ascii="Arial" w:cs="Arial" w:eastAsia="Arial" w:hAnsi="Arial"/>
                <w:sz w:val="23"/>
                <w:szCs w:val="23"/>
                <w:b w:val="1"/>
                <w:bCs w:val="1"/>
                <w:color w:val="auto"/>
                <w:vertAlign w:val="superscript"/>
              </w:rPr>
              <w:t>(15)</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65,454,501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16.8</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1" w:lineRule="exact"/>
        <w:rPr>
          <w:sz w:val="20"/>
          <w:szCs w:val="20"/>
          <w:color w:val="auto"/>
        </w:rPr>
      </w:pPr>
    </w:p>
    <w:p>
      <w:pPr>
        <w:ind w:left="340" w:right="140" w:hanging="332"/>
        <w:spacing w:after="0" w:line="255" w:lineRule="auto"/>
        <w:tabs>
          <w:tab w:leader="none" w:pos="332" w:val="left"/>
        </w:tabs>
        <w:numPr>
          <w:ilvl w:val="0"/>
          <w:numId w:val="76"/>
        </w:numPr>
        <w:rPr>
          <w:rFonts w:ascii="Arial" w:cs="Arial" w:eastAsia="Arial" w:hAnsi="Arial"/>
          <w:sz w:val="14"/>
          <w:szCs w:val="14"/>
          <w:color w:val="auto"/>
        </w:rPr>
      </w:pPr>
      <w:r>
        <w:rPr>
          <w:rFonts w:ascii="Arial" w:cs="Arial" w:eastAsia="Arial" w:hAnsi="Arial"/>
          <w:sz w:val="14"/>
          <w:szCs w:val="14"/>
          <w:color w:val="auto"/>
        </w:rPr>
        <w:t>Based on the information set forth in a Schedule 13D/A filed with the SEC on January 20, 2022 by Blackstone Holding III L.P. Consists of (i) 24,404,324 shares of Class A common stock held by BTO Sema4 Holdings L.P., (ii) 505,095 shares of Class A common stock held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39" w:lineRule="exact"/>
        <w:rPr>
          <w:sz w:val="20"/>
          <w:szCs w:val="20"/>
          <w:color w:val="auto"/>
        </w:rPr>
      </w:pPr>
    </w:p>
    <w:p>
      <w:pPr>
        <w:ind w:left="332"/>
        <w:spacing w:after="0"/>
        <w:rPr>
          <w:sz w:val="20"/>
          <w:szCs w:val="20"/>
          <w:color w:val="auto"/>
        </w:rPr>
      </w:pPr>
      <w:r>
        <w:rPr>
          <w:rFonts w:ascii="Arial" w:cs="Arial" w:eastAsia="Arial" w:hAnsi="Arial"/>
          <w:sz w:val="13"/>
          <w:szCs w:val="13"/>
          <w:color w:val="auto"/>
        </w:rPr>
        <w:t>Blackstone Tactical Opportunities Fund - FD L.P., (iii) 147,574 shares of Class A common stock held by Blackstone Family Tactical Opportunities Investment Partnership III ESC L.P., and</w:t>
      </w:r>
    </w:p>
    <w:p>
      <w:pPr>
        <w:spacing w:after="0" w:line="25" w:lineRule="exact"/>
        <w:rPr>
          <w:sz w:val="20"/>
          <w:szCs w:val="20"/>
          <w:color w:val="auto"/>
        </w:rPr>
      </w:pPr>
    </w:p>
    <w:p>
      <w:pPr>
        <w:jc w:val="both"/>
        <w:ind w:left="332" w:right="160" w:hanging="8"/>
        <w:spacing w:after="0" w:line="260" w:lineRule="auto"/>
        <w:tabs>
          <w:tab w:leader="none" w:pos="576" w:val="left"/>
        </w:tabs>
        <w:numPr>
          <w:ilvl w:val="1"/>
          <w:numId w:val="77"/>
        </w:numPr>
        <w:rPr>
          <w:rFonts w:ascii="Arial" w:cs="Arial" w:eastAsia="Arial" w:hAnsi="Arial"/>
          <w:sz w:val="13"/>
          <w:szCs w:val="13"/>
          <w:color w:val="auto"/>
        </w:rPr>
      </w:pPr>
      <w:r>
        <w:rPr>
          <w:rFonts w:ascii="Arial" w:cs="Arial" w:eastAsia="Arial" w:hAnsi="Arial"/>
          <w:sz w:val="13"/>
          <w:szCs w:val="13"/>
          <w:color w:val="auto"/>
        </w:rPr>
        <w:t>(a) 100,000 shares of Class A common stock and (b) warrants to purchase 709,509 shares of Class A common stock which are exercisable within 60 days of April 30, 2022 held by Blackstone Aqua Master Sub-Fund, a sub-fund of Blackstone Global Master Fund ICAV. Also consists of 2,500,000 shares purchased pursuant to the PIPE Investment, consisting of (i) 2,424,863 shares of Class A common stock held by BTO Sema4 Holdings L.P., (ii) 50,402 shares of Class A common stock held by Blackstone Tactical Opportunities Fund - DF L.P., and</w:t>
      </w:r>
    </w:p>
    <w:p>
      <w:pPr>
        <w:ind w:left="332" w:right="40" w:hanging="8"/>
        <w:spacing w:after="0" w:line="260" w:lineRule="auto"/>
        <w:tabs>
          <w:tab w:leader="none" w:pos="584" w:val="left"/>
        </w:tabs>
        <w:numPr>
          <w:ilvl w:val="1"/>
          <w:numId w:val="78"/>
        </w:numPr>
        <w:rPr>
          <w:rFonts w:ascii="Arial" w:cs="Arial" w:eastAsia="Arial" w:hAnsi="Arial"/>
          <w:sz w:val="13"/>
          <w:szCs w:val="13"/>
          <w:color w:val="auto"/>
        </w:rPr>
      </w:pPr>
      <w:r>
        <w:rPr>
          <w:rFonts w:ascii="Arial" w:cs="Arial" w:eastAsia="Arial" w:hAnsi="Arial"/>
          <w:sz w:val="13"/>
          <w:szCs w:val="13"/>
          <w:color w:val="auto"/>
        </w:rPr>
        <w:t>14,735 shares of Class A common stock held by Blackstone Family Tactical Opportunities Investment Partnership III ESC L.P. BTO Holdings Manager L.L.C. is the general partner of BTO Sema4 Holdings L.P. Blackstone Tactical Opportunities Associates L.L.C. is the managing member of BTO Holdings Manager L.L.C. BTOA L.L.C. is the sole member of Blackstone Tactical Opportunities Associates L.L.C. Blackstone Holdings III L.P. is the managing member of BTOA L.L.C. Blackstone Tactical Opportunities Associates III - NQ L.P. is the general partner of Blackstone Tactical Opportunities Fund - FD L.P. BTO DE GP - NQ L.L.C. is the general partner of Blackstone Tactical Opportunities Associates III - NQ L.P. Blackstone Holdings II L.P. is the managing member of BTO DE GP - NQ L.L.C. Blackstone Holdings I/II GP L.L.C. is the general partner of Blackstone Holdings II L.P. Blackstone Alternative Solutions L.L.C. is the investment manager of Blackstone Aqua Master Sub-Fund, a sub-fund of Blackstone Global Master Fund ICAV. Blackstone Holdings I L.P. is the sole member of Blackstone Alternative Solutions L.L.C. Blackstone Holdings I/II GP L.L.C. is the general partner of Blackstone Holdings I L.P. BTO Side-by-Side GP L.L.C. is the general partner of Blackstone Family Tactical Opportunities Investment Partnership III ESC L.P. Blackstone Holdings III L.P. is the sole member of BTO Side-by-Side GP L.L.C. Blackstone Holdings III GP L.P. is the general partner of Blackstone Holdings III L.P. Blackstone Holdings III GP Management L.L.C. is the general partner of Blackstone Holdings III GP L.P. The Blackstone Group Inc. is the sole member of each of Blackstone Holdings I/II GP L.L.C. and Blackstone Holdings III GP Management L.L.C. The sole holder of the Class C common stock of The Blackstone Group Inc. is Blackstone Group Management L.L.C. Blackstone Group Management L.L.C. is wholly-owned by Blackstone's senior managing directors and controlled by its founder, Stephen A. Schwarzman. Each of the Blackstone entities described in this footnote and Stephen A. Schwarzman may be deemed to beneficially own the shares directly or indirectly controlled by such Blackstone entities or him, but each disclaims beneficial ownership of such shares. The address of Mr. Schwarzman and each of the other entities listed in this footnote is c/o The Blackstone Group Inc., 345 Park Avenue, New York, New York 10154.</w:t>
      </w:r>
    </w:p>
    <w:p>
      <w:pPr>
        <w:ind w:left="332" w:right="20" w:hanging="332"/>
        <w:spacing w:after="0" w:line="241" w:lineRule="auto"/>
        <w:tabs>
          <w:tab w:leader="none" w:pos="324" w:val="left"/>
        </w:tabs>
        <w:numPr>
          <w:ilvl w:val="0"/>
          <w:numId w:val="79"/>
        </w:numPr>
        <w:rPr>
          <w:rFonts w:ascii="Arial" w:cs="Arial" w:eastAsia="Arial" w:hAnsi="Arial"/>
          <w:sz w:val="14"/>
          <w:szCs w:val="14"/>
          <w:color w:val="auto"/>
        </w:rPr>
      </w:pPr>
      <w:r>
        <w:rPr>
          <w:rFonts w:ascii="Arial" w:cs="Arial" w:eastAsia="Arial" w:hAnsi="Arial"/>
          <w:sz w:val="14"/>
          <w:szCs w:val="14"/>
          <w:color w:val="auto"/>
        </w:rPr>
        <w:t>Based on the information set forth in a Schedule 13G/A filed with the SEC on February 11, 2022 by James E. Flynn. Consists of (i) 7,042,580 shares of Class A common stock held by Deerfield Partners, L.P. and (ii) 6,924,244 shares of Class A common stock held by DPDF. Also consists of 5,000,000 shares of Class A common stock purchased pursuant to the PIPE Investment, consisting of (i) 3,125,000 shares of Class A common stock held by Deerfield Private Design Fund V., L.P. and (ii) 1,875,000 shares of Class A common stock held by Deerfield Partners, L.P. Deerfield Management Company, L.P. (“Deerfield Management”) is the investment manager of Deerfield Partners, L.P. (“Deerfield Partners”) and Deerfield Private Design Fund V, L.P. (“DPDF”). Deerfield Mgmt, L.P. (“Deerfield Mgmt”) is the general partner of Deerfield Partners. Deerfield Mgmt V, L.P. (“Deerfield Mgmt V”) is the general partner of DPDF. James E. Flynn is the sole member of the general partner of each of Deerfield Management, Deerfield Mgmt and Deerfield Mgmt V. Deerfield Management, Deerfield Mgmt and Mr. Flynn may be deemed to beneficially own the securities held by Deerfield Partners. Deerfield Management, Deerfield Mgmt V and Mr. Flynn may be deemed to beneficially own the securities held by DPDF. The address for each of Deerfield Partners, DPDF, Deerfield Management, Deerfield Mgmt, Deerfield Mgmt V and Mr. Flynn is 345 Park Avenue South, New York, New York 10010.</w:t>
      </w:r>
    </w:p>
    <w:p>
      <w:pPr>
        <w:spacing w:after="0" w:line="3" w:lineRule="exact"/>
        <w:rPr>
          <w:rFonts w:ascii="Arial" w:cs="Arial" w:eastAsia="Arial" w:hAnsi="Arial"/>
          <w:sz w:val="14"/>
          <w:szCs w:val="14"/>
          <w:color w:val="auto"/>
        </w:rPr>
      </w:pPr>
    </w:p>
    <w:p>
      <w:pPr>
        <w:ind w:left="332" w:hanging="332"/>
        <w:spacing w:after="0" w:line="260" w:lineRule="auto"/>
        <w:tabs>
          <w:tab w:leader="none" w:pos="324" w:val="left"/>
        </w:tabs>
        <w:numPr>
          <w:ilvl w:val="0"/>
          <w:numId w:val="79"/>
        </w:numPr>
        <w:rPr>
          <w:rFonts w:ascii="Arial" w:cs="Arial" w:eastAsia="Arial" w:hAnsi="Arial"/>
          <w:sz w:val="13"/>
          <w:szCs w:val="13"/>
          <w:color w:val="auto"/>
        </w:rPr>
      </w:pPr>
      <w:r>
        <w:rPr>
          <w:rFonts w:ascii="Arial" w:cs="Arial" w:eastAsia="Arial" w:hAnsi="Arial"/>
          <w:sz w:val="13"/>
          <w:szCs w:val="13"/>
          <w:color w:val="auto"/>
        </w:rPr>
        <w:t>Based on the information set forth in a Schedule 13D/A filed with the SEC on January 21, 2022 by Icahn School of Medicine at Mount Sinai (“ISMMS”). Consists of 88,355,473 shares of Class A common stock held by ISMMS. Also consists of 6,250,000 shares of Class A common stock purchased pursuant to the PIPE Investment and held by ISMMS. The shares are held by ISMMS, a New York Education Corporation. The responsibility and authority for the voting and investment decisions with respect to the shares held by ISMMS is vested in those persons who from time to time are the executive officers of ISMMS under the oversight and direction of its board of directors and its sole member, Mount Sinai Health System, Inc., a New York Not-for-Profit Corporation. The address for Icahn School of Medicine at Mount Sinai is One Gustave L. Levy Place, New York, New York 10029.</w:t>
      </w:r>
    </w:p>
    <w:p>
      <w:pPr>
        <w:ind w:left="312" w:hanging="312"/>
        <w:spacing w:after="0"/>
        <w:tabs>
          <w:tab w:leader="none" w:pos="312"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80,000,000 shares of Class A common stock issued to OPKO in connection with the Acquisition.</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79"/>
        </w:numPr>
        <w:rPr>
          <w:rFonts w:ascii="Arial" w:cs="Arial" w:eastAsia="Arial" w:hAnsi="Arial"/>
          <w:sz w:val="13"/>
          <w:szCs w:val="13"/>
          <w:color w:val="auto"/>
        </w:rPr>
      </w:pPr>
      <w:r>
        <w:rPr>
          <w:rFonts w:ascii="Arial" w:cs="Arial" w:eastAsia="Arial" w:hAnsi="Arial"/>
          <w:sz w:val="13"/>
          <w:szCs w:val="13"/>
          <w:color w:val="auto"/>
        </w:rPr>
        <w:t>Consists of (i) 168,351 shares of Class A common stock and (ii) 7,676,719 shares of Class A common stock subject to options that are exercisable within 60 days of April 30, 2022.</w:t>
      </w:r>
    </w:p>
    <w:p>
      <w:pPr>
        <w:spacing w:after="0" w:line="12" w:lineRule="exact"/>
        <w:rPr>
          <w:rFonts w:ascii="Arial" w:cs="Arial" w:eastAsia="Arial" w:hAnsi="Arial"/>
          <w:sz w:val="13"/>
          <w:szCs w:val="13"/>
          <w:color w:val="auto"/>
        </w:rPr>
      </w:pPr>
    </w:p>
    <w:p>
      <w:pPr>
        <w:ind w:left="312" w:hanging="312"/>
        <w:spacing w:after="0"/>
        <w:tabs>
          <w:tab w:leader="none" w:pos="312" w:val="left"/>
        </w:tabs>
        <w:numPr>
          <w:ilvl w:val="0"/>
          <w:numId w:val="79"/>
        </w:numPr>
        <w:rPr>
          <w:rFonts w:ascii="Arial" w:cs="Arial" w:eastAsia="Arial" w:hAnsi="Arial"/>
          <w:sz w:val="13"/>
          <w:szCs w:val="13"/>
          <w:color w:val="auto"/>
        </w:rPr>
      </w:pPr>
      <w:r>
        <w:rPr>
          <w:rFonts w:ascii="Arial" w:cs="Arial" w:eastAsia="Arial" w:hAnsi="Arial"/>
          <w:sz w:val="13"/>
          <w:szCs w:val="13"/>
          <w:color w:val="auto"/>
        </w:rPr>
        <w:t>Consists of (i) 254,514 shares of Class A common stock and (ii) 243,345 shares of Class A common stock subject to options that are exercisable within 60 days of April 30, 2022.</w:t>
      </w:r>
    </w:p>
    <w:p>
      <w:pPr>
        <w:spacing w:after="0" w:line="12" w:lineRule="exact"/>
        <w:rPr>
          <w:rFonts w:ascii="Arial" w:cs="Arial" w:eastAsia="Arial" w:hAnsi="Arial"/>
          <w:sz w:val="13"/>
          <w:szCs w:val="13"/>
          <w:color w:val="auto"/>
        </w:rPr>
      </w:pPr>
    </w:p>
    <w:p>
      <w:pPr>
        <w:ind w:left="332" w:right="220" w:hanging="332"/>
        <w:spacing w:after="0" w:line="241" w:lineRule="auto"/>
        <w:tabs>
          <w:tab w:leader="none" w:pos="324"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(i) 1,597,524 shares of Class A common stock and (ii) 1,098,557 shares of Class A common stock subject to options that are exercisable within 60 days of April 30, 2022. Dr. Coffin left the Company in February 2022.</w:t>
      </w:r>
    </w:p>
    <w:p>
      <w:pPr>
        <w:ind w:left="332" w:hanging="332"/>
        <w:spacing w:after="0" w:line="241" w:lineRule="auto"/>
        <w:tabs>
          <w:tab w:leader="none" w:pos="324" w:val="left"/>
        </w:tabs>
        <w:numPr>
          <w:ilvl w:val="0"/>
          <w:numId w:val="79"/>
        </w:numPr>
        <w:rPr>
          <w:rFonts w:ascii="Arial" w:cs="Arial" w:eastAsia="Arial" w:hAnsi="Arial"/>
          <w:sz w:val="14"/>
          <w:szCs w:val="14"/>
          <w:color w:val="auto"/>
        </w:rPr>
      </w:pPr>
      <w:r>
        <w:rPr>
          <w:rFonts w:ascii="Arial" w:cs="Arial" w:eastAsia="Arial" w:hAnsi="Arial"/>
          <w:sz w:val="14"/>
          <w:szCs w:val="14"/>
          <w:color w:val="auto"/>
        </w:rPr>
        <w:t>Based on the information set forth in a Schedule 13D/A filed with the SEC on January 19, 2022 by CMLS Holdings LLC. Includes (i) 5,000,000 shares of Class A common stock held indirectly by Casdin Partners Master Fund L.P., and (ii) (x) 10,993,750 shares of Class A common stock and (y) 6,736,669 shares of Class A common stock underlying private placement warrants that are exercisable within 60 days of April 30, 2022 held indirectly by CMLS Holdings LLC (the “Former Sponsor”). Also consists of 11,437,500 shares of Class A common stock purchased pursuant to the PIPE Investment and held by Casdin Partners Master Fund L.P. The Board of Managers of the Former Sponsor is comprised of Mr. Eli Casdin and Mr. Keith Meister who share voting and investment discretion with respect to the Class A common stock held of record by CMLS Holdings LLC. Mr. Casdin is a member of the Board. C-LSH LLC and M-LSH LLC are the members of CMLS Holdings LLC, and Mr. Casdin and Mr. Meister are the managing members of C-LSH LLC and M-LSH LLC, respectively. As such, each of the foregoing may be deemed to have or share beneficial ownership of the Class A common stock held directly by CMLS Holdings LLC. The business address of the Former Sponsor is c/o Corvex Management, L.P., 667 Madison Avenue, New York, NY 10065.</w:t>
      </w:r>
    </w:p>
    <w:p>
      <w:pPr>
        <w:spacing w:after="0" w:line="2" w:lineRule="exact"/>
        <w:rPr>
          <w:rFonts w:ascii="Arial" w:cs="Arial" w:eastAsia="Arial" w:hAnsi="Arial"/>
          <w:sz w:val="14"/>
          <w:szCs w:val="14"/>
          <w:color w:val="auto"/>
        </w:rPr>
      </w:pPr>
    </w:p>
    <w:p>
      <w:pPr>
        <w:ind w:left="332" w:right="100" w:hanging="332"/>
        <w:spacing w:after="0" w:line="241" w:lineRule="auto"/>
        <w:tabs>
          <w:tab w:leader="none" w:pos="324"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(i) 25,000 shares of Class A common stock and (ii) 166,666 shares of Class A common stock underlying private placement warrants that are exercisable within 60 days of April 30, 2022.</w:t>
      </w:r>
    </w:p>
    <w:p>
      <w:pPr>
        <w:ind w:left="332" w:right="140" w:hanging="332"/>
        <w:spacing w:after="0" w:line="246" w:lineRule="auto"/>
        <w:tabs>
          <w:tab w:leader="none" w:pos="329" w:val="left"/>
        </w:tabs>
        <w:numPr>
          <w:ilvl w:val="0"/>
          <w:numId w:val="79"/>
        </w:numPr>
        <w:rPr>
          <w:rFonts w:ascii="Arial" w:cs="Arial" w:eastAsia="Arial" w:hAnsi="Arial"/>
          <w:sz w:val="14"/>
          <w:szCs w:val="14"/>
          <w:color w:val="auto"/>
        </w:rPr>
      </w:pPr>
      <w:r>
        <w:rPr>
          <w:rFonts w:ascii="Arial" w:cs="Arial" w:eastAsia="Arial" w:hAnsi="Arial"/>
          <w:sz w:val="14"/>
          <w:szCs w:val="14"/>
          <w:color w:val="auto"/>
        </w:rPr>
        <w:t>Based on the information set forth in a Schedule 13D/A filed with the SEC on January 19, 2022 by CMLS Holdings LLC. Includes (i) 4,500,000 shares of Class A common stock held indirectly by Corvex Management, L.P. and (ii) (x) 10,993,750 shares of Class A common stock and (y) 6,736,669 shares of Class A common stock underlying private placement warrants that are exercisable within 60 days of April 30, 2022 held indirectly by the Former Sponsor. Also consists of 11,437,500 shares of Class A common stock purchased pursuant to the PIPE Investment, consisting of (i) 7,320,000 shares of Class A common stock held by Corvex Select Equity Master Fund, L.P.,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158" w:name="page159"/>
    <w:bookmarkEnd w:id="158"/>
    <w:p>
      <w:pPr>
        <w:spacing w:after="0" w:line="139" w:lineRule="exact"/>
        <w:rPr>
          <w:sz w:val="20"/>
          <w:szCs w:val="20"/>
          <w:color w:val="auto"/>
        </w:rPr>
      </w:pPr>
    </w:p>
    <w:p>
      <w:pPr>
        <w:ind w:left="332" w:right="20"/>
        <w:spacing w:after="0" w:line="263" w:lineRule="auto"/>
        <w:rPr>
          <w:sz w:val="20"/>
          <w:szCs w:val="20"/>
          <w:color w:val="auto"/>
        </w:rPr>
      </w:pPr>
      <w:r>
        <w:rPr>
          <w:rFonts w:ascii="Arial" w:cs="Arial" w:eastAsia="Arial" w:hAnsi="Arial"/>
          <w:sz w:val="13"/>
          <w:szCs w:val="13"/>
          <w:color w:val="auto"/>
        </w:rPr>
        <w:t>3,557,000 shares of Class A common stock held by Corvex Master Fund, L.P. and (iii) 560,500 shares of Class A common stock held by Corvex Dynamic Equity Select Master Fund, L.P. The Board of Managers of the Former Sponsor is comprised of Mr. Eli Casdin and Mr. Keith Meister who share voting and investment discretion with respect to the Class A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Class A common stock held directly by CMLS Holdings LLC. The business address of the Former Sponsor is c/o Corvex Management, L.P., 667 Madison Avenue, New York, NY 10065.</w:t>
      </w:r>
    </w:p>
    <w:p>
      <w:pPr>
        <w:spacing w:after="0" w:line="3" w:lineRule="exact"/>
        <w:rPr>
          <w:sz w:val="20"/>
          <w:szCs w:val="20"/>
          <w:color w:val="auto"/>
        </w:rPr>
      </w:pPr>
    </w:p>
    <w:p>
      <w:pPr>
        <w:ind w:left="312" w:hanging="312"/>
        <w:spacing w:after="0"/>
        <w:tabs>
          <w:tab w:leader="none" w:pos="312"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4,952 shares of Class A common stock subject to options that are exercisable within 60 days of April 30, 2022.</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4,952 shares of Class A common stock subject to options that are exercisable within 60 days of April 30, 2022.</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4,952 shares of Class A common stock subject to options that are exercisable within 60 days of April 30, 2022.</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204,310 shares of Class A common stock subject to options that are exercisable within 60 days of April 30, 2022.</w:t>
      </w:r>
    </w:p>
    <w:p>
      <w:pPr>
        <w:spacing w:after="0" w:line="1" w:lineRule="exact"/>
        <w:rPr>
          <w:rFonts w:ascii="Arial" w:cs="Arial" w:eastAsia="Arial" w:hAnsi="Arial"/>
          <w:sz w:val="14"/>
          <w:szCs w:val="14"/>
          <w:color w:val="auto"/>
        </w:rPr>
      </w:pPr>
    </w:p>
    <w:p>
      <w:pPr>
        <w:jc w:val="both"/>
        <w:ind w:left="332" w:hanging="332"/>
        <w:spacing w:after="0" w:line="244" w:lineRule="auto"/>
        <w:tabs>
          <w:tab w:leader="none" w:pos="329"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(i) 29,707,240 shares of Class A common stock held directly and indirectly by all current directors and executive officers of the Company as a group, (ii) 74,883 shares of Class A common stock issuable pursuant to RSUs held directly by all current directors and executive officers of the Company as a group and that will be vested within 60 days of April 30, 2022, (iii) 12,630,612 shares of Class A common stock subject to options held directly by all current directors and executive officers of the Company as a group and that are exercisable within 60 days of April 30, 2022, and (iii) 6,903,335 shares of Class A common stock underlying private placement warrants held directly and indirectly by all current directors and executive officers of the Company as a group and that are exercisable within 60 days of April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440" w:right="399" w:bottom="1440" w:gutter="0" w:footer="0" w:header="0"/>
        </w:sectPr>
      </w:pPr>
    </w:p>
    <w:bookmarkStart w:id="159" w:name="page160"/>
    <w:bookmarkEnd w:id="15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summary sets forth certain material terms and provisions of our securities that are registered under Section 12 of the Securities Exchange Act of 1934, as amended (the “Exchange Act”). This description also summarizes relevant provisions of the General Corporation Law of Delaware (the “DGCL”). The following description is a summary and does not purport to be a complete description of the rights and preferences of our securities. It is subject to, and qualified in its entirety by reference to, the applicable provisions of the DGCL and our third amended and restated certificate of incorporation, as amended (our “Certificate of Incorporation”), and our restated bylaws (our “Bylaws”), each of which is filed as an exhibit hereto. We encourage you to read our Amended and Certificate of Incorporation, our Bylaws, and the applicable provisions of the DGCL for additional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Certificate of Incorporation authorizes the issuance of 1,000,000,000 shares of Class A common stock, $0.0001 par value per share. The outstanding shares of our Class A common stock are duly authorized, validly issued, fully paid and non-assessable. As of April 30, 2022, there were 377,249,186 shares of our Class A common stock outstanding, no shares of preferred stock outstanding and 21,994,972 warrants outstanding.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Certificate of Incorporation provides that each share of our Class A common stock has the same relative rights and is identical in all respects to each other share of our Class A common stock. The rights, preferences and privileges of holders of our Class A common stock are subject to the rights, preferences and privileges of the holders of shares of any series of preferred stock that we have issued or may issue in the future.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Power</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Except as otherwise required by law or as otherwise provided in any certificate of designation for any series of preferred stock, or under our Certificate of Incorporation, the holders of common stock possess all voting power for the election of our directors and all other matters requiring stockholder action and are entitled to one vote per share on matters to be voted on by stockholders. The holders of common stock shall at all times vote together as one class on all matters submitted to a vote of the holders of common stock under our Certificate of Incorporation.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Subject to the rights, if any of the holders of any outstanding shares of preferred stock, under our Certificate of Incorporation, holders of common stock are entitled to receive such dividends and other distributions, if any, as may be declared from time to time by our board of directors (the “Board”) in its discretion out of funds legally available therefor and shall share equally on a per share basis in such dividends and distributions.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of the voluntary or involuntary liquidation, dissolution or winding-up of the Company our Certificate of Incorporation, the holders of common stock will be entitled to receive all the remaining assets of the Company available for distribution to stockholders, ratably in proportion to the number of shares of common stock held by them, after the rights of the holders of the preferred stock have been satisfied.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our Certificate of Incorporation, our stockholders have no preemptive or other subscription rights and there are no sinking fund or redemption provisions applicable to our Class A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terms of our Certificate of Incorporation, the term of the Class I Directors in place at such time will expire at our first annual meeting of the stockholders of the following the effectiveness of our Certificate of Incorporation; the term of the Class II Directors in place at such time will expire at our second annual meeting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stockholders following the effectiveness of our Certificate of Incorporation; and the term of the Class III Directors in place at such time will expire at our third annual meeting of the stockholders following the effectiveness of our Certificate of Incorporation.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Certificate of Incorporation provides that shares of preferred stock may be issued from time to time in one or more series. Our Board is authorized to fix the voting rights, if any, designations, powers, preferences and relative, participating, optional, special and other rights, if any, and any qualifications, limitations and restrictions thereof, applicable to the shares of each series. Our Board is able, without stockholder approval, to issue preferred stock with voting and other rights that could adversely affect the voting power and other rights of the holders of the Class A common stock and could have anti-takeover effects. The ability of our Board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Each whole public warrant entitles the registered holder to purchase one share of our Class A common stock at a price of $11.50 per whole share, subject to adjustment as discussed below, at any time commencing on the later of 12 months from the closing of CMLS’s initial public offering (“IPO”) or 30 days after the completion of the Business Combination. Pursuant to the warrant agreement, a warrant holder may exercise its public warrants only for a whole number of shares of Class A common stock. This means that only a whole public warrant may be exercised at any given time by a warrant holder. No fractional public warrants will be issued upon separation of the units and only whole public warrants will trade. The public warrants will expire five years after the completion of CMLS’ initial business combination, at 5:00 p.m., New York City time, or earlier upon redemption or liquidation.</w:t>
      </w:r>
    </w:p>
    <w:p>
      <w:pPr>
        <w:spacing w:after="0" w:line="11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not obligated to deliver any shares of Class A common stock pursuant to the exercise of a public warrant and will have no obligation to settle such public warrant exercise unless a registration statement under the Securities Act of 1933, as amended (the “Securities Act”) with respect to the shares of Class A common stock underlying the public warrants is then effective and a prospectus relating thereto is current, subject to our satisfying our obligations described below with respect to registration. No public warrant will be exercisable for cash or on a cashless basis, and we will not be obligated to issue any shares to holders seeking to exercise their public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 of Class A common stock underlying such unit.</w:t>
      </w:r>
    </w:p>
    <w:p>
      <w:pPr>
        <w:spacing w:after="0" w:line="1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Redemption of Warrants When the Price per Share of Class A Common Stock Equals or Exceeds $18.00 </w:t>
      </w:r>
      <w:r>
        <w:rPr>
          <w:rFonts w:ascii="Arial" w:cs="Arial" w:eastAsia="Arial" w:hAnsi="Arial"/>
          <w:sz w:val="18"/>
          <w:szCs w:val="18"/>
          <w:color w:val="auto"/>
        </w:rPr>
        <w:t>- Once the warrants become exercisable, we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public warrants:</w:t>
      </w:r>
    </w:p>
    <w:p>
      <w:pPr>
        <w:spacing w:after="0" w:line="116"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7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81"/>
        </w:numPr>
        <w:rPr>
          <w:rFonts w:ascii="Arial" w:cs="Arial" w:eastAsia="Arial" w:hAnsi="Arial"/>
          <w:sz w:val="17"/>
          <w:szCs w:val="17"/>
          <w:color w:val="auto"/>
        </w:rPr>
      </w:pPr>
      <w:r>
        <w:rPr>
          <w:rFonts w:ascii="Arial" w:cs="Arial" w:eastAsia="Arial" w:hAnsi="Arial"/>
          <w:sz w:val="17"/>
          <w:szCs w:val="17"/>
          <w:color w:val="auto"/>
        </w:rPr>
        <w:t>if, and only if, the closing price of the Class A common stock equals or exceeds $18.00 per share (as adjusted) for any 20 trading days within a 30-trading day period ending three trading days before sending the notice of redemption to warrant holders (the “Reference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and when the warrants become redeemable by us, we may exercise its redemption right even if it is unable to register or qualify the underlying securities for sale under all applicable state securities laws.</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Redemption of Warrants When the Price per Share of Class A Common Stock Equals or Exceeds $10.00 </w:t>
      </w:r>
      <w:r>
        <w:rPr>
          <w:rFonts w:ascii="Arial" w:cs="Arial" w:eastAsia="Arial" w:hAnsi="Arial"/>
          <w:sz w:val="18"/>
          <w:szCs w:val="18"/>
          <w:color w:val="auto"/>
        </w:rPr>
        <w:t>- Once the warrants become exercisable, we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warrants:</w:t>
      </w:r>
    </w:p>
    <w:p>
      <w:pPr>
        <w:spacing w:after="0" w:line="116"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$10.00 per share (as adjusted) for any 20 trading days within the 30-trading day period ending three trading days before we send the notice of redemption to the warrant holders; and</w:t>
      </w:r>
    </w:p>
    <w:p>
      <w:pPr>
        <w:spacing w:after="0" w:line="116"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82"/>
        </w:numPr>
        <w:rPr>
          <w:rFonts w:ascii="Arial" w:cs="Arial" w:eastAsia="Arial" w:hAnsi="Arial"/>
          <w:sz w:val="17"/>
          <w:szCs w:val="17"/>
          <w:color w:val="auto"/>
        </w:rPr>
      </w:pPr>
      <w:r>
        <w:rPr>
          <w:rFonts w:ascii="Arial" w:cs="Arial" w:eastAsia="Arial" w:hAnsi="Arial"/>
          <w:sz w:val="17"/>
          <w:szCs w:val="17"/>
          <w:color w:val="auto"/>
        </w:rPr>
        <w:t>if the closing price of the Class A common stock for any 20 trading days within a 30-trading day period ending three trading days before we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his, her or its public warrant prior to the scheduled redemption date. However, the price of the Class A common stock may fall below the $18.00 redemption trigger price as well as the $11.50 warrant exercise price after the redemption notice is issued.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procedures and cashless exercise.</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If we call the public warrants for redemption as described above, our management will have the option to require any holder that wishes to exercise his, her or its public warrant to do so on a “cashless basis.” In determining whether to require all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the exercise of our public warrants. If our management takes advantage of this option, all holders of public warrants would pay the exercise price by surrendering their public warrants for that number of shares of Class A common stock equal to the quotient obtained by dividing (i) the product of the number of shares of Class A common stock underlying the public warrants, multiplied by the difference between the exercise price of the public warrants and the “fair market value” (defined below) by (ii) the fair market value. The “fair market value” shall mean the average reported last sale price of the Class A common stock for the 10 trading days ending on the third trading day prior to the date on which the notice of redemption is sent to the holders of public warrants.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after the Business Combination. If we call our public warrants for redemption and our management does not take advantage of this option, the Former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public warrants on a cashless basis, as described in more detail below.</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beneficially own in excess of 9.8% (or such other amount as a holder may specify) of the shares of Class A common stock outstanding immediately after giving effect to such exercise.</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Anti-dilution Adjustments. </w:t>
      </w:r>
      <w:r>
        <w:rPr>
          <w:rFonts w:ascii="Arial" w:cs="Arial" w:eastAsia="Arial" w:hAnsi="Arial"/>
          <w:sz w:val="16"/>
          <w:szCs w:val="16"/>
          <w:color w:val="auto"/>
        </w:rPr>
        <w:t>If the number of outstanding shares of Class A common stock is increased by a stock dividend payable in shares of Class A</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or by a split-up of shares of Class A common stock or other similar event, then, on the effective date of such stock dividend, split-up or similar event, the number of shares of Class A common stock issuable on exercise of each public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common stock) multiplied by (ii) one minus the quotient of (a) the price per share of Class A common stock paid in such rights offering divided by (b) the fair market value. For these purposes (1) if the rights offering is for securities convertible into or exercisable for common stock, in determining the price payable for common stock, there will be taken into account any consideration received for such rights, as well as any additional amount payable upon exercise or conversion and (2) fair market value means the volume weighted average price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1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if we, at any time while the public warrants are outstanding and unexpired, pay a dividend or make a distribution in cash, securities or other assets to the holders of Class A common stock on account of such shares of Class A common stock (or other shares of our capital stock into which the public warrants are convertible), other than (i) as described above; (ii) certain ordinary cash dividends; (iii) to satisfy the redemption rights of the holders of Class A common stock in connection with a proposed initial business combination; (iv) to satisfy the redemption rights of the holders of Class A common stock in connection with a stockholder vote to amend our current certificate of incorporation to modify the substance or timing of our obligation to redeem 100% of our public shares if we do not complete a business combination within 24 months from the closing of CMLS’s IPO, or (v) in connection with the redemption of our public shares upon our failure to complete the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public warrant will be decreased in proportion to such decrease in outstanding shares of Class A common stock.</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Whenever the number of shares of Class A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our Class A common stock immediately theretofore purchasable and receivable upon the exercise of the rights represented thereby, the kind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Additionally, if less than 70% of the consideration receivable by the holders of Class A common stock in such a transaction is payable in the form of Class A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public warrants have been issued in registered form under a warrant agreement between Continental Stock Transfer &amp; Trust Company, as warrant agent, and us. You should review a copy of the warrant agreement, which is filed as an exhibit to the registration statement pertaining to CMLS’s IPO,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1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Class A common stock and any voting rights until they exercise their public warrants and receive shares of Class A common stock. After the issuance of shares of Class A common stock upon exercise of the public warrants, each holder will be entitled to one vote for each share held of record on all matters to be voted on by stockholders.</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Warrants may be exercised only for a whole number of shares of Class A common stock. No fractional shares will be issued upon exercise of the public warrants. If, upon exercise of the public warrants, a holder would be entitled to receive a fractional interest in a share, we will, upon exercise, round down to the nearest whole number the number of shares of Class A common stock to be issued to the warrant holder. As a result, warrant holders not purchasing public warrants in multiples of three warrants will not obtain value from the fractional interest that will not be issued.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private placement warrants are identical to the public warrants underlying the units sold in CMLS’s IPO, except that (1) the private placement warrants and the Class A common stock issuable upon the exercise of the private placement warrants will not be transferable, assignable or saleable until 30 days after the completion of the Business Combination, subject to certain limited exceptions, (2) the private placement warrants will be exercisable on a cashless basis, (3) the private placement warrants will be non-redeemable (except as described above in “Redemption of Warrants When the Price per Share of Class A common stock Equals or Exceeds $10.00”)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 other than the initial purchasers or their permitted transferees, the private placement warrants will be redeemable by us and exercisable by such holders on the same basis as the public warrants.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not paid any cash dividends on our Class A common stock to date and do not intend to pay cash dividends. The payment of cash dividends in the future will be dependent upon our revenues and earnings, if any, capital requirements and general financial condition. The payment of any cash dividends will be within the discretion of our Board at such time. In addition, our Board is not currently contemplating and does not anticipate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declaring any stock dividends in the foreseeable future. Further, if we incur any indebtedness, our ability to declare dividends may be limited by restrictive covenants we may agree to in connection therewith.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Warrant Agent</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transfer agent for our Class A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 and Our Certificate of Incorporation and Bylaws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Provisions of the DGCL and our Certificate of Incorporation could make it more difficult to acquire us by means of a tender offer, a proxy contest or otherwise, or to remove incumbent officers and directors. These provisions, summarized below, are intended to discourage coercive takeover practices and inadequate takeover bids and to encourage persons seeking to acquire control of us to first negotiate with the board of directors. We believe that the benefits of these provisions outweigh the disadvantages of discouraging certain takeover or acquisition proposals because, among other things, negotiation of these proposals could result in an improvement of their terms and enhance the ability of our Board to maximize stockholder value. However, these provisions may delay, deter or prevent a merger or acquisition of us that a stockholder might consider is in its best interest, including those attempts that might result in a premium over the prevailing market price of the Class A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Certificate of Incorporation provide for certain other provisions that may have an anti-takeover effect:</w:t>
      </w:r>
    </w:p>
    <w:p>
      <w:pPr>
        <w:spacing w:after="0" w:line="171"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There is no cumulative voting with respect to the election of directors.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Board is empowered to elect a director to fill a vacancy created by the expansion of the Board or the resignation, death, or removal of a director in certain circumstances.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Directors may only be removed from the Board for cause.</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Board is classified into three classes of directors. As a result, in most circumstances, a person can gain control of our Board by successfully engaging in a proxy contest at two or more annual meetings.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6"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83"/>
        </w:numPr>
        <w:rPr>
          <w:rFonts w:ascii="Arial" w:cs="Arial" w:eastAsia="Arial" w:hAnsi="Arial"/>
          <w:sz w:val="16"/>
          <w:szCs w:val="16"/>
          <w:color w:val="auto"/>
        </w:rPr>
      </w:pPr>
      <w:r>
        <w:rPr>
          <w:rFonts w:ascii="Arial" w:cs="Arial" w:eastAsia="Arial" w:hAnsi="Arial"/>
          <w:sz w:val="16"/>
          <w:szCs w:val="16"/>
          <w:color w:val="auto"/>
        </w:rPr>
        <w:t>A prohibition on stockholders calling a special meeting and the requirement that a meeting of stockholders may only be called by members of our Board, which may delay the ability of our stockholders to force consideration of a proposal or to take action, including the removal of directors.</w:t>
      </w:r>
    </w:p>
    <w:p>
      <w:pPr>
        <w:spacing w:after="0" w:line="69" w:lineRule="exact"/>
        <w:rPr>
          <w:rFonts w:ascii="Arial" w:cs="Arial" w:eastAsia="Arial" w:hAnsi="Arial"/>
          <w:sz w:val="16"/>
          <w:szCs w:val="16"/>
          <w:color w:val="auto"/>
        </w:rPr>
      </w:pPr>
    </w:p>
    <w:p>
      <w:pPr>
        <w:jc w:val="both"/>
        <w:ind w:left="660" w:hanging="328"/>
        <w:spacing w:after="0" w:line="296" w:lineRule="auto"/>
        <w:tabs>
          <w:tab w:leader="none" w:pos="655" w:val="left"/>
        </w:tabs>
        <w:numPr>
          <w:ilvl w:val="0"/>
          <w:numId w:val="83"/>
        </w:numPr>
        <w:rPr>
          <w:rFonts w:ascii="Arial" w:cs="Arial" w:eastAsia="Arial" w:hAnsi="Arial"/>
          <w:sz w:val="16"/>
          <w:szCs w:val="16"/>
          <w:color w:val="auto"/>
        </w:rPr>
      </w:pPr>
      <w:r>
        <w:rPr>
          <w:rFonts w:ascii="Arial" w:cs="Arial" w:eastAsia="Arial" w:hAnsi="Arial"/>
          <w:sz w:val="16"/>
          <w:szCs w:val="16"/>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Our Board is entitled, without further stockholder approval, to designate one or more series of preferred stock and the associated voting rights, preferences and privileges of such series of preferred stock. The existence of authorized but unissued and unreserved common stock and preferred stock could render more difficult or discourage an attempt to obtain control of us by means of a proxy contest, tender offer, merger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 Clause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Certificate of Incorporation includes a forum selection clause. Our Certificate of Incorporation provides that, subject to limited exceptions, the Court of Chancery of the State of Delaware and federal court within the State of Delaware will be exclusive forums for any</w:t>
      </w:r>
    </w:p>
    <w:p>
      <w:pPr>
        <w:spacing w:after="0" w:line="116"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derivative action or proceeding brought on our behalf;</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action asserting a claim of breach of a fiduciary duty owed by, or other wrongdoing by, any of our directors, officers, stockholders, employees or agents to us or our stockholders;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action asserting a claim against us or any of our directors, officers, stockholders, employees or agents arising pursuant to any provision of the DGCL, our Certificate of Incorporation or Bylaws or as to which the DGCL confers jurisdiction on the Court of Chancery of the State of Delaware;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action to interpret, apply, enforce or determine the validity of our Certificate of Incorporation or the Bylaws; or</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other action asserting a claim against us or any of our directors, officers, stockholders, employees or agents that is governed by the internal affairs doctrine.</w:t>
      </w:r>
    </w:p>
    <w:p>
      <w:pPr>
        <w:spacing w:after="0" w:line="11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This choice of forum provision does not apply to actions brought to enforce a duty or liability created by the Exchange Act or any other claim for which federal courts have exclusive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We intend for this provision to apply to any complaints asserting a cause of action under the Securities Act despite the fact that Section 22 of the Securities Act creates concurrent jurisdiction for the federal and state courts over all actions brought to enforce any duty or liability created by the Securities Act or the rules and regulations promulgated thereunder. Please see </w:t>
      </w:r>
      <w:r>
        <w:rPr>
          <w:rFonts w:ascii="Arial" w:cs="Arial" w:eastAsia="Arial" w:hAnsi="Arial"/>
          <w:sz w:val="17"/>
          <w:szCs w:val="17"/>
          <w:i w:val="1"/>
          <w:iCs w:val="1"/>
          <w:color w:val="auto"/>
        </w:rPr>
        <w:t>“Risk Factors—Risks Related to</w:t>
      </w:r>
      <w:r>
        <w:rPr>
          <w:rFonts w:ascii="Arial" w:cs="Arial" w:eastAsia="Arial" w:hAnsi="Arial"/>
          <w:sz w:val="17"/>
          <w:szCs w:val="17"/>
          <w:color w:val="auto"/>
        </w:rPr>
        <w:t xml:space="preserve"> </w:t>
      </w:r>
      <w:r>
        <w:rPr>
          <w:rFonts w:ascii="Arial" w:cs="Arial" w:eastAsia="Arial" w:hAnsi="Arial"/>
          <w:sz w:val="17"/>
          <w:szCs w:val="17"/>
          <w:i w:val="1"/>
          <w:iCs w:val="1"/>
          <w:color w:val="auto"/>
        </w:rPr>
        <w:t>Being a Public Company—Our Charter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stock and warrants are listed on Nasdaq under the symbols “SMFR” and “SMFRW,”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Selling Stockholders may offer and sell, from time to time, any or all of the shares of Class A common stock being offered for resale by this prospectus, which consists of:</w:t>
      </w:r>
    </w:p>
    <w:p>
      <w:pPr>
        <w:spacing w:after="0" w:line="116"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up to 80,000,000 Stock Consideration Shares;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up to 30,864,198 Milestone Shares;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up to 50,000,000 PIPE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term “Selling Stockholders” includes the stockholders listed in the tables below and their permitted transferees.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provide, as of the date of this prospectus, information regarding the beneficial ownership of our Class A common stock of each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Selling Stockholder, the number of shares of Class A common stock that may be sold by each Selling Stockholder under this prospectus and that each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Selling Stockholder will beneficially own after this offering.</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terms of the Merger Agreement, we may issue an aggregate of up to 30,864,198 Milestone Shares to OPKO as consideration for the $150 million in Milestone Payments. Each Milestone Payment, if and to the extent earned under the terms of the Merger Agreement, will be satisfied through the payment and/or issuance of a combination of cash and shares of Class A common stock (valued at $4.86 per share based on the average of the daily volume average weighted price of the Company’s Class A common stock over the period of 30 trading days ended January 12, 2022), with such mix to be determined in the Company’s sole discretion.</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Because each Selling Stockholder may dispose of all, none or some portion of their securities, no estimate can be given as to the number of securities that will be beneficially owned by a Selling Stockholder upon termination of this offering. For purposes of the table below, however, we have assumed that after termination of this offering none of the securities covered by this prospectus will be beneficially owned by the Selling Stockholder and further assumed that the Selling Stockholders will not acquire beneficial ownership of any additional securities during the offering. In addition, the Selling Stockholders may have sold, transferred or otherwise disposed of, or may sell, transfer or otherwise dispose of, at any time and from time to time, our securities in transactions exempt from the registration requirements of the Securities Act after the date on which the information in the tables is presented.</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amend or supplement this prospectus from time to time in the future to update or change this Selling Stockholders list and the securities that may be resold.</w:t>
      </w:r>
    </w:p>
    <w:p>
      <w:pPr>
        <w:spacing w:after="0" w:line="116" w:lineRule="exact"/>
        <w:rPr>
          <w:sz w:val="20"/>
          <w:szCs w:val="20"/>
          <w:color w:val="auto"/>
        </w:rPr>
      </w:pPr>
    </w:p>
    <w:p>
      <w:pPr>
        <w:jc w:val="both"/>
        <w:ind w:right="20"/>
        <w:spacing w:after="0" w:line="277" w:lineRule="auto"/>
        <w:rPr>
          <w:rFonts w:ascii="Arial" w:cs="Arial" w:eastAsia="Arial" w:hAnsi="Arial"/>
          <w:sz w:val="18"/>
          <w:szCs w:val="18"/>
          <w:color w:val="auto"/>
        </w:rPr>
      </w:pPr>
      <w:r>
        <w:rPr>
          <w:rFonts w:ascii="Arial" w:cs="Arial" w:eastAsia="Arial" w:hAnsi="Arial"/>
          <w:sz w:val="18"/>
          <w:szCs w:val="18"/>
          <w:color w:val="auto"/>
        </w:rPr>
        <w:t>Please see the section titled “</w:t>
      </w:r>
      <w:hyperlink w:anchor="page169">
        <w:r>
          <w:rPr>
            <w:rFonts w:ascii="Arial" w:cs="Arial" w:eastAsia="Arial" w:hAnsi="Arial"/>
            <w:sz w:val="18"/>
            <w:szCs w:val="18"/>
            <w:i w:val="1"/>
            <w:iCs w:val="1"/>
            <w:u w:val="single" w:color="auto"/>
            <w:color w:val="0000FF"/>
          </w:rPr>
          <w:t>Plan of Distribution</w:t>
        </w:r>
      </w:hyperlink>
      <w:r>
        <w:rPr>
          <w:rFonts w:ascii="Arial" w:cs="Arial" w:eastAsia="Arial" w:hAnsi="Arial"/>
          <w:sz w:val="18"/>
          <w:szCs w:val="18"/>
          <w:color w:val="auto"/>
          <w:highlight w:val="white"/>
        </w:rPr>
        <w:t>”</w:t>
      </w:r>
      <w:r>
        <w:rPr>
          <w:rFonts w:ascii="Arial" w:cs="Arial" w:eastAsia="Arial" w:hAnsi="Arial"/>
          <w:sz w:val="18"/>
          <w:szCs w:val="18"/>
          <w:color w:val="auto"/>
        </w:rPr>
        <w:t xml:space="preserve"> </w:t>
      </w:r>
      <w:r>
        <w:rPr>
          <w:rFonts w:ascii="Arial" w:cs="Arial" w:eastAsia="Arial" w:hAnsi="Arial"/>
          <w:sz w:val="18"/>
          <w:szCs w:val="18"/>
          <w:color w:val="auto"/>
          <w:highlight w:val="white"/>
        </w:rPr>
        <w:t>for further information regarding the Selling Stockholders’ method of distributing these shares of Class</w:t>
      </w:r>
      <w:r>
        <w:rPr>
          <w:rFonts w:ascii="Arial" w:cs="Arial" w:eastAsia="Arial" w:hAnsi="Arial"/>
          <w:sz w:val="18"/>
          <w:szCs w:val="18"/>
          <w:color w:val="auto"/>
        </w:rPr>
        <w:t xml:space="preserve"> A common stock.</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Shares of Class A Common Stock</w:t>
            </w:r>
          </w:p>
        </w:tc>
        <w:tc>
          <w:tcPr>
            <w:tcW w:w="1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Number Beneficially</w:t>
            </w: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Number Registered</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Number Beneficially</w:t>
            </w:r>
          </w:p>
        </w:tc>
        <w:tc>
          <w:tcPr>
            <w:tcW w:w="16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Percent Owned After</w:t>
            </w:r>
          </w:p>
        </w:tc>
        <w:tc>
          <w:tcPr>
            <w:tcW w:w="0" w:type="dxa"/>
            <w:vAlign w:val="bottom"/>
          </w:tcPr>
          <w:p>
            <w:pPr>
              <w:spacing w:after="0"/>
              <w:rPr>
                <w:sz w:val="1"/>
                <w:szCs w:val="1"/>
                <w:color w:val="auto"/>
              </w:rPr>
            </w:pPr>
          </w:p>
        </w:tc>
      </w:tr>
      <w:tr>
        <w:trPr>
          <w:trHeight w:val="135"/>
        </w:trPr>
        <w:tc>
          <w:tcPr>
            <w:tcW w:w="5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Owned Prior to</w:t>
            </w:r>
          </w:p>
        </w:tc>
        <w:tc>
          <w:tcPr>
            <w:tcW w:w="1520" w:type="dxa"/>
            <w:vAlign w:val="bottom"/>
            <w:gridSpan w:val="2"/>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020" w:type="dxa"/>
            <w:vAlign w:val="bottom"/>
            <w:gridSpan w:val="2"/>
            <w:vMerge w:val="continue"/>
          </w:tcPr>
          <w:p>
            <w:pPr>
              <w:spacing w:after="0"/>
              <w:rPr>
                <w:sz w:val="16"/>
                <w:szCs w:val="16"/>
                <w:color w:val="auto"/>
              </w:rPr>
            </w:pPr>
          </w:p>
        </w:tc>
        <w:tc>
          <w:tcPr>
            <w:tcW w:w="1540" w:type="dxa"/>
            <w:vAlign w:val="bottom"/>
            <w:gridSpan w:val="2"/>
          </w:tcPr>
          <w:p>
            <w:pPr>
              <w:jc w:val="center"/>
              <w:ind w:right="100"/>
              <w:spacing w:after="0" w:line="189" w:lineRule="exact"/>
              <w:rPr>
                <w:sz w:val="20"/>
                <w:szCs w:val="20"/>
                <w:color w:val="auto"/>
              </w:rPr>
            </w:pPr>
            <w:r>
              <w:rPr>
                <w:rFonts w:ascii="Arial" w:cs="Arial" w:eastAsia="Arial" w:hAnsi="Arial"/>
                <w:sz w:val="14"/>
                <w:szCs w:val="14"/>
                <w:b w:val="1"/>
                <w:bCs w:val="1"/>
                <w:color w:val="auto"/>
                <w:w w:val="93"/>
              </w:rPr>
              <w:t xml:space="preserve">Offering </w:t>
            </w:r>
            <w:r>
              <w:rPr>
                <w:rFonts w:ascii="Arial" w:cs="Arial" w:eastAsia="Arial" w:hAnsi="Arial"/>
                <w:sz w:val="18"/>
                <w:szCs w:val="18"/>
                <w:b w:val="1"/>
                <w:bCs w:val="1"/>
                <w:color w:val="auto"/>
                <w:w w:val="93"/>
                <w:vertAlign w:val="superscript"/>
              </w:rPr>
              <w:t>(1)</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for Sale Hereby</w:t>
            </w: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Owned After Offering</w:t>
            </w:r>
          </w:p>
        </w:tc>
        <w:tc>
          <w:tcPr>
            <w:tcW w:w="1640" w:type="dxa"/>
            <w:vAlign w:val="bottom"/>
          </w:tcPr>
          <w:p>
            <w:pPr>
              <w:jc w:val="right"/>
              <w:ind w:right="393"/>
              <w:spacing w:after="0" w:line="189" w:lineRule="exact"/>
              <w:rPr>
                <w:sz w:val="20"/>
                <w:szCs w:val="20"/>
                <w:color w:val="auto"/>
              </w:rPr>
            </w:pPr>
            <w:r>
              <w:rPr>
                <w:rFonts w:ascii="Arial" w:cs="Arial" w:eastAsia="Arial" w:hAnsi="Arial"/>
                <w:sz w:val="14"/>
                <w:szCs w:val="14"/>
                <w:b w:val="1"/>
                <w:bCs w:val="1"/>
                <w:color w:val="auto"/>
              </w:rPr>
              <w:t xml:space="preserve">Offering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OPKO Health, Inc.</w:t>
            </w:r>
            <w:r>
              <w:rPr>
                <w:rFonts w:ascii="Arial" w:cs="Arial" w:eastAsia="Arial" w:hAnsi="Arial"/>
                <w:sz w:val="23"/>
                <w:szCs w:val="23"/>
                <w:color w:val="auto"/>
                <w:vertAlign w:val="superscript"/>
              </w:rPr>
              <w:t>(3)</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110,864,198</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110,864,198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Blackstone</w:t>
            </w:r>
            <w:r>
              <w:rPr>
                <w:rFonts w:ascii="Arial" w:cs="Arial" w:eastAsia="Arial" w:hAnsi="Arial"/>
                <w:sz w:val="23"/>
                <w:szCs w:val="23"/>
                <w:color w:val="auto"/>
                <w:vertAlign w:val="superscript"/>
              </w:rPr>
              <w:t>(4)</w:t>
            </w:r>
          </w:p>
        </w:tc>
        <w:tc>
          <w:tcPr>
            <w:tcW w:w="1440" w:type="dxa"/>
            <w:vAlign w:val="bottom"/>
          </w:tcPr>
          <w:p>
            <w:pPr>
              <w:jc w:val="right"/>
              <w:spacing w:after="0"/>
              <w:rPr>
                <w:sz w:val="20"/>
                <w:szCs w:val="20"/>
                <w:color w:val="auto"/>
              </w:rPr>
            </w:pPr>
            <w:r>
              <w:rPr>
                <w:rFonts w:ascii="Arial" w:cs="Arial" w:eastAsia="Arial" w:hAnsi="Arial"/>
                <w:sz w:val="18"/>
                <w:szCs w:val="18"/>
                <w:color w:val="auto"/>
              </w:rPr>
              <w:t>27,556,984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25,056,984</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Casdin</w:t>
            </w:r>
            <w:r>
              <w:rPr>
                <w:rFonts w:ascii="Arial" w:cs="Arial" w:eastAsia="Arial" w:hAnsi="Arial"/>
                <w:sz w:val="23"/>
                <w:szCs w:val="23"/>
                <w:color w:val="auto"/>
                <w:vertAlign w:val="superscript"/>
              </w:rPr>
              <w:t>(5)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16,437,500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11,437,500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5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advised by Corvex Management</w:t>
            </w:r>
            <w:r>
              <w:rPr>
                <w:rFonts w:ascii="Arial" w:cs="Arial" w:eastAsia="Arial" w:hAnsi="Arial"/>
                <w:sz w:val="23"/>
                <w:szCs w:val="23"/>
                <w:color w:val="auto"/>
                <w:vertAlign w:val="superscript"/>
              </w:rPr>
              <w:t>(6)</w:t>
            </w:r>
          </w:p>
        </w:tc>
        <w:tc>
          <w:tcPr>
            <w:tcW w:w="1440" w:type="dxa"/>
            <w:vAlign w:val="bottom"/>
          </w:tcPr>
          <w:p>
            <w:pPr>
              <w:jc w:val="right"/>
              <w:spacing w:after="0"/>
              <w:rPr>
                <w:sz w:val="20"/>
                <w:szCs w:val="20"/>
                <w:color w:val="auto"/>
              </w:rPr>
            </w:pPr>
            <w:r>
              <w:rPr>
                <w:rFonts w:ascii="Arial" w:cs="Arial" w:eastAsia="Arial" w:hAnsi="Arial"/>
                <w:sz w:val="18"/>
                <w:szCs w:val="18"/>
                <w:color w:val="auto"/>
              </w:rPr>
              <w:t>15,437,500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11,437,500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4,000,000</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Deerfield</w:t>
            </w:r>
            <w:r>
              <w:rPr>
                <w:rFonts w:ascii="Arial" w:cs="Arial" w:eastAsia="Arial" w:hAnsi="Arial"/>
                <w:sz w:val="23"/>
                <w:szCs w:val="23"/>
                <w:color w:val="auto"/>
                <w:vertAlign w:val="superscript"/>
              </w:rPr>
              <w:t>(7)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18,848,488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13,848,488</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29"/>
        </w:trPr>
        <w:tc>
          <w:tcPr>
            <w:tcW w:w="5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Icahn School of Medicine at Mount Sinai</w:t>
            </w:r>
            <w:r>
              <w:rPr>
                <w:rFonts w:ascii="Arial" w:cs="Arial" w:eastAsia="Arial" w:hAnsi="Arial"/>
                <w:sz w:val="23"/>
                <w:szCs w:val="23"/>
                <w:color w:val="auto"/>
                <w:vertAlign w:val="superscript"/>
              </w:rPr>
              <w:t>(8)</w:t>
            </w:r>
          </w:p>
        </w:tc>
        <w:tc>
          <w:tcPr>
            <w:tcW w:w="1440" w:type="dxa"/>
            <w:vAlign w:val="bottom"/>
          </w:tcPr>
          <w:p>
            <w:pPr>
              <w:jc w:val="right"/>
              <w:spacing w:after="0"/>
              <w:rPr>
                <w:sz w:val="20"/>
                <w:szCs w:val="20"/>
                <w:color w:val="auto"/>
              </w:rPr>
            </w:pPr>
            <w:r>
              <w:rPr>
                <w:rFonts w:ascii="Arial" w:cs="Arial" w:eastAsia="Arial" w:hAnsi="Arial"/>
                <w:sz w:val="18"/>
                <w:szCs w:val="18"/>
                <w:color w:val="auto"/>
              </w:rPr>
              <w:t>94,605,472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6,250,000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88,355,472</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23.4 %</w:t>
            </w: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Perceptive Life Sciences Master Fund, Ltd.</w:t>
            </w:r>
            <w:r>
              <w:rPr>
                <w:rFonts w:ascii="Arial" w:cs="Arial" w:eastAsia="Arial" w:hAnsi="Arial"/>
                <w:sz w:val="23"/>
                <w:szCs w:val="23"/>
                <w:color w:val="auto"/>
                <w:vertAlign w:val="superscript"/>
              </w:rPr>
              <w:t>(9)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Pfizer Inc.</w:t>
            </w:r>
            <w:r>
              <w:rPr>
                <w:rFonts w:ascii="Arial" w:cs="Arial" w:eastAsia="Arial" w:hAnsi="Arial"/>
                <w:sz w:val="23"/>
                <w:szCs w:val="23"/>
                <w:color w:val="auto"/>
                <w:vertAlign w:val="superscript"/>
              </w:rPr>
              <w:t>(10)</w:t>
            </w:r>
          </w:p>
        </w:tc>
        <w:tc>
          <w:tcPr>
            <w:tcW w:w="1440" w:type="dxa"/>
            <w:vAlign w:val="bottom"/>
          </w:tcPr>
          <w:p>
            <w:pPr>
              <w:jc w:val="right"/>
              <w:spacing w:after="0"/>
              <w:rPr>
                <w:sz w:val="20"/>
                <w:szCs w:val="20"/>
                <w:color w:val="auto"/>
              </w:rPr>
            </w:pPr>
            <w:r>
              <w:rPr>
                <w:rFonts w:ascii="Arial" w:cs="Arial" w:eastAsia="Arial" w:hAnsi="Arial"/>
                <w:sz w:val="18"/>
                <w:szCs w:val="18"/>
                <w:color w:val="auto"/>
              </w:rPr>
              <w:t>6,250,000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6,250,000</w:t>
            </w:r>
          </w:p>
        </w:tc>
        <w:tc>
          <w:tcPr>
            <w:tcW w:w="1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Rho Partners</w:t>
            </w:r>
            <w:r>
              <w:rPr>
                <w:rFonts w:ascii="Arial" w:cs="Arial" w:eastAsia="Arial" w:hAnsi="Arial"/>
                <w:sz w:val="23"/>
                <w:szCs w:val="23"/>
                <w:color w:val="auto"/>
                <w:vertAlign w:val="superscript"/>
              </w:rPr>
              <w:t>(11)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2,125,000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Shares of Class A Common Stock</w:t>
            </w:r>
          </w:p>
        </w:tc>
        <w:tc>
          <w:tcPr>
            <w:tcW w:w="1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Number Beneficially</w:t>
            </w: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Number Registered</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Number Beneficially</w:t>
            </w:r>
          </w:p>
        </w:tc>
        <w:tc>
          <w:tcPr>
            <w:tcW w:w="164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Percent Owned After</w:t>
            </w:r>
          </w:p>
        </w:tc>
        <w:tc>
          <w:tcPr>
            <w:tcW w:w="0" w:type="dxa"/>
            <w:vAlign w:val="bottom"/>
          </w:tcPr>
          <w:p>
            <w:pPr>
              <w:spacing w:after="0"/>
              <w:rPr>
                <w:sz w:val="1"/>
                <w:szCs w:val="1"/>
                <w:color w:val="auto"/>
              </w:rPr>
            </w:pPr>
          </w:p>
        </w:tc>
      </w:tr>
      <w:tr>
        <w:trPr>
          <w:trHeight w:val="135"/>
        </w:trPr>
        <w:tc>
          <w:tcPr>
            <w:tcW w:w="5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Owned Prior to</w:t>
            </w:r>
          </w:p>
        </w:tc>
        <w:tc>
          <w:tcPr>
            <w:tcW w:w="1520" w:type="dxa"/>
            <w:vAlign w:val="bottom"/>
            <w:gridSpan w:val="2"/>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020" w:type="dxa"/>
            <w:vAlign w:val="bottom"/>
            <w:gridSpan w:val="2"/>
            <w:vMerge w:val="continue"/>
          </w:tcPr>
          <w:p>
            <w:pPr>
              <w:spacing w:after="0"/>
              <w:rPr>
                <w:sz w:val="16"/>
                <w:szCs w:val="16"/>
                <w:color w:val="auto"/>
              </w:rPr>
            </w:pPr>
          </w:p>
        </w:tc>
        <w:tc>
          <w:tcPr>
            <w:tcW w:w="1540" w:type="dxa"/>
            <w:vAlign w:val="bottom"/>
            <w:gridSpan w:val="2"/>
          </w:tcPr>
          <w:p>
            <w:pPr>
              <w:jc w:val="center"/>
              <w:ind w:right="100"/>
              <w:spacing w:after="0" w:line="189" w:lineRule="exact"/>
              <w:rPr>
                <w:sz w:val="20"/>
                <w:szCs w:val="20"/>
                <w:color w:val="auto"/>
              </w:rPr>
            </w:pPr>
            <w:r>
              <w:rPr>
                <w:rFonts w:ascii="Arial" w:cs="Arial" w:eastAsia="Arial" w:hAnsi="Arial"/>
                <w:sz w:val="14"/>
                <w:szCs w:val="14"/>
                <w:b w:val="1"/>
                <w:bCs w:val="1"/>
                <w:color w:val="auto"/>
                <w:w w:val="93"/>
              </w:rPr>
              <w:t xml:space="preserve">Offering </w:t>
            </w:r>
            <w:r>
              <w:rPr>
                <w:rFonts w:ascii="Arial" w:cs="Arial" w:eastAsia="Arial" w:hAnsi="Arial"/>
                <w:sz w:val="18"/>
                <w:szCs w:val="18"/>
                <w:b w:val="1"/>
                <w:bCs w:val="1"/>
                <w:color w:val="auto"/>
                <w:w w:val="93"/>
                <w:vertAlign w:val="superscript"/>
              </w:rPr>
              <w:t>(1)</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for Sale Hereby</w:t>
            </w: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Owned After Offering</w:t>
            </w:r>
          </w:p>
        </w:tc>
        <w:tc>
          <w:tcPr>
            <w:tcW w:w="1640" w:type="dxa"/>
            <w:vAlign w:val="bottom"/>
          </w:tcPr>
          <w:p>
            <w:pPr>
              <w:jc w:val="right"/>
              <w:ind w:right="397"/>
              <w:spacing w:after="0" w:line="189" w:lineRule="exact"/>
              <w:rPr>
                <w:sz w:val="20"/>
                <w:szCs w:val="20"/>
                <w:color w:val="auto"/>
              </w:rPr>
            </w:pPr>
            <w:r>
              <w:rPr>
                <w:rFonts w:ascii="Arial" w:cs="Arial" w:eastAsia="Arial" w:hAnsi="Arial"/>
                <w:sz w:val="14"/>
                <w:szCs w:val="14"/>
                <w:b w:val="1"/>
                <w:bCs w:val="1"/>
                <w:color w:val="auto"/>
              </w:rPr>
              <w:t xml:space="preserve">Offering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tcPr>
          <w:p>
            <w:pPr>
              <w:ind w:left="20"/>
              <w:spacing w:after="0" w:line="223" w:lineRule="exact"/>
              <w:rPr>
                <w:sz w:val="20"/>
                <w:szCs w:val="20"/>
                <w:color w:val="auto"/>
              </w:rPr>
            </w:pPr>
            <w:r>
              <w:rPr>
                <w:rFonts w:ascii="Arial" w:cs="Arial" w:eastAsia="Arial" w:hAnsi="Arial"/>
                <w:sz w:val="18"/>
                <w:szCs w:val="18"/>
                <w:color w:val="auto"/>
              </w:rPr>
              <w:t>Section 32 Fund 2, L.P.</w:t>
            </w:r>
            <w:r>
              <w:rPr>
                <w:rFonts w:ascii="Arial" w:cs="Arial" w:eastAsia="Arial" w:hAnsi="Arial"/>
                <w:sz w:val="23"/>
                <w:szCs w:val="23"/>
                <w:color w:val="auto"/>
                <w:vertAlign w:val="superscript"/>
              </w:rPr>
              <w:t>(12)</w:t>
            </w:r>
          </w:p>
        </w:tc>
        <w:tc>
          <w:tcPr>
            <w:tcW w:w="8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8,699,227</w:t>
            </w:r>
          </w:p>
        </w:tc>
        <w:tc>
          <w:tcPr>
            <w:tcW w:w="10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7,449,227</w:t>
            </w:r>
          </w:p>
        </w:tc>
        <w:tc>
          <w:tcPr>
            <w:tcW w:w="8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Third Point Loan LLC</w:t>
            </w:r>
            <w:r>
              <w:rPr>
                <w:rFonts w:ascii="Arial" w:cs="Arial" w:eastAsia="Arial" w:hAnsi="Arial"/>
                <w:sz w:val="23"/>
                <w:szCs w:val="23"/>
                <w:color w:val="auto"/>
                <w:vertAlign w:val="superscript"/>
              </w:rPr>
              <w:t>(13)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TOTALS</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304,574,369</w:t>
            </w: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160,864,198</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143,710,171</w:t>
            </w:r>
          </w:p>
        </w:tc>
        <w:tc>
          <w:tcPr>
            <w:tcW w:w="8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38.1 %</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20" w:hanging="112"/>
        <w:spacing w:after="0"/>
        <w:tabs>
          <w:tab w:leader="none" w:pos="1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__________________</w:t>
      </w:r>
    </w:p>
    <w:p>
      <w:pPr>
        <w:spacing w:after="0" w:line="1" w:lineRule="exact"/>
        <w:rPr>
          <w:sz w:val="20"/>
          <w:szCs w:val="20"/>
          <w:color w:val="auto"/>
        </w:rPr>
      </w:pPr>
    </w:p>
    <w:p>
      <w:pPr>
        <w:ind w:left="340" w:hanging="332"/>
        <w:spacing w:after="0" w:line="241" w:lineRule="auto"/>
        <w:tabs>
          <w:tab w:leader="none" w:pos="332"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table includes Stock Consideration Shares, Milestone Shares (including both shares beneficially owned as determined in accordance with Rule 13d-3 of the Exchange Act and additional shares the holder has the contingent right receive) and PIPE Shares (collectively, the “Resale Securities”). We do not know when or in what amounts the Selling Stockholders will offer the Resale Securities for sale, if at all.</w:t>
      </w:r>
    </w:p>
    <w:p>
      <w:pPr>
        <w:spacing w:after="0" w:line="1" w:lineRule="exact"/>
        <w:rPr>
          <w:rFonts w:ascii="Arial" w:cs="Arial" w:eastAsia="Arial" w:hAnsi="Arial"/>
          <w:sz w:val="14"/>
          <w:szCs w:val="14"/>
          <w:color w:val="auto"/>
        </w:rPr>
      </w:pPr>
    </w:p>
    <w:p>
      <w:pPr>
        <w:ind w:left="340" w:right="360" w:hanging="332"/>
        <w:spacing w:after="0" w:line="241" w:lineRule="auto"/>
        <w:tabs>
          <w:tab w:leader="none" w:pos="332"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percentage of shares to be beneficially owned after completion of the offering is calculated on the basis of 377,249,186 shares of Class A common stock outstanding, assuming the issuance of 30,864,198 Milestone Shares, and the sale of all Resale Securities by the Selling Stockholders.</w:t>
      </w:r>
    </w:p>
    <w:p>
      <w:pPr>
        <w:ind w:left="320" w:hanging="312"/>
        <w:spacing w:after="0"/>
        <w:tabs>
          <w:tab w:leader="none" w:pos="3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 hereby offered consist of (i) 80,000,000 Stock Consideration Shares and (ii) 30,864,198 Milestone Shares held by OPKO.</w:t>
      </w:r>
    </w:p>
    <w:p>
      <w:pPr>
        <w:spacing w:after="0" w:line="1" w:lineRule="exact"/>
        <w:rPr>
          <w:rFonts w:ascii="Arial" w:cs="Arial" w:eastAsia="Arial" w:hAnsi="Arial"/>
          <w:sz w:val="14"/>
          <w:szCs w:val="14"/>
          <w:color w:val="auto"/>
        </w:rPr>
      </w:pPr>
    </w:p>
    <w:p>
      <w:pPr>
        <w:ind w:left="340" w:right="180" w:hanging="332"/>
        <w:spacing w:after="0" w:line="241" w:lineRule="auto"/>
        <w:tabs>
          <w:tab w:leader="none" w:pos="332"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 hereby offered consist of (i) 2,434,863 PIPE Shares held by BTO Sema4 Holdings L.P., (ii) 50,402 PIPE Shares held by Blackstone Tactical Opportunities Fund - DF L.P., and (iii) 14,735 shares of Class A common stock held by Blackstone Family Tactical Opportunities Investment Partnership III ESC L.P.</w:t>
      </w:r>
    </w:p>
    <w:p>
      <w:pPr>
        <w:ind w:left="340" w:right="40" w:hanging="332"/>
        <w:spacing w:after="0" w:line="281" w:lineRule="auto"/>
        <w:tabs>
          <w:tab w:leader="none" w:pos="332" w:val="left"/>
        </w:tabs>
        <w:numPr>
          <w:ilvl w:val="0"/>
          <w:numId w:val="87"/>
        </w:numPr>
        <w:rPr>
          <w:rFonts w:ascii="Arial" w:cs="Arial" w:eastAsia="Arial" w:hAnsi="Arial"/>
          <w:sz w:val="12"/>
          <w:szCs w:val="12"/>
          <w:color w:val="auto"/>
        </w:rPr>
      </w:pPr>
      <w:r>
        <w:rPr>
          <w:rFonts w:ascii="Arial" w:cs="Arial" w:eastAsia="Arial" w:hAnsi="Arial"/>
          <w:sz w:val="12"/>
          <w:szCs w:val="12"/>
          <w:color w:val="auto"/>
        </w:rPr>
        <w:t>Shares hereby offered consist of 11,437,500 PIPE Shares held by Casdin Partners Master Fund, L.P. Casdin Capital, LLC is the investment adviser to Casdin Partners Master Fund, LP and Casdin Partners GP, LLC is the general partner of Casdin Partners Master Fund LP. Eli Casdin is the managing member of Casdin Capital, LLC and Casdin Partners GP, LLC. As such, each of the foregoing may be deemed to have or share beneficial ownership of the Common Stock held directly by Casdin Partners Master Fund, LP. Mr. Casdin is member of Sema4 Holdings’ board of directors. The business address of Casdin Partners Master Fund L.P. and Mr. Casdin is c/o Casdin Capital, LLC, 1260 Avenue of the Americas, Suite 2600, New York, NY 10019.</w:t>
      </w:r>
    </w:p>
    <w:p>
      <w:pPr>
        <w:spacing w:after="0" w:line="1" w:lineRule="exact"/>
        <w:rPr>
          <w:rFonts w:ascii="Arial" w:cs="Arial" w:eastAsia="Arial" w:hAnsi="Arial"/>
          <w:sz w:val="12"/>
          <w:szCs w:val="12"/>
          <w:color w:val="auto"/>
        </w:rPr>
      </w:pPr>
    </w:p>
    <w:p>
      <w:pPr>
        <w:ind w:left="340" w:right="60" w:hanging="332"/>
        <w:spacing w:after="0" w:line="241" w:lineRule="auto"/>
        <w:tabs>
          <w:tab w:leader="none" w:pos="332"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 hereby offered consist of f (i) 7,320,000 PIPE Shares held by Corvex Select Equity Master Fund, L.P., (ii) 3,557,000 PIPE Shares held by Corvex Master Fund, L.P. and (iii) 560,500 PIPE Shares held by Corvex Dynamic Equity Select Master Fund, L.P. Since January 2022, Keith Meister, Managing Partner and Chief Investment Officer of Corvex Management LP, has served as a director on the Board and as Chairman of the Audit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 hereby offered consist of (i) 3,125,000 PIPE Shares held by Deerfield Private Design Fund V., L.P. and (ii) 1,875,000 PIPE Shares held by Deerfield Partners, L.P.</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 hereby offered consist of 6,250,000 PIPE Shares held by ISMMS.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 hereby offered consist of 2,500,000 PIPE Shares held by Perceptive Life Sciences Master Fund, Ltd.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 hereby offered consist of 6,250,000 PIPE Shares held by Pfizer Inc.</w:t>
      </w:r>
    </w:p>
    <w:p>
      <w:pPr>
        <w:spacing w:after="0" w:line="1" w:lineRule="exact"/>
        <w:rPr>
          <w:rFonts w:ascii="Arial" w:cs="Arial" w:eastAsia="Arial" w:hAnsi="Arial"/>
          <w:sz w:val="14"/>
          <w:szCs w:val="14"/>
          <w:color w:val="auto"/>
        </w:rPr>
      </w:pPr>
    </w:p>
    <w:p>
      <w:pPr>
        <w:ind w:left="340" w:right="200" w:hanging="332"/>
        <w:spacing w:after="0" w:line="241" w:lineRule="auto"/>
        <w:tabs>
          <w:tab w:leader="none" w:pos="331"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 hereby offered consist of (i) 1,632,963 PIPE Shares held by Vaal Investment Partners Q9 LP, (ii) 329,665 PIPE Shares held by RUGU2 LLC and (iii) 162,372 PIPE Shares held by Kariba LLC. Rho Partners is an affiliate of Joshua Ruch, a member of our Board.</w:t>
      </w:r>
    </w:p>
    <w:p>
      <w:pPr>
        <w:ind w:left="320" w:hanging="312"/>
        <w:spacing w:after="0"/>
        <w:tabs>
          <w:tab w:leader="none" w:pos="3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 hereby offered consist of 1,250,000 PIPE Shares held by Section 32 Fund 2, L.P. Section32 is an affiliate of Michael Pellini, a member of our Board.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 hereby offered consist of 1,250,000 PIPE Shares held by Third Point Loan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ACT RESTRICTIONS ON RESALE OF OUR SECURITIES</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Pursuant to Rule 144 under the Securities Act (“Rule 144”), a person who has beneficially owned shares of our Class A common stock or warrants that were acquired from us in an unregistered, private sale (“restricted securities”) for at least six months would be entitled to sell their securities provided that</w:t>
      </w:r>
    </w:p>
    <w:p>
      <w:pPr>
        <w:jc w:val="both"/>
        <w:ind w:firstLine="8"/>
        <w:spacing w:after="0" w:line="277" w:lineRule="auto"/>
        <w:tabs>
          <w:tab w:leader="none" w:pos="216" w:val="left"/>
        </w:tabs>
        <w:numPr>
          <w:ilvl w:val="0"/>
          <w:numId w:val="88"/>
        </w:numPr>
        <w:rPr>
          <w:rFonts w:ascii="Arial" w:cs="Arial" w:eastAsia="Arial" w:hAnsi="Arial"/>
          <w:sz w:val="17"/>
          <w:szCs w:val="17"/>
          <w:color w:val="auto"/>
        </w:rPr>
      </w:pPr>
      <w:r>
        <w:rPr>
          <w:rFonts w:ascii="Arial" w:cs="Arial" w:eastAsia="Arial" w:hAnsi="Arial"/>
          <w:sz w:val="17"/>
          <w:szCs w:val="17"/>
          <w:color w:val="auto"/>
        </w:rPr>
        <w:t>such person is not deemed to have been an affiliate of ours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Persons who have beneficially owned restricted securities for at least six months but who are affiliates of ours at the time of, or at any time during the three months preceding, a sale, or who otherwise beneficially own shares of our Class A common stock or warrants (“control securities”), would be subject to additional restrictions, by which such person would be entitled to sell within any three-month period only a number of securities that does not exceed the greater of:</w:t>
      </w:r>
    </w:p>
    <w:p>
      <w:pPr>
        <w:spacing w:after="0" w:line="133"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1% of the total number of shares or other units of the class then outstanding; or</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average weekly reported trading volume of such securities during the four calendar weeks preceding the filing of a notice on Form 144 with respect to the sale.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30"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7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our affiliates will be able to sell their shares of common stock and warrants, and any shares of common stock received upon exercise of the warrants, as applicable, pursuant to Rule 144 without registration one year after the filing of our “Super” Form 8-K with Form 10 type information, which was filed on July 28, 2021. Absent registration under the Securities Act, our affiliates will not be permitted to sell their control securities under Rule 144 earlier than one year after the filing of the “Super” Form 8-K.</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no longer a shell company, and as a result, once the conditions set forth in the exceptions listed above are satisfied, Rule 144 will become available for the resale of restricted securities and control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Selling Stockholders, which as used herein includes donees, pledgees, transferees, distributees or other successors-in-interest selling shares of our Class A common stock or interests in our Class A common stock received after the date of this prospectus from the Selling Stockholders as a gift, pledge, partnership distribution or other transfer, may, from time to time, sell, transfer, distribute or otherwise dispose of certain of their shares of Class A common stock or interests in our Class A common stock on any stock exchange, market or trading facility on which shares of our Class A common stock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Selling Stockholders may use any one or more of the following methods when disposing of their shares of Class A common stock or interests therein:</w:t>
      </w:r>
    </w:p>
    <w:p>
      <w:pPr>
        <w:spacing w:after="0" w:line="194"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one or more underwritten offerings;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block trades (which may involve crosses) in which the broker-dealer will attempt to sell the shares of Class A common stock as agent, but may position and resell a portion of the block as principal to facilitate the transaction;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exchange distribution and/or secondary distribution in accordance with the rules of the applicable exchange;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distributions to their employees, partners, members or stockholders;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short sales (including short sales “against the box”) effected after the date of the registration statement of which this prospectus is a part is declared effective by the SEC;</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through the writing or settlement of standardized or over-the-counter options or other hedging transactions, whether through an options exchange or otherwise;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market transactions, including transactions on a national securities exchange or quotations service or over-the-counter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by pledge to secure debts and other obligation;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directly to purchasers, including our affiliates and stockholders, in a rights offering or otherwise;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of Class A common stock at a stipulated price per share;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through a combination of any of these methods or any other method permitted by applicable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Selling Stockholders may effect the distribution of our Class A common stock from time to time in one or more transactions either:</w:t>
      </w:r>
    </w:p>
    <w:p>
      <w:pPr>
        <w:spacing w:after="0" w:line="171"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prices relating to the prevailing market prices;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44"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Selling Stockholders may, from time to time, pledge or grant a security interest in some shares of our Class A common stock owned by them and, if a Selling Stockholder defaults in the performance of its secured obligations, the pledgees or secured parties may offer and sell such shares of Class A common stock from time to time, under this prospectus, or under an amendment or supplement to this prospectus under Rule 424(b)(3) or other applicable provision of the Securities Act amending the list of the Selling Stockholders to include the pledgee, transferee or other successors in interest as the Selling Stockholders under this prospectus. The Selling Stockholders also may transfer shares of our Class A common stock in other circumstances, in which case the transferees, pledgees or other successors in interest will be the selling beneficial owners for purposes of this prospectus.</w:t>
      </w:r>
    </w:p>
    <w:p>
      <w:pPr>
        <w:spacing w:after="0" w:line="11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and the Selling Stockholders may agree to indemnify an underwriter, broker-dealer or agent against certain liabilities related to the sale of our Class A common stock, including liabilities under the Securities Act. The Selling Stockholders have advised us that they have not entered into any agreements, understandings or arrangements with any underwriters or broker-dealers regarding the sale of their Class A common stock. Upon our notification by a Selling Stockholder that any material arrangement has been entered into with an underwriter or broker-dealer for the sale of Class A common stock through a block trade, special offering, exchange distribution, secondary distribution or a purchase by an underwriter or broker-dealer, we will file a supplement to this prospectus, if required, pursuant to Rule 424(b) under the Securities Act, disclosing certain material information, including:</w:t>
      </w:r>
    </w:p>
    <w:p>
      <w:pPr>
        <w:spacing w:after="0" w:line="110"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name of the Selling Stockholder;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number of shares of Class A common stock being offered;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names of the participating underwriters, broker-dealers or agents;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discounts, commissions or other compensation paid to underwriters or broker-dealers and any discounts, commissions or concessions allowed or reallowed or paid by any underwriters to dealers;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public offering 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estimated net proceeds to us from the sale of the Class A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delayed delivery arrangements;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other material terms of the offering.</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addition, upon being notified by a Selling Stockholder that a donee, pledgee, transferee or other successor-in-interest intends to sell Class A common stock, we will, to the extent required, promptly file a supplement to this prospectus to name specifically such person as a Selling Stockholder.</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Agents, broker-dealers and underwriters or their affiliates may engage in transactions with, or perform services for, the Selling Stockholders (or their affiliates) in the ordinary course of business. The Selling Stockholders may also use underwriters or other third parties with whom such Selling Stockholders have a material relationship. The Selling Stockholders (or their affiliates) will describe the nature of any such relationship in the applicable prospectus supplement.</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can be no assurances that the Selling Stockholders will sell, nor are the Selling Stockholders required to sell, any or all of the Class A common stock offered under this prospectus.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sale of shares of our Class A common stock or interests therein, the Selling Stockholder may enter into hedging transactions with broker-dealers or other financial institutions, which may in turn engage in short sales of our Class A common stock in the course of hedging the positions they assume. The Selling Stockholders may also sell shares of our Class A common stock short and deliver these securities to close out their short positions, or loan or pledge shares of our Class A common stock to broker-dealers that in turn may sell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securities. The Selling Stockholders may also enter into option or other transactions with broker-dealers or other financial institutions or the creation of one or more derivative securities that require the delivery to such broker-dealer or other financial institution of shares of our Class A common stock offered by this prospectus, which shares such broker-dealer or other financial institution may resell pursuant to this prospectus (as supplemented or amended to reflect such transaction).</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proceeds to the Selling Stockholders from the sale of shares of our Class A common stock offered by them will be the purchase price of such shares of our Class A common stock less discounts or commissions, if any. The Selling Stockholders reserve the right to accept and, together with their agents from time to time, to reject, in whole or in part, any proposed purchase of shares of our Class A common stock to be made directly or through agents. We will not receive any of the proceeds from any offering by the Selling Stockholders.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Selling Stockholders also may in the future resell a portion of our Class A common stock in open market transactions in reliance upon Rule 144 under the Securities Act, provided that they meet the criteria and conform to the requirements of that rule, or pursuant to other available exemptions from the registration requirements of the Securities Act.</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Selling Stockholders and any underwriters, broker-dealers or agents that participate in the sale of shares of our Class A common stock or interests therein may be “underwriters” within the meaning of Section 2(11) of the Securities Act. Any discounts, commissions, concessions or profit they earn on any resale of shares of our Class A common stock may be underwriting discounts and commissions under the Securities Act. If any Selling Stockholder is an “underwriter” within the meaning of Section 2(11) of the Securities Act, then the Selling Stockholder will be subject to the prospectus delivery requirements of the Securities Act. Underwriters and their controlling persons, dealers and agents may be entitled, under agreements entered into with us and the Selling Stockholders, to indemnification against and contribution toward specific civil liabilities, including liabilities under the Securities Act.</w:t>
      </w:r>
    </w:p>
    <w:p>
      <w:pPr>
        <w:spacing w:after="0" w:line="1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the extent required, our Class A common stock to be sold, the respective purchase price and public offering price,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facilitate the offering of shares of our Class A common stock offered by the Selling Stockholders, certain persons participating in the offering may engage in transactions that stabilize, maintain or otherwise affect the price of our Class A common stock. This may include over-allotments or short sales, which involve the sale by persons participating in the offering of more shares of Class A common stock than were sold to them. In these circumstances, these persons would cover such over-allotments or short positions by making purchases in the open market or by exercising their over-allotment option, if any. In addition, these persons may stabilize or maintain the price of our Class A common stock by bidding for or purchasing shares of Class A common stock in the open market or by imposing penalty bids, whereby selling concessions allowed to dealers participating in the offering may be reclaimed if shares of Class A common stock sold by them are repurchased in connection with stabilization transactions. The effect of these transactions may be to stabilize or maintain the market price of our Class A common stock at a level above that which might otherwise prevail in the open market. These transactions may be discontinued at any time. These transactions may be effected on any exchange on which the securities are traded, in the over-the-counter market or otherwise.</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Shareholder Agreements and the Subscription Agreements, we have agreed to indemnify the applicable Selling stockholders party thereto against certain liabilities that they may incur in connection with the sale of the securities registered hereunder, including liabilities under the Securities Act, and to contribute to payments that the Selling Stockholders may be required to make with respect thereto. In addition, we and the Selling Stockholders may agree to indemnify any underwriter, broker-dealer or agent against certain liabilities related to the selling of the securities, including liabilities arising under the Securities Act.</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Shareholder Agreements, we have agreed to use our commercially reasonable efforts to cause the registration statement of which this prospectus forms a part to remain effective with respect to 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4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registered hereunder pursuant to such agreement until: (i) such securities have been sold, transferred, disposed of or exchanged in accordance with such registration statement; (ii) with respect to a Selling Stockholder party to such agreement, all such securities held by such Selling Stockholder could be sold pursuant to Rule 144 without restriction on volume or manner of sale and without the requirement for us to be in compliance with the public information required under Rule 144; (iii) such securities have been otherwise transferred, new certificates for such securities not bearing a legend restricting further transfer shall have been delivered by us and subsequent public distribution of such securities shall not require registration under the Securities Act or (iv) such securities have been sold to, or through, a broker, dealer or underwriter in a public distribution or other public securities transaction. Under each Subscription Agreement, we have agreed to use commercially reasonable efforts to maintain the continuous effectiveness of the registration statement of which this prospectus forms a part with respect to any securities registered hereunder pursuant to such agreement until: (A) (i) with respect to a Selling Stockholder party to such agreement, such Selling Stockholder ceases to hold any such securities; (ii) the date all such securities held by such Selling Stockholder may be sold without restriction under Rule 144, including without limitation, any volume and manner of sale restrictions which may be applicable to affiliates under Rule 144, and without the requirement for us to be in compliance with the current public information required under Rule 144;</w:t>
      </w:r>
    </w:p>
    <w:p>
      <w:pPr>
        <w:spacing w:after="0" w:line="4" w:lineRule="exact"/>
        <w:rPr>
          <w:sz w:val="20"/>
          <w:szCs w:val="20"/>
          <w:color w:val="auto"/>
        </w:rPr>
      </w:pPr>
    </w:p>
    <w:p>
      <w:pPr>
        <w:jc w:val="both"/>
        <w:ind w:firstLine="8"/>
        <w:spacing w:after="0" w:line="271" w:lineRule="auto"/>
        <w:tabs>
          <w:tab w:leader="none" w:pos="321" w:val="left"/>
        </w:tabs>
        <w:numPr>
          <w:ilvl w:val="0"/>
          <w:numId w:val="95"/>
        </w:numPr>
        <w:rPr>
          <w:rFonts w:ascii="Arial" w:cs="Arial" w:eastAsia="Arial" w:hAnsi="Arial"/>
          <w:sz w:val="17"/>
          <w:szCs w:val="17"/>
          <w:color w:val="auto"/>
        </w:rPr>
      </w:pPr>
      <w:r>
        <w:rPr>
          <w:rFonts w:ascii="Arial" w:cs="Arial" w:eastAsia="Arial" w:hAnsi="Arial"/>
          <w:sz w:val="17"/>
          <w:szCs w:val="17"/>
          <w:color w:val="auto"/>
        </w:rPr>
        <w:t>when such securities shall have ceased to be outstanding or three years from the date of effectiveness of such registration statement; or (iv) four years from the date of effectiveness of the registration statement of which this prospectus forms a part; or (B) such shorter period upon which such Selling Stockholder has notified us that such securities have actually been sold. We have agreed to pay all expenses in connection with this offering, other than underwriting fees, discounts, selling commissions, stock transfer taxes and certain legal expenses. The Selling Stockholders will pay, on a pro rata basis, any underwriting fees, discounts, selling commissions, stock transfer taxes and certain legal expenses relating to the offering.</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Selling Stockholders may use this prospectus in connection with resales of shares of our Class A common stock. This prospectus and any accompanying prospectus supplement will identify the Selling Stockholders, the terms of our Class A common stock and any material relationships between us and the Selling Stockholders. Selling Stockholders may be deemed to be underwriters under the Securities Act in connection with shares of our Class A common stock they resell and any profits on the sales may be deemed to be underwriting discounts and commissions under the Securities Act. Unless otherwise set forth in a prospectus supplement, the Selling Stockholders will receive all the net proceeds from the resale of shares of our Class A common stock.</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Selling Stockholders that is an entity may elect to make an in-kind distribution of Class A common stock to its members, partners or stockholders pursuant to the registration statement of which this prospectus is a part by delivering a prospectus, as amended or supplemented. To the extent that such transferees are not affiliates of ours, such transferees will receive freely tradable shares of Class A common stock pursuant to the distribution effected through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validity of the securities offered hereby has been passed upon for us by Fenwick &amp; West LLP. Any underwriters or agents will be advised about other issues relating to the offering by counsel to be named in the applicable prospectus supplement.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financial statements of Sema4 Holdings Corp. at December 31, 2021 and 2020, and for each of the three years in the period ended December 31, 2021,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combined carve-out financial statements of GeneDx, Inc and subsidiary at December 31, 2021 and 2020, and for each of the two years in the period ended December 31, 2021, appearing in this Prospectus and Registration Statement have been audited by Ernst &amp; Young LLP, independent auditors, as set forth in their report thereon appearing elsewhere herein, and are included in reliance upon such report given on the authority of such firm as experts in accounting and auditing.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Class A common stock offered hereby. This prospectus, which constitutes part of the registration statement, does not contain all of the information set forth in the registration statement and the exhibits and schedules thereto. For further information with respect to our company and our Class A common stock, reference is made to the registration statement and the exhibits and any schedules filed therewith.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the information reporting requirements of the Exchange Act and we are required to file reports, proxy statements and other information with the SEC. These reports, proxy statements, and other information are available for inspection and copying at the SEC’s website referred to above. We also maintain a website at www.sema4.com, at which you may access these materials free of charge as soon as reasonably practicable after they are electronically filed with, or furnished to, the SEC. Information contained on or accessible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280" w:type="dxa"/>
            <w:vAlign w:val="bottom"/>
            <w:gridSpan w:val="3"/>
          </w:tcPr>
          <w:p>
            <w:pPr>
              <w:jc w:val="center"/>
              <w:ind w:right="3520"/>
              <w:spacing w:after="0"/>
              <w:rPr>
                <w:sz w:val="20"/>
                <w:szCs w:val="20"/>
                <w:color w:val="auto"/>
              </w:rPr>
            </w:pPr>
            <w:r>
              <w:rPr>
                <w:rFonts w:ascii="Arial" w:cs="Arial" w:eastAsia="Arial" w:hAnsi="Arial"/>
                <w:sz w:val="18"/>
                <w:szCs w:val="18"/>
                <w:b w:val="1"/>
                <w:bCs w:val="1"/>
                <w:color w:val="auto"/>
                <w:w w:val="98"/>
              </w:rPr>
              <w:t>SEMA4 HOLDINGS CORP.</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20" w:type="dxa"/>
            <w:vAlign w:val="bottom"/>
            <w:gridSpan w:val="4"/>
          </w:tcPr>
          <w:p>
            <w:pPr>
              <w:jc w:val="center"/>
              <w:ind w:right="2180"/>
              <w:spacing w:after="0"/>
              <w:rPr>
                <w:sz w:val="20"/>
                <w:szCs w:val="20"/>
                <w:color w:val="auto"/>
              </w:rPr>
            </w:pPr>
            <w:r>
              <w:rPr>
                <w:rFonts w:ascii="Arial" w:cs="Arial" w:eastAsia="Arial" w:hAnsi="Arial"/>
                <w:sz w:val="18"/>
                <w:szCs w:val="18"/>
                <w:b w:val="1"/>
                <w:bCs w:val="1"/>
                <w:color w:val="auto"/>
              </w:rPr>
              <w:t>INDEX TO FINANCIAL STATEMENTS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220" w:type="dxa"/>
            <w:vAlign w:val="bottom"/>
            <w:gridSpan w:val="3"/>
            <w:vMerge w:val="restart"/>
          </w:tcPr>
          <w:p>
            <w:pPr>
              <w:spacing w:after="0"/>
              <w:rPr>
                <w:rFonts w:ascii="Arial" w:cs="Arial" w:eastAsia="Arial" w:hAnsi="Arial"/>
                <w:sz w:val="18"/>
                <w:szCs w:val="18"/>
                <w:color w:val="0000FF"/>
                <w:w w:val="91"/>
              </w:rPr>
            </w:pPr>
            <w:hyperlink w:anchor="page175">
              <w:r>
                <w:rPr>
                  <w:rFonts w:ascii="Arial" w:cs="Arial" w:eastAsia="Arial" w:hAnsi="Arial"/>
                  <w:sz w:val="18"/>
                  <w:szCs w:val="18"/>
                  <w:color w:val="0000FF"/>
                  <w:w w:val="91"/>
                </w:rPr>
                <w:t>Report of Independent Registered Public Accounting Firm</w:t>
              </w:r>
            </w:hyperlink>
          </w:p>
        </w:tc>
        <w:tc>
          <w:tcPr>
            <w:tcW w:w="4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422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720" w:type="dxa"/>
            <w:vAlign w:val="bottom"/>
            <w:gridSpan w:val="3"/>
          </w:tcPr>
          <w:p>
            <w:pPr>
              <w:ind w:left="240"/>
              <w:spacing w:after="0" w:line="169" w:lineRule="exact"/>
              <w:rPr>
                <w:rFonts w:ascii="Arial" w:cs="Arial" w:eastAsia="Arial" w:hAnsi="Arial"/>
                <w:sz w:val="18"/>
                <w:szCs w:val="18"/>
                <w:color w:val="0000FF"/>
              </w:rPr>
            </w:pPr>
            <w:hyperlink w:anchor="page175">
              <w:r>
                <w:rPr>
                  <w:rFonts w:ascii="Arial" w:cs="Arial" w:eastAsia="Arial" w:hAnsi="Arial"/>
                  <w:sz w:val="18"/>
                  <w:szCs w:val="18"/>
                  <w:color w:val="0000FF"/>
                </w:rPr>
                <w:t>F-2</w:t>
              </w:r>
            </w:hyperlink>
          </w:p>
        </w:tc>
        <w:tc>
          <w:tcPr>
            <w:tcW w:w="0" w:type="dxa"/>
            <w:vAlign w:val="bottom"/>
          </w:tcPr>
          <w:p>
            <w:pPr>
              <w:spacing w:after="0"/>
              <w:rPr>
                <w:sz w:val="1"/>
                <w:szCs w:val="1"/>
                <w:color w:val="auto"/>
              </w:rPr>
            </w:pPr>
          </w:p>
        </w:tc>
      </w:tr>
      <w:tr>
        <w:trPr>
          <w:trHeight w:val="27"/>
        </w:trPr>
        <w:tc>
          <w:tcPr>
            <w:tcW w:w="2100" w:type="dxa"/>
            <w:vAlign w:val="bottom"/>
            <w:shd w:val="clear" w:color="auto" w:fill="0000FF"/>
          </w:tcPr>
          <w:p>
            <w:pPr>
              <w:spacing w:after="0"/>
              <w:rPr>
                <w:sz w:val="2"/>
                <w:szCs w:val="2"/>
                <w:color w:val="auto"/>
              </w:rPr>
            </w:pPr>
          </w:p>
        </w:tc>
        <w:tc>
          <w:tcPr>
            <w:tcW w:w="780" w:type="dxa"/>
            <w:vAlign w:val="bottom"/>
            <w:tcBorders>
              <w:left w:val="single" w:sz="8" w:color="0000FF"/>
            </w:tcBorders>
            <w:shd w:val="clear" w:color="auto" w:fill="0000FF"/>
          </w:tcPr>
          <w:p>
            <w:pPr>
              <w:spacing w:after="0"/>
              <w:rPr>
                <w:sz w:val="2"/>
                <w:szCs w:val="2"/>
                <w:color w:val="auto"/>
              </w:rPr>
            </w:pPr>
          </w:p>
        </w:tc>
        <w:tc>
          <w:tcPr>
            <w:tcW w:w="1800" w:type="dxa"/>
            <w:vAlign w:val="bottom"/>
            <w:gridSpan w:val="2"/>
            <w:shd w:val="clear" w:color="auto" w:fill="0000FF"/>
          </w:tcPr>
          <w:p>
            <w:pPr>
              <w:spacing w:after="0"/>
              <w:rPr>
                <w:sz w:val="2"/>
                <w:szCs w:val="2"/>
                <w:color w:val="auto"/>
              </w:rPr>
            </w:pPr>
          </w:p>
        </w:tc>
        <w:tc>
          <w:tcPr>
            <w:tcW w:w="21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00" w:type="dxa"/>
            <w:vAlign w:val="bottom"/>
          </w:tcPr>
          <w:p>
            <w:pPr>
              <w:spacing w:after="0"/>
              <w:rPr>
                <w:rFonts w:ascii="Arial" w:cs="Arial" w:eastAsia="Arial" w:hAnsi="Arial"/>
                <w:sz w:val="18"/>
                <w:szCs w:val="18"/>
                <w:color w:val="0000FF"/>
                <w:w w:val="87"/>
              </w:rPr>
            </w:pPr>
            <w:hyperlink w:anchor="page176">
              <w:r>
                <w:rPr>
                  <w:rFonts w:ascii="Arial" w:cs="Arial" w:eastAsia="Arial" w:hAnsi="Arial"/>
                  <w:sz w:val="18"/>
                  <w:szCs w:val="18"/>
                  <w:color w:val="0000FF"/>
                  <w:w w:val="87"/>
                </w:rPr>
                <w:t>Consolidated Balance Sheets</w:t>
              </w:r>
            </w:hyperlink>
          </w:p>
        </w:tc>
        <w:tc>
          <w:tcPr>
            <w:tcW w:w="2580" w:type="dxa"/>
            <w:vAlign w:val="bottom"/>
            <w:gridSpan w:val="3"/>
          </w:tcPr>
          <w:p>
            <w:pPr>
              <w:spacing w:after="0"/>
              <w:rPr>
                <w:sz w:val="18"/>
                <w:szCs w:val="18"/>
                <w:color w:val="auto"/>
              </w:rPr>
            </w:pPr>
          </w:p>
        </w:tc>
        <w:tc>
          <w:tcPr>
            <w:tcW w:w="5820" w:type="dxa"/>
            <w:vAlign w:val="bottom"/>
            <w:gridSpan w:val="2"/>
          </w:tcPr>
          <w:p>
            <w:pPr>
              <w:spacing w:after="0"/>
              <w:rPr>
                <w:sz w:val="18"/>
                <w:szCs w:val="18"/>
                <w:color w:val="auto"/>
              </w:rPr>
            </w:pPr>
          </w:p>
        </w:tc>
        <w:tc>
          <w:tcPr>
            <w:tcW w:w="720" w:type="dxa"/>
            <w:vAlign w:val="bottom"/>
            <w:gridSpan w:val="3"/>
          </w:tcPr>
          <w:p>
            <w:pPr>
              <w:ind w:left="240"/>
              <w:spacing w:after="0"/>
              <w:rPr>
                <w:rFonts w:ascii="Arial" w:cs="Arial" w:eastAsia="Arial" w:hAnsi="Arial"/>
                <w:sz w:val="18"/>
                <w:szCs w:val="18"/>
                <w:color w:val="0000FF"/>
              </w:rPr>
            </w:pPr>
            <w:hyperlink w:anchor="page176">
              <w:r>
                <w:rPr>
                  <w:rFonts w:ascii="Arial" w:cs="Arial" w:eastAsia="Arial" w:hAnsi="Arial"/>
                  <w:sz w:val="18"/>
                  <w:szCs w:val="18"/>
                  <w:color w:val="0000FF"/>
                </w:rPr>
                <w:t>F-3</w:t>
              </w:r>
            </w:hyperlink>
          </w:p>
        </w:tc>
        <w:tc>
          <w:tcPr>
            <w:tcW w:w="0" w:type="dxa"/>
            <w:vAlign w:val="bottom"/>
          </w:tcPr>
          <w:p>
            <w:pPr>
              <w:spacing w:after="0"/>
              <w:rPr>
                <w:sz w:val="1"/>
                <w:szCs w:val="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00" w:type="dxa"/>
            <w:vAlign w:val="bottom"/>
            <w:gridSpan w:val="6"/>
          </w:tcPr>
          <w:p>
            <w:pPr>
              <w:spacing w:after="0"/>
              <w:rPr>
                <w:rFonts w:ascii="Arial" w:cs="Arial" w:eastAsia="Arial" w:hAnsi="Arial"/>
                <w:sz w:val="18"/>
                <w:szCs w:val="18"/>
                <w:color w:val="0000FF"/>
              </w:rPr>
            </w:pPr>
            <w:hyperlink w:anchor="page178">
              <w:r>
                <w:rPr>
                  <w:rFonts w:ascii="Arial" w:cs="Arial" w:eastAsia="Arial" w:hAnsi="Arial"/>
                  <w:sz w:val="18"/>
                  <w:szCs w:val="18"/>
                  <w:color w:val="0000FF"/>
                </w:rPr>
                <w:t>Consolidated Statements of Operations and Comprehensive Loss</w:t>
              </w:r>
            </w:hyperlink>
          </w:p>
        </w:tc>
        <w:tc>
          <w:tcPr>
            <w:tcW w:w="720" w:type="dxa"/>
            <w:vAlign w:val="bottom"/>
            <w:gridSpan w:val="3"/>
          </w:tcPr>
          <w:p>
            <w:pPr>
              <w:ind w:left="240"/>
              <w:spacing w:after="0"/>
              <w:rPr>
                <w:rFonts w:ascii="Arial" w:cs="Arial" w:eastAsia="Arial" w:hAnsi="Arial"/>
                <w:sz w:val="18"/>
                <w:szCs w:val="18"/>
                <w:color w:val="0000FF"/>
              </w:rPr>
            </w:pPr>
            <w:hyperlink w:anchor="page178">
              <w:r>
                <w:rPr>
                  <w:rFonts w:ascii="Arial" w:cs="Arial" w:eastAsia="Arial" w:hAnsi="Arial"/>
                  <w:sz w:val="18"/>
                  <w:szCs w:val="18"/>
                  <w:color w:val="0000FF"/>
                </w:rPr>
                <w:t>F-5</w:t>
              </w:r>
            </w:hyperlink>
          </w:p>
        </w:tc>
        <w:tc>
          <w:tcPr>
            <w:tcW w:w="0" w:type="dxa"/>
            <w:vAlign w:val="bottom"/>
          </w:tcPr>
          <w:p>
            <w:pPr>
              <w:spacing w:after="0"/>
              <w:rPr>
                <w:sz w:val="1"/>
                <w:szCs w:val="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00" w:type="dxa"/>
            <w:vAlign w:val="bottom"/>
            <w:gridSpan w:val="6"/>
          </w:tcPr>
          <w:p>
            <w:pPr>
              <w:spacing w:after="0"/>
              <w:rPr>
                <w:rFonts w:ascii="Arial" w:cs="Arial" w:eastAsia="Arial" w:hAnsi="Arial"/>
                <w:sz w:val="18"/>
                <w:szCs w:val="18"/>
                <w:color w:val="0000FF"/>
              </w:rPr>
            </w:pPr>
            <w:hyperlink w:anchor="page179">
              <w:r>
                <w:rPr>
                  <w:rFonts w:ascii="Arial" w:cs="Arial" w:eastAsia="Arial" w:hAnsi="Arial"/>
                  <w:sz w:val="18"/>
                  <w:szCs w:val="18"/>
                  <w:color w:val="0000FF"/>
                </w:rPr>
                <w:t>Consolidated Statement of Redeemable Convertible Preferred Stock and Stockholders’ Equity</w:t>
              </w:r>
            </w:hyperlink>
          </w:p>
        </w:tc>
        <w:tc>
          <w:tcPr>
            <w:tcW w:w="720" w:type="dxa"/>
            <w:vAlign w:val="bottom"/>
            <w:gridSpan w:val="3"/>
          </w:tcPr>
          <w:p>
            <w:pPr>
              <w:ind w:left="240"/>
              <w:spacing w:after="0"/>
              <w:rPr>
                <w:rFonts w:ascii="Arial" w:cs="Arial" w:eastAsia="Arial" w:hAnsi="Arial"/>
                <w:sz w:val="18"/>
                <w:szCs w:val="18"/>
                <w:color w:val="0000FF"/>
              </w:rPr>
            </w:pPr>
            <w:hyperlink w:anchor="page179">
              <w:r>
                <w:rPr>
                  <w:rFonts w:ascii="Arial" w:cs="Arial" w:eastAsia="Arial" w:hAnsi="Arial"/>
                  <w:sz w:val="18"/>
                  <w:szCs w:val="18"/>
                  <w:color w:val="0000FF"/>
                </w:rPr>
                <w:t>F-6</w:t>
              </w:r>
            </w:hyperlink>
          </w:p>
        </w:tc>
        <w:tc>
          <w:tcPr>
            <w:tcW w:w="0" w:type="dxa"/>
            <w:vAlign w:val="bottom"/>
          </w:tcPr>
          <w:p>
            <w:pPr>
              <w:spacing w:after="0"/>
              <w:rPr>
                <w:sz w:val="1"/>
                <w:szCs w:val="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gridSpan w:val="2"/>
          </w:tcPr>
          <w:p>
            <w:pPr>
              <w:spacing w:after="0"/>
              <w:rPr>
                <w:rFonts w:ascii="Arial" w:cs="Arial" w:eastAsia="Arial" w:hAnsi="Arial"/>
                <w:sz w:val="18"/>
                <w:szCs w:val="18"/>
                <w:color w:val="0000FF"/>
                <w:w w:val="89"/>
              </w:rPr>
            </w:pPr>
            <w:hyperlink w:anchor="page180">
              <w:r>
                <w:rPr>
                  <w:rFonts w:ascii="Arial" w:cs="Arial" w:eastAsia="Arial" w:hAnsi="Arial"/>
                  <w:sz w:val="18"/>
                  <w:szCs w:val="18"/>
                  <w:color w:val="0000FF"/>
                  <w:w w:val="89"/>
                </w:rPr>
                <w:t>Consolidated Statements of Cash Flows</w:t>
              </w:r>
            </w:hyperlink>
          </w:p>
        </w:tc>
        <w:tc>
          <w:tcPr>
            <w:tcW w:w="3900" w:type="dxa"/>
            <w:vAlign w:val="bottom"/>
            <w:gridSpan w:val="3"/>
          </w:tcPr>
          <w:p>
            <w:pPr>
              <w:spacing w:after="0"/>
              <w:rPr>
                <w:sz w:val="18"/>
                <w:szCs w:val="18"/>
                <w:color w:val="auto"/>
              </w:rPr>
            </w:pPr>
          </w:p>
        </w:tc>
        <w:tc>
          <w:tcPr>
            <w:tcW w:w="3720" w:type="dxa"/>
            <w:vAlign w:val="bottom"/>
          </w:tcPr>
          <w:p>
            <w:pPr>
              <w:spacing w:after="0"/>
              <w:rPr>
                <w:sz w:val="18"/>
                <w:szCs w:val="18"/>
                <w:color w:val="auto"/>
              </w:rPr>
            </w:pPr>
          </w:p>
        </w:tc>
        <w:tc>
          <w:tcPr>
            <w:tcW w:w="720" w:type="dxa"/>
            <w:vAlign w:val="bottom"/>
            <w:gridSpan w:val="3"/>
          </w:tcPr>
          <w:p>
            <w:pPr>
              <w:ind w:left="240"/>
              <w:spacing w:after="0"/>
              <w:rPr>
                <w:rFonts w:ascii="Arial" w:cs="Arial" w:eastAsia="Arial" w:hAnsi="Arial"/>
                <w:sz w:val="18"/>
                <w:szCs w:val="18"/>
                <w:color w:val="0000FF"/>
              </w:rPr>
            </w:pPr>
            <w:hyperlink w:anchor="page180">
              <w:r>
                <w:rPr>
                  <w:rFonts w:ascii="Arial" w:cs="Arial" w:eastAsia="Arial" w:hAnsi="Arial"/>
                  <w:sz w:val="18"/>
                  <w:szCs w:val="18"/>
                  <w:color w:val="0000FF"/>
                </w:rPr>
                <w:t>F-7</w:t>
              </w:r>
            </w:hyperlink>
          </w:p>
        </w:tc>
        <w:tc>
          <w:tcPr>
            <w:tcW w:w="0" w:type="dxa"/>
            <w:vAlign w:val="bottom"/>
          </w:tcPr>
          <w:p>
            <w:pPr>
              <w:spacing w:after="0"/>
              <w:rPr>
                <w:sz w:val="1"/>
                <w:szCs w:val="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76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00" w:type="dxa"/>
            <w:vAlign w:val="bottom"/>
          </w:tcPr>
          <w:p>
            <w:pPr>
              <w:spacing w:after="0"/>
              <w:rPr>
                <w:rFonts w:ascii="Arial" w:cs="Arial" w:eastAsia="Arial" w:hAnsi="Arial"/>
                <w:sz w:val="18"/>
                <w:szCs w:val="18"/>
                <w:color w:val="0000FF"/>
                <w:w w:val="85"/>
              </w:rPr>
            </w:pPr>
            <w:hyperlink w:anchor="page182">
              <w:r>
                <w:rPr>
                  <w:rFonts w:ascii="Arial" w:cs="Arial" w:eastAsia="Arial" w:hAnsi="Arial"/>
                  <w:sz w:val="18"/>
                  <w:szCs w:val="18"/>
                  <w:color w:val="0000FF"/>
                  <w:w w:val="85"/>
                </w:rPr>
                <w:t>Notes to Financial Statements</w:t>
              </w:r>
            </w:hyperlink>
          </w:p>
        </w:tc>
        <w:tc>
          <w:tcPr>
            <w:tcW w:w="780" w:type="dxa"/>
            <w:vAlign w:val="bottom"/>
          </w:tcPr>
          <w:p>
            <w:pPr>
              <w:spacing w:after="0"/>
              <w:rPr>
                <w:sz w:val="18"/>
                <w:szCs w:val="18"/>
                <w:color w:val="auto"/>
              </w:rPr>
            </w:pPr>
          </w:p>
        </w:tc>
        <w:tc>
          <w:tcPr>
            <w:tcW w:w="7620" w:type="dxa"/>
            <w:vAlign w:val="bottom"/>
            <w:gridSpan w:val="4"/>
          </w:tcPr>
          <w:p>
            <w:pPr>
              <w:spacing w:after="0"/>
              <w:rPr>
                <w:sz w:val="18"/>
                <w:szCs w:val="18"/>
                <w:color w:val="auto"/>
              </w:rPr>
            </w:pPr>
          </w:p>
        </w:tc>
        <w:tc>
          <w:tcPr>
            <w:tcW w:w="720" w:type="dxa"/>
            <w:vAlign w:val="bottom"/>
            <w:gridSpan w:val="3"/>
          </w:tcPr>
          <w:p>
            <w:pPr>
              <w:ind w:left="240"/>
              <w:spacing w:after="0"/>
              <w:rPr>
                <w:rFonts w:ascii="Arial" w:cs="Arial" w:eastAsia="Arial" w:hAnsi="Arial"/>
                <w:sz w:val="18"/>
                <w:szCs w:val="18"/>
                <w:color w:val="0000FF"/>
              </w:rPr>
            </w:pPr>
            <w:hyperlink w:anchor="page182">
              <w:r>
                <w:rPr>
                  <w:rFonts w:ascii="Arial" w:cs="Arial" w:eastAsia="Arial" w:hAnsi="Arial"/>
                  <w:sz w:val="18"/>
                  <w:szCs w:val="18"/>
                  <w:color w:val="0000FF"/>
                </w:rPr>
                <w:t>F-9</w:t>
              </w:r>
            </w:hyperlink>
          </w:p>
        </w:tc>
        <w:tc>
          <w:tcPr>
            <w:tcW w:w="0" w:type="dxa"/>
            <w:vAlign w:val="bottom"/>
          </w:tcPr>
          <w:p>
            <w:pPr>
              <w:spacing w:after="0"/>
              <w:rPr>
                <w:sz w:val="1"/>
                <w:szCs w:val="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175" w:name="page176"/>
    <w:bookmarkEnd w:id="175"/>
    <w:p>
      <w:pPr>
        <w:spacing w:after="0" w:line="140" w:lineRule="exact"/>
        <w:rPr>
          <w:sz w:val="20"/>
          <w:szCs w:val="20"/>
          <w:color w:val="auto"/>
        </w:rPr>
      </w:pPr>
    </w:p>
    <w:p>
      <w:pPr>
        <w:ind w:right="3360" w:firstLine="3364"/>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Sema4 Holdings Corp.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Sema4 Holdings Corp. (the Company) as of December 31, 2021 and 2020, the related consolidated statements of operations and comprehensive loss, redeemable convertible preferred stock and stockholders’ equity (deficit)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2020 and 2019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2 to the consolidated financial statements, the 2020 and 2019 financial statements have been restated to correct a misstatement.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14,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60"/>
        <w:spacing w:after="0"/>
        <w:tabs>
          <w:tab w:leader="none" w:pos="2260" w:val="left"/>
          <w:tab w:leader="none" w:pos="2940" w:val="left"/>
          <w:tab w:leader="none" w:pos="4240" w:val="left"/>
          <w:tab w:leader="none" w:pos="5940" w:val="left"/>
          <w:tab w:leader="none" w:pos="7460" w:val="left"/>
        </w:tabs>
        <w:rPr>
          <w:sz w:val="20"/>
          <w:szCs w:val="20"/>
          <w:color w:val="auto"/>
        </w:rPr>
      </w:pPr>
      <w:r>
        <w:rPr>
          <w:rFonts w:ascii="Arial" w:cs="Arial" w:eastAsia="Arial" w:hAnsi="Arial"/>
          <w:sz w:val="14"/>
          <w:szCs w:val="14"/>
          <w:color w:val="auto"/>
        </w:rPr>
        <w:t>Auditor Firm Id:</w:t>
      </w:r>
      <w:r>
        <w:rPr>
          <w:sz w:val="20"/>
          <w:szCs w:val="20"/>
          <w:color w:val="auto"/>
        </w:rPr>
        <w:tab/>
      </w:r>
      <w:r>
        <w:rPr>
          <w:rFonts w:ascii="Arial" w:cs="Arial" w:eastAsia="Arial" w:hAnsi="Arial"/>
          <w:sz w:val="14"/>
          <w:szCs w:val="14"/>
          <w:color w:val="auto"/>
        </w:rPr>
        <w:t>No. 42</w:t>
      </w:r>
      <w:r>
        <w:rPr>
          <w:sz w:val="20"/>
          <w:szCs w:val="20"/>
          <w:color w:val="auto"/>
        </w:rPr>
        <w:tab/>
      </w:r>
      <w:r>
        <w:rPr>
          <w:rFonts w:ascii="Arial" w:cs="Arial" w:eastAsia="Arial" w:hAnsi="Arial"/>
          <w:sz w:val="14"/>
          <w:szCs w:val="14"/>
          <w:color w:val="auto"/>
        </w:rPr>
        <w:t>Auditor Name:</w:t>
      </w:r>
      <w:r>
        <w:rPr>
          <w:sz w:val="20"/>
          <w:szCs w:val="20"/>
          <w:color w:val="auto"/>
        </w:rPr>
        <w:tab/>
      </w:r>
      <w:r>
        <w:rPr>
          <w:rFonts w:ascii="Arial" w:cs="Arial" w:eastAsia="Arial" w:hAnsi="Arial"/>
          <w:sz w:val="14"/>
          <w:szCs w:val="14"/>
          <w:color w:val="auto"/>
        </w:rPr>
        <w:t>Ernst &amp; Young LLP</w:t>
      </w:r>
      <w:r>
        <w:rPr>
          <w:sz w:val="20"/>
          <w:szCs w:val="20"/>
          <w:color w:val="auto"/>
        </w:rPr>
        <w:tab/>
      </w:r>
      <w:r>
        <w:rPr>
          <w:rFonts w:ascii="Arial" w:cs="Arial" w:eastAsia="Arial" w:hAnsi="Arial"/>
          <w:sz w:val="14"/>
          <w:szCs w:val="14"/>
          <w:color w:val="auto"/>
        </w:rPr>
        <w:t>Auditor Location:</w:t>
      </w:r>
      <w:r>
        <w:rPr>
          <w:sz w:val="20"/>
          <w:szCs w:val="20"/>
          <w:color w:val="auto"/>
        </w:rPr>
        <w:tab/>
      </w:r>
      <w:r>
        <w:rPr>
          <w:rFonts w:ascii="Arial" w:cs="Arial" w:eastAsia="Arial" w:hAnsi="Arial"/>
          <w:sz w:val="13"/>
          <w:szCs w:val="13"/>
          <w:color w:val="auto"/>
        </w:rPr>
        <w:t>New York, New York,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108,132</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32,044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Due from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Inventory,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24,962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174,108</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62,719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63,110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10,828</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554,093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251,642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44,693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26,737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11,854</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Due to related parties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portion of capital lease obligations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Contract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28,137</w:t>
            </w:r>
          </w:p>
        </w:tc>
        <w:tc>
          <w:tcPr>
            <w:tcW w:w="0" w:type="dxa"/>
            <w:vAlign w:val="bottom"/>
          </w:tcPr>
          <w:p>
            <w:pPr>
              <w:spacing w:after="0"/>
              <w:rPr>
                <w:sz w:val="1"/>
                <w:szCs w:val="1"/>
                <w:color w:val="auto"/>
              </w:rPr>
            </w:pPr>
          </w:p>
        </w:tc>
      </w:tr>
      <w:tr>
        <w:trPr>
          <w:trHeight w:val="223"/>
        </w:trPr>
        <w:tc>
          <w:tcPr>
            <w:tcW w:w="802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101,284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73,442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Stock-based compensation liabilities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131,989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lease obligations, net of current portion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20,778</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Earn-out contingent liability</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247,254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9)</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60"/>
              <w:spacing w:after="0" w:line="176" w:lineRule="exact"/>
              <w:rPr>
                <w:sz w:val="20"/>
                <w:szCs w:val="20"/>
                <w:color w:val="auto"/>
              </w:rPr>
            </w:pPr>
            <w:r>
              <w:rPr>
                <w:rFonts w:ascii="Arial" w:cs="Arial" w:eastAsia="Arial" w:hAnsi="Arial"/>
                <w:sz w:val="18"/>
                <w:szCs w:val="18"/>
                <w:color w:val="auto"/>
                <w:w w:val="99"/>
              </w:rPr>
              <w:t>Series A-1 redeemable convertible preferred stock, $0.00001 par value: 0 and 55,399,943 shares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440"/>
              <w:spacing w:after="0" w:line="176" w:lineRule="exact"/>
              <w:rPr>
                <w:sz w:val="20"/>
                <w:szCs w:val="20"/>
                <w:color w:val="auto"/>
              </w:rPr>
            </w:pPr>
            <w:r>
              <w:rPr>
                <w:rFonts w:ascii="Arial" w:cs="Arial" w:eastAsia="Arial" w:hAnsi="Arial"/>
                <w:sz w:val="18"/>
                <w:szCs w:val="18"/>
                <w:color w:val="auto"/>
                <w:w w:val="98"/>
              </w:rPr>
              <w:t>authorized, issued and outstanding at December 31, 2021 and December 31, 2020, respectively;</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440"/>
              <w:spacing w:after="0" w:line="176" w:lineRule="exact"/>
              <w:rPr>
                <w:sz w:val="20"/>
                <w:szCs w:val="20"/>
                <w:color w:val="auto"/>
              </w:rPr>
            </w:pPr>
            <w:r>
              <w:rPr>
                <w:rFonts w:ascii="Arial" w:cs="Arial" w:eastAsia="Arial" w:hAnsi="Arial"/>
                <w:sz w:val="18"/>
                <w:szCs w:val="18"/>
                <w:color w:val="auto"/>
                <w:w w:val="95"/>
              </w:rPr>
              <w:t>aggregate liquidation preference of $0 and $55,000 at December 31, 2021 and December 31, 2020,</w:t>
            </w:r>
          </w:p>
        </w:tc>
        <w:tc>
          <w:tcPr>
            <w:tcW w:w="36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51,811</w:t>
            </w:r>
          </w:p>
        </w:tc>
        <w:tc>
          <w:tcPr>
            <w:tcW w:w="0" w:type="dxa"/>
            <w:vAlign w:val="bottom"/>
          </w:tcPr>
          <w:p>
            <w:pPr>
              <w:spacing w:after="0"/>
              <w:rPr>
                <w:sz w:val="1"/>
                <w:szCs w:val="1"/>
                <w:color w:val="auto"/>
              </w:rPr>
            </w:pPr>
          </w:p>
        </w:tc>
      </w:tr>
      <w:tr>
        <w:trPr>
          <w:trHeight w:val="230"/>
        </w:trPr>
        <w:tc>
          <w:tcPr>
            <w:tcW w:w="8020" w:type="dxa"/>
            <w:vAlign w:val="bottom"/>
          </w:tcPr>
          <w:p>
            <w:pPr>
              <w:ind w:left="44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9"/>
              </w:rPr>
              <w:t>Series A-2 redeemable convertible preferred stock, $0.00001 par value: 0 and 64,718,940 shares authorized</w:t>
            </w: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0"/>
              </w:rPr>
              <w:t>at December 31, 2021 and December 31, 2020, respectively; 0 and 49,700,364 shares authorized, issued</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6"/>
              </w:rPr>
              <w:t>and outstanding at December 31, 2021 and December 31, 2020, respectively; aggregate liquidation</w:t>
            </w:r>
          </w:p>
        </w:tc>
        <w:tc>
          <w:tcPr>
            <w:tcW w:w="4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46,480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preference of $0 and $49,342 at December 31, 2021 and December 31, 2020, respectively</w:t>
            </w:r>
          </w:p>
        </w:tc>
        <w:tc>
          <w:tcPr>
            <w:tcW w:w="4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40"/>
              <w:spacing w:after="0" w:line="176" w:lineRule="exact"/>
              <w:rPr>
                <w:sz w:val="20"/>
                <w:szCs w:val="20"/>
                <w:color w:val="auto"/>
              </w:rPr>
            </w:pPr>
            <w:r>
              <w:rPr>
                <w:rFonts w:ascii="Arial" w:cs="Arial" w:eastAsia="Arial" w:hAnsi="Arial"/>
                <w:sz w:val="18"/>
                <w:szCs w:val="18"/>
                <w:color w:val="auto"/>
                <w:w w:val="91"/>
              </w:rPr>
              <w:t>Series B redeemable convertible preferred stock, $0.00001 par value: 0 and 41,937,960 shares authorized,</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400"/>
              <w:spacing w:after="0" w:line="176" w:lineRule="exact"/>
              <w:rPr>
                <w:sz w:val="20"/>
                <w:szCs w:val="20"/>
                <w:color w:val="auto"/>
              </w:rPr>
            </w:pPr>
            <w:r>
              <w:rPr>
                <w:rFonts w:ascii="Arial" w:cs="Arial" w:eastAsia="Arial" w:hAnsi="Arial"/>
                <w:sz w:val="18"/>
                <w:szCs w:val="18"/>
                <w:color w:val="auto"/>
                <w:w w:val="99"/>
              </w:rPr>
              <w:t>issued and outstanding at December 31, 2021 and December 31, 2020, respectively; aggregate</w:t>
            </w:r>
          </w:p>
        </w:tc>
        <w:tc>
          <w:tcPr>
            <w:tcW w:w="46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118,824</w:t>
            </w:r>
          </w:p>
        </w:tc>
        <w:tc>
          <w:tcPr>
            <w:tcW w:w="0" w:type="dxa"/>
            <w:vAlign w:val="bottom"/>
          </w:tcPr>
          <w:p>
            <w:pPr>
              <w:spacing w:after="0"/>
              <w:rPr>
                <w:sz w:val="1"/>
                <w:szCs w:val="1"/>
                <w:color w:val="auto"/>
              </w:rPr>
            </w:pPr>
          </w:p>
        </w:tc>
      </w:tr>
      <w:tr>
        <w:trPr>
          <w:trHeight w:val="229"/>
        </w:trPr>
        <w:tc>
          <w:tcPr>
            <w:tcW w:w="8020" w:type="dxa"/>
            <w:vAlign w:val="bottom"/>
          </w:tcPr>
          <w:p>
            <w:pPr>
              <w:ind w:left="400"/>
              <w:spacing w:after="0"/>
              <w:rPr>
                <w:sz w:val="20"/>
                <w:szCs w:val="20"/>
                <w:color w:val="auto"/>
              </w:rPr>
            </w:pPr>
            <w:r>
              <w:rPr>
                <w:rFonts w:ascii="Arial" w:cs="Arial" w:eastAsia="Arial" w:hAnsi="Arial"/>
                <w:sz w:val="18"/>
                <w:szCs w:val="18"/>
                <w:color w:val="auto"/>
                <w:w w:val="93"/>
              </w:rPr>
              <w:t>liquidation preference of $0 and $204,302 at December 31, 2021and December 31, 2020, respectively</w:t>
            </w:r>
          </w:p>
        </w:tc>
        <w:tc>
          <w:tcPr>
            <w:tcW w:w="4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1"/>
              </w:rPr>
              <w:t>Series C redeemable convertible preferred stock, $0.00001 par value: 0 and 24,497,317 shares authorized</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7"/>
              </w:rPr>
              <w:t>at December 31, 2021 and December 31, 2020, respectively; 0 and 24,496,946 shares issued and</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outstanding at December 31, 2021 and December 31, 2020, respectively; aggregate liquidation</w:t>
            </w:r>
          </w:p>
        </w:tc>
        <w:tc>
          <w:tcPr>
            <w:tcW w:w="4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117,324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preference of $0 and $121,397 at December 31, 2021 and December 31, 2020, respectively</w:t>
            </w:r>
          </w:p>
        </w:tc>
        <w:tc>
          <w:tcPr>
            <w:tcW w:w="4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Redeemable convertible preferred stock</w:t>
            </w: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334,439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 (deficit):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240"/>
              <w:spacing w:after="0" w:line="176" w:lineRule="exact"/>
              <w:rPr>
                <w:sz w:val="20"/>
                <w:szCs w:val="20"/>
                <w:color w:val="auto"/>
              </w:rPr>
            </w:pPr>
            <w:r>
              <w:rPr>
                <w:rFonts w:ascii="Arial" w:cs="Arial" w:eastAsia="Arial" w:hAnsi="Arial"/>
                <w:sz w:val="18"/>
                <w:szCs w:val="18"/>
                <w:color w:val="auto"/>
                <w:w w:val="98"/>
              </w:rPr>
              <w:t>Preferred Stock, $0.0001 par value: 1,000,000 and 0 shares authorized at December 31, 2021 and</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400"/>
              <w:spacing w:after="0" w:line="176" w:lineRule="exact"/>
              <w:rPr>
                <w:sz w:val="20"/>
                <w:szCs w:val="20"/>
                <w:color w:val="auto"/>
              </w:rPr>
            </w:pPr>
            <w:r>
              <w:rPr>
                <w:rFonts w:ascii="Arial" w:cs="Arial" w:eastAsia="Arial" w:hAnsi="Arial"/>
                <w:sz w:val="18"/>
                <w:szCs w:val="18"/>
                <w:color w:val="auto"/>
              </w:rPr>
              <w:t>December 31, 2020, respectively; 0 shares issued and outstanding at December 31, 2021 and</w:t>
            </w:r>
          </w:p>
        </w:tc>
        <w:tc>
          <w:tcPr>
            <w:tcW w:w="46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400"/>
              <w:spacing w:after="0"/>
              <w:rPr>
                <w:sz w:val="20"/>
                <w:szCs w:val="20"/>
                <w:color w:val="auto"/>
              </w:rPr>
            </w:pPr>
            <w:r>
              <w:rPr>
                <w:rFonts w:ascii="Arial" w:cs="Arial" w:eastAsia="Arial" w:hAnsi="Arial"/>
                <w:sz w:val="18"/>
                <w:szCs w:val="18"/>
                <w:color w:val="auto"/>
              </w:rPr>
              <w:t>December 31, 2020, respectively</w:t>
            </w:r>
          </w:p>
        </w:tc>
        <w:tc>
          <w:tcPr>
            <w:tcW w:w="4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0"/>
              </w:rPr>
              <w:t>Class A common stock, $0.0001 par value: 380,000,000 shares authorized, 242,647,604 shares issued and</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1"/>
              </w:rPr>
              <w:t>outstanding at December 31, 2021 and $0.00001 par value: 309,584,750 shares authorized, 124 shares</w:t>
            </w:r>
          </w:p>
        </w:tc>
        <w:tc>
          <w:tcPr>
            <w:tcW w:w="4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issued and outstanding at December 31, 2020</w:t>
            </w:r>
          </w:p>
        </w:tc>
        <w:tc>
          <w:tcPr>
            <w:tcW w:w="4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40"/>
              <w:spacing w:after="0" w:line="176" w:lineRule="exact"/>
              <w:rPr>
                <w:sz w:val="20"/>
                <w:szCs w:val="20"/>
                <w:color w:val="auto"/>
              </w:rPr>
            </w:pPr>
            <w:r>
              <w:rPr>
                <w:rFonts w:ascii="Arial" w:cs="Arial" w:eastAsia="Arial" w:hAnsi="Arial"/>
                <w:sz w:val="18"/>
                <w:szCs w:val="18"/>
                <w:color w:val="auto"/>
                <w:w w:val="91"/>
              </w:rPr>
              <w:t>Class B convertible common stock, $0.00001 par value: 0 and 18,575,085 shares authorized at December</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400"/>
              <w:spacing w:after="0" w:line="176" w:lineRule="exact"/>
              <w:rPr>
                <w:sz w:val="20"/>
                <w:szCs w:val="20"/>
                <w:color w:val="auto"/>
              </w:rPr>
            </w:pPr>
            <w:r>
              <w:rPr>
                <w:rFonts w:ascii="Arial" w:cs="Arial" w:eastAsia="Arial" w:hAnsi="Arial"/>
                <w:sz w:val="18"/>
                <w:szCs w:val="18"/>
                <w:color w:val="auto"/>
                <w:w w:val="99"/>
              </w:rPr>
              <w:t>31, 2021 and December 31, 2020, respectively; 0 and 130,557 shares issued and outstanding at</w:t>
            </w:r>
          </w:p>
        </w:tc>
        <w:tc>
          <w:tcPr>
            <w:tcW w:w="46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400"/>
              <w:spacing w:after="0"/>
              <w:rPr>
                <w:sz w:val="20"/>
                <w:szCs w:val="20"/>
                <w:color w:val="auto"/>
              </w:rPr>
            </w:pPr>
            <w:r>
              <w:rPr>
                <w:rFonts w:ascii="Arial" w:cs="Arial" w:eastAsia="Arial" w:hAnsi="Arial"/>
                <w:sz w:val="18"/>
                <w:szCs w:val="18"/>
                <w:color w:val="auto"/>
              </w:rPr>
              <w:t>December 31, 2021 and December 31, 2020, respectively</w:t>
            </w:r>
          </w:p>
        </w:tc>
        <w:tc>
          <w:tcPr>
            <w:tcW w:w="4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(575,441)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(330,051)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stockholders’ equity (deficit)</w:t>
            </w: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388,103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(330,051)</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554,093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251,642</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151"/>
              <w:spacing w:after="0" w:line="224" w:lineRule="exact"/>
              <w:rPr>
                <w:sz w:val="20"/>
                <w:szCs w:val="20"/>
                <w:color w:val="auto"/>
              </w:rPr>
            </w:pPr>
            <w:r>
              <w:rPr>
                <w:rFonts w:ascii="Arial" w:cs="Arial" w:eastAsia="Arial" w:hAnsi="Arial"/>
                <w:sz w:val="18"/>
                <w:szCs w:val="18"/>
                <w:color w:val="auto"/>
                <w:w w:val="83"/>
              </w:rPr>
              <w:t>(Restated)</w:t>
            </w:r>
            <w:r>
              <w:rPr>
                <w:rFonts w:ascii="Arial" w:cs="Arial" w:eastAsia="Arial" w:hAnsi="Arial"/>
                <w:sz w:val="23"/>
                <w:szCs w:val="23"/>
                <w:color w:val="auto"/>
                <w:w w:val="83"/>
                <w:vertAlign w:val="superscript"/>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71"/>
              <w:spacing w:after="0" w:line="224" w:lineRule="exact"/>
              <w:rPr>
                <w:sz w:val="20"/>
                <w:szCs w:val="20"/>
                <w:color w:val="auto"/>
              </w:rPr>
            </w:pPr>
            <w:r>
              <w:rPr>
                <w:rFonts w:ascii="Arial" w:cs="Arial" w:eastAsia="Arial" w:hAnsi="Arial"/>
                <w:sz w:val="18"/>
                <w:szCs w:val="18"/>
                <w:color w:val="auto"/>
                <w:w w:val="93"/>
              </w:rPr>
              <w:t>(Restated)</w:t>
            </w:r>
            <w:r>
              <w:rPr>
                <w:rFonts w:ascii="Arial" w:cs="Arial" w:eastAsia="Arial" w:hAnsi="Arial"/>
                <w:sz w:val="23"/>
                <w:szCs w:val="23"/>
                <w:color w:val="auto"/>
                <w:w w:val="93"/>
                <w:vertAlign w:val="superscript"/>
              </w:rPr>
              <w:t>(1)</w:t>
            </w:r>
          </w:p>
        </w:tc>
        <w:tc>
          <w:tcPr>
            <w:tcW w:w="0" w:type="dxa"/>
            <w:vAlign w:val="bottom"/>
          </w:tcPr>
          <w:p>
            <w:pPr>
              <w:spacing w:after="0"/>
              <w:rPr>
                <w:sz w:val="1"/>
                <w:szCs w:val="1"/>
                <w:color w:val="auto"/>
              </w:rPr>
            </w:pPr>
          </w:p>
        </w:tc>
      </w:tr>
      <w:tr>
        <w:trPr>
          <w:trHeight w:val="175"/>
        </w:trPr>
        <w:tc>
          <w:tcPr>
            <w:tcW w:w="6340" w:type="dxa"/>
            <w:vAlign w:val="bottom"/>
          </w:tcPr>
          <w:p>
            <w:pPr>
              <w:ind w:left="220"/>
              <w:spacing w:after="0" w:line="176" w:lineRule="exact"/>
              <w:rPr>
                <w:sz w:val="20"/>
                <w:szCs w:val="20"/>
                <w:color w:val="auto"/>
              </w:rPr>
            </w:pPr>
            <w:r>
              <w:rPr>
                <w:rFonts w:ascii="Arial" w:cs="Arial" w:eastAsia="Arial" w:hAnsi="Arial"/>
                <w:sz w:val="18"/>
                <w:szCs w:val="18"/>
                <w:color w:val="auto"/>
                <w:w w:val="91"/>
              </w:rPr>
              <w:t>Diagnostic test revenue (including related party revenue of $90, $285 and $0 for the</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205,100</w:t>
            </w:r>
          </w:p>
        </w:tc>
        <w:tc>
          <w:tcPr>
            <w:tcW w:w="32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191,667</w:t>
            </w:r>
          </w:p>
        </w:tc>
        <w:tc>
          <w:tcPr>
            <w:tcW w:w="0" w:type="dxa"/>
            <w:vAlign w:val="bottom"/>
          </w:tcPr>
          <w:p>
            <w:pPr>
              <w:spacing w:after="0"/>
              <w:rPr>
                <w:sz w:val="1"/>
                <w:szCs w:val="1"/>
                <w:color w:val="auto"/>
              </w:rPr>
            </w:pPr>
          </w:p>
        </w:tc>
      </w:tr>
      <w:tr>
        <w:trPr>
          <w:trHeight w:val="230"/>
        </w:trPr>
        <w:tc>
          <w:tcPr>
            <w:tcW w:w="6340" w:type="dxa"/>
            <w:vAlign w:val="bottom"/>
          </w:tcPr>
          <w:p>
            <w:pPr>
              <w:ind w:left="400"/>
              <w:spacing w:after="0"/>
              <w:rPr>
                <w:sz w:val="20"/>
                <w:szCs w:val="20"/>
                <w:color w:val="auto"/>
              </w:rPr>
            </w:pPr>
            <w:r>
              <w:rPr>
                <w:rFonts w:ascii="Arial" w:cs="Arial" w:eastAsia="Arial" w:hAnsi="Arial"/>
                <w:sz w:val="18"/>
                <w:szCs w:val="18"/>
                <w:color w:val="auto"/>
              </w:rPr>
              <w:t>years ended December 31, 2021, 2020, and 2019, respectively)</w:t>
            </w:r>
          </w:p>
        </w:tc>
        <w:tc>
          <w:tcPr>
            <w:tcW w:w="34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1"/>
              </w:rPr>
              <w:t>Other revenue (including related party revenue of $232, $3 and $1,180 for the years</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ended December 31, 2021, 2020, and 2019, respectively)</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196,174</w:t>
            </w:r>
          </w:p>
        </w:tc>
        <w:tc>
          <w:tcPr>
            <w:tcW w:w="0" w:type="dxa"/>
            <w:vAlign w:val="bottom"/>
          </w:tcPr>
          <w:p>
            <w:pPr>
              <w:spacing w:after="0"/>
              <w:rPr>
                <w:sz w:val="1"/>
                <w:szCs w:val="1"/>
                <w:color w:val="auto"/>
              </w:rPr>
            </w:pPr>
          </w:p>
        </w:tc>
      </w:tr>
      <w:tr>
        <w:trPr>
          <w:trHeight w:val="156"/>
        </w:trPr>
        <w:tc>
          <w:tcPr>
            <w:tcW w:w="63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0"/>
              </w:rPr>
              <w:t>Cost of services (including related party expenses of $3,975, $2,189 and $1,859 for the</w:t>
            </w:r>
          </w:p>
        </w:tc>
        <w:tc>
          <w:tcPr>
            <w:tcW w:w="3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228,797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175,296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113,389</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years ended December 31, 2021, 2020, and 2019, respectively)</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Gross (loss) profit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82,785</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112,738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63,183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39,352</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0" w:type="dxa"/>
            <w:vAlign w:val="bottom"/>
          </w:tcPr>
          <w:p>
            <w:pPr>
              <w:spacing w:after="0"/>
              <w:rPr>
                <w:sz w:val="1"/>
                <w:szCs w:val="1"/>
                <w:color w:val="auto"/>
              </w:rPr>
            </w:pPr>
          </w:p>
        </w:tc>
      </w:tr>
      <w:tr>
        <w:trPr>
          <w:trHeight w:val="229"/>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0" w:type="dxa"/>
            <w:vAlign w:val="bottom"/>
          </w:tcPr>
          <w:p>
            <w:pPr>
              <w:spacing w:after="0"/>
              <w:rPr>
                <w:sz w:val="1"/>
                <w:szCs w:val="1"/>
                <w:color w:val="auto"/>
              </w:rPr>
            </w:pPr>
          </w:p>
        </w:tc>
      </w:tr>
      <w:tr>
        <w:trPr>
          <w:trHeight w:val="209"/>
        </w:trPr>
        <w:tc>
          <w:tcPr>
            <w:tcW w:w="63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market value of warrant and earn-out contingent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30"/>
        </w:trPr>
        <w:tc>
          <w:tcPr>
            <w:tcW w:w="6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200,759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(32,743)</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Class A common stock</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108,077,439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A common stock</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(2.27)</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(47,036)</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(264,056)</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13" w:lineRule="exact"/>
        <w:rPr>
          <w:sz w:val="20"/>
          <w:szCs w:val="20"/>
          <w:color w:val="auto"/>
        </w:rPr>
      </w:pPr>
    </w:p>
    <w:p>
      <w:pPr>
        <w:ind w:left="340" w:right="280" w:hanging="332"/>
        <w:spacing w:after="0" w:line="248" w:lineRule="auto"/>
        <w:tabs>
          <w:tab w:leader="none" w:pos="332" w:val="left"/>
        </w:tabs>
        <w:numPr>
          <w:ilvl w:val="0"/>
          <w:numId w:val="96"/>
        </w:numPr>
        <w:rPr>
          <w:rFonts w:ascii="Arial" w:cs="Arial" w:eastAsia="Arial" w:hAnsi="Arial"/>
          <w:sz w:val="14"/>
          <w:szCs w:val="14"/>
          <w:color w:val="auto"/>
        </w:rPr>
      </w:pPr>
      <w:r>
        <w:rPr>
          <w:rFonts w:ascii="Arial" w:cs="Arial" w:eastAsia="Arial" w:hAnsi="Arial"/>
          <w:sz w:val="14"/>
          <w:szCs w:val="14"/>
          <w:color w:val="auto"/>
        </w:rPr>
        <w:t>Certain expenses were previously misclassified as cost of services. These expenses are now reported as selling and marketing. This adjustment has no impact on total revenue, loss from operations, net loss and comprehensive loss or net loss per share. Refer to Note 2, “Summary of Significant Accounting Policies” to our consolidated financial statements for further information.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Sema4 Holdings Corp.</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 of Redeemable Convertible Preferred Stock and Stockholders’ Equity (Deficit)</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14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1"/>
              </w:rPr>
              <w:t>Redeemable Convertible</w:t>
            </w:r>
          </w:p>
        </w:tc>
        <w:tc>
          <w:tcPr>
            <w:tcW w:w="60" w:type="dxa"/>
            <w:vAlign w:val="bottom"/>
          </w:tcPr>
          <w:p>
            <w:pPr>
              <w:spacing w:after="0"/>
              <w:rPr>
                <w:sz w:val="14"/>
                <w:szCs w:val="14"/>
                <w:color w:val="auto"/>
              </w:rPr>
            </w:pPr>
          </w:p>
        </w:tc>
        <w:tc>
          <w:tcPr>
            <w:tcW w:w="198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Class A Common Stock</w:t>
            </w:r>
          </w:p>
        </w:tc>
        <w:tc>
          <w:tcPr>
            <w:tcW w:w="194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Class B Common Stock</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214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3"/>
              </w:rPr>
              <w:t>Preferred Stock</w:t>
            </w:r>
          </w:p>
        </w:tc>
        <w:tc>
          <w:tcPr>
            <w:tcW w:w="60" w:type="dxa"/>
            <w:vAlign w:val="bottom"/>
          </w:tcPr>
          <w:p>
            <w:pPr>
              <w:spacing w:after="0"/>
              <w:rPr>
                <w:sz w:val="16"/>
                <w:szCs w:val="16"/>
                <w:color w:val="auto"/>
              </w:rPr>
            </w:pPr>
          </w:p>
        </w:tc>
        <w:tc>
          <w:tcPr>
            <w:tcW w:w="1980" w:type="dxa"/>
            <w:vAlign w:val="bottom"/>
            <w:gridSpan w:val="5"/>
            <w:vMerge w:val="continue"/>
          </w:tcPr>
          <w:p>
            <w:pPr>
              <w:spacing w:after="0"/>
              <w:rPr>
                <w:sz w:val="16"/>
                <w:szCs w:val="16"/>
                <w:color w:val="auto"/>
              </w:rPr>
            </w:pPr>
          </w:p>
        </w:tc>
        <w:tc>
          <w:tcPr>
            <w:tcW w:w="194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18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center"/>
              <w:ind w:right="73"/>
              <w:spacing w:after="0" w:line="118"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9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0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right w:val="single" w:sz="8" w:color="auto"/>
            </w:tcBorders>
            <w:vMerge w:val="restart"/>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3"/>
              </w:rPr>
              <w:t>Per Value</w:t>
            </w:r>
          </w:p>
        </w:tc>
        <w:tc>
          <w:tcPr>
            <w:tcW w:w="80" w:type="dxa"/>
            <w:vAlign w:val="bottom"/>
            <w:vMerge w:val="restart"/>
          </w:tcPr>
          <w:p>
            <w:pPr>
              <w:spacing w:after="0"/>
              <w:rPr>
                <w:sz w:val="11"/>
                <w:szCs w:val="11"/>
                <w:color w:val="auto"/>
              </w:rPr>
            </w:pPr>
          </w:p>
        </w:tc>
        <w:tc>
          <w:tcPr>
            <w:tcW w:w="9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rPr>
              <w:t>Per Value</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paid-in</w:t>
            </w:r>
          </w:p>
        </w:tc>
        <w:tc>
          <w:tcPr>
            <w:tcW w:w="10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73"/>
              <w:spacing w:after="0" w:line="13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88"/>
        </w:trPr>
        <w:tc>
          <w:tcPr>
            <w:tcW w:w="21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right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2"/>
              </w:rPr>
              <w:t>deficit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4"/>
              </w:rPr>
              <w:t>(deficit)</w:t>
            </w:r>
          </w:p>
        </w:tc>
        <w:tc>
          <w:tcPr>
            <w:tcW w:w="0" w:type="dxa"/>
            <w:vAlign w:val="bottom"/>
          </w:tcPr>
          <w:p>
            <w:pPr>
              <w:spacing w:after="0"/>
              <w:rPr>
                <w:sz w:val="1"/>
                <w:szCs w:val="1"/>
                <w:color w:val="auto"/>
              </w:rPr>
            </w:pPr>
          </w:p>
        </w:tc>
      </w:tr>
      <w:tr>
        <w:trPr>
          <w:trHeight w:val="157"/>
        </w:trPr>
        <w:tc>
          <w:tcPr>
            <w:tcW w:w="218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b w:val="1"/>
                <w:bCs w:val="1"/>
                <w:color w:val="auto"/>
              </w:rPr>
              <w:t>Balance at December 31,</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102,039,134</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64,355</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(55,968)</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(55,968)</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2018</w:t>
            </w: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tcPr>
          <w:p>
            <w:pPr>
              <w:ind w:left="220"/>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Preferred Series A</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3,061,173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w:t>
            </w: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220"/>
              <w:spacing w:after="0"/>
              <w:rPr>
                <w:sz w:val="20"/>
                <w:szCs w:val="20"/>
                <w:color w:val="auto"/>
              </w:rPr>
            </w:pPr>
            <w:r>
              <w:rPr>
                <w:rFonts w:ascii="Arial" w:cs="Arial" w:eastAsia="Arial" w:hAnsi="Arial"/>
                <w:sz w:val="18"/>
                <w:szCs w:val="18"/>
                <w:color w:val="auto"/>
              </w:rPr>
              <w:t>Capital contributions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30,897</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1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Issuance of Preferred</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Series B, net of</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41,937,960</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issuance costs</w:t>
            </w: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18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 at December 31,</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w w:val="93"/>
              </w:rPr>
              <w:t>147,038,267</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217,115</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(88,711)</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(88,711)</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Arial" w:cs="Arial" w:eastAsia="Arial" w:hAnsi="Arial"/>
                <w:sz w:val="18"/>
                <w:szCs w:val="18"/>
                <w:b w:val="1"/>
                <w:bCs w:val="1"/>
                <w:color w:val="auto"/>
              </w:rPr>
              <w:t>2019</w:t>
            </w: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(241,340)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(241,340)</w:t>
            </w:r>
          </w:p>
        </w:tc>
        <w:tc>
          <w:tcPr>
            <w:tcW w:w="0" w:type="dxa"/>
            <w:vAlign w:val="bottom"/>
          </w:tcPr>
          <w:p>
            <w:pPr>
              <w:spacing w:after="0"/>
              <w:rPr>
                <w:sz w:val="1"/>
                <w:szCs w:val="1"/>
                <w:color w:val="auto"/>
              </w:rPr>
            </w:pPr>
          </w:p>
        </w:tc>
      </w:tr>
      <w:tr>
        <w:trPr>
          <w:trHeight w:val="176"/>
        </w:trPr>
        <w:tc>
          <w:tcPr>
            <w:tcW w:w="2180" w:type="dxa"/>
            <w:vAlign w:val="bottom"/>
          </w:tcPr>
          <w:p>
            <w:pPr>
              <w:ind w:left="220"/>
              <w:spacing w:after="0" w:line="176" w:lineRule="exact"/>
              <w:rPr>
                <w:sz w:val="20"/>
                <w:szCs w:val="20"/>
                <w:color w:val="auto"/>
              </w:rPr>
            </w:pPr>
            <w:r>
              <w:rPr>
                <w:rFonts w:ascii="Arial" w:cs="Arial" w:eastAsia="Arial" w:hAnsi="Arial"/>
                <w:sz w:val="18"/>
                <w:szCs w:val="18"/>
                <w:color w:val="auto"/>
              </w:rPr>
              <w:t>Preferred Series A</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130,557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80" w:type="dxa"/>
            <w:vAlign w:val="bottom"/>
          </w:tcPr>
          <w:p>
            <w:pPr>
              <w:ind w:left="220"/>
              <w:spacing w:after="0"/>
              <w:rPr>
                <w:sz w:val="20"/>
                <w:szCs w:val="20"/>
                <w:color w:val="auto"/>
              </w:rPr>
            </w:pPr>
            <w:r>
              <w:rPr>
                <w:rFonts w:ascii="Arial" w:cs="Arial" w:eastAsia="Arial" w:hAnsi="Arial"/>
                <w:sz w:val="18"/>
                <w:szCs w:val="18"/>
                <w:color w:val="auto"/>
              </w:rPr>
              <w:t>dividend</w:t>
            </w:r>
          </w:p>
        </w:tc>
        <w:tc>
          <w:tcPr>
            <w:tcW w:w="11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contributions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24,496,946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18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 at December 31,</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w w:val="93"/>
              </w:rPr>
              <w:t>171,535,213</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130,557</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95"/>
              </w:rPr>
              <w:t>(330,051)</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93"/>
              </w:rPr>
              <w:t>(330,051)</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Arial" w:cs="Arial" w:eastAsia="Arial" w:hAnsi="Arial"/>
                <w:sz w:val="18"/>
                <w:szCs w:val="18"/>
                <w:b w:val="1"/>
                <w:bCs w:val="1"/>
                <w:color w:val="auto"/>
              </w:rPr>
              <w:t>2020</w:t>
            </w: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(245,390)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(245,390)</w:t>
            </w:r>
          </w:p>
        </w:tc>
        <w:tc>
          <w:tcPr>
            <w:tcW w:w="0" w:type="dxa"/>
            <w:vAlign w:val="bottom"/>
          </w:tcPr>
          <w:p>
            <w:pPr>
              <w:spacing w:after="0"/>
              <w:rPr>
                <w:sz w:val="1"/>
                <w:szCs w:val="1"/>
                <w:color w:val="auto"/>
              </w:rPr>
            </w:pPr>
          </w:p>
        </w:tc>
      </w:tr>
      <w:tr>
        <w:trPr>
          <w:trHeight w:val="230"/>
        </w:trPr>
        <w:tc>
          <w:tcPr>
            <w:tcW w:w="2180" w:type="dxa"/>
            <w:vAlign w:val="bottom"/>
          </w:tcPr>
          <w:p>
            <w:pPr>
              <w:ind w:left="220"/>
              <w:spacing w:after="0"/>
              <w:rPr>
                <w:sz w:val="20"/>
                <w:szCs w:val="20"/>
                <w:color w:val="auto"/>
              </w:rPr>
            </w:pPr>
            <w:r>
              <w:rPr>
                <w:rFonts w:ascii="Arial" w:cs="Arial" w:eastAsia="Arial" w:hAnsi="Arial"/>
                <w:sz w:val="18"/>
                <w:szCs w:val="18"/>
                <w:color w:val="auto"/>
              </w:rPr>
              <w:t>Stock option exercises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995,526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1,253,179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175"/>
        </w:trPr>
        <w:tc>
          <w:tcPr>
            <w:tcW w:w="21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Conversion of Preferred</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(171,535,213)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(334,439)</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148,543,062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104,517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104,532</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w:t>
            </w: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80" w:type="dxa"/>
            <w:vAlign w:val="bottom"/>
          </w:tcPr>
          <w:p>
            <w:pPr>
              <w:ind w:left="220"/>
              <w:spacing w:after="0" w:line="176" w:lineRule="exact"/>
              <w:rPr>
                <w:sz w:val="20"/>
                <w:szCs w:val="20"/>
                <w:color w:val="auto"/>
              </w:rPr>
            </w:pPr>
            <w:r>
              <w:rPr>
                <w:rFonts w:ascii="Arial" w:cs="Arial" w:eastAsia="Arial" w:hAnsi="Arial"/>
                <w:sz w:val="18"/>
                <w:szCs w:val="18"/>
                <w:color w:val="auto"/>
              </w:rPr>
              <w:t>Conversion of Class B</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1,309,320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5"/>
              </w:rPr>
              <w:t>(1,383,736)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(744)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30"/>
        </w:trPr>
        <w:tc>
          <w:tcPr>
            <w:tcW w:w="218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11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Net equity infusion from</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90,333,562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510,742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510,751</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the Business Combination</w:t>
            </w:r>
          </w:p>
        </w:tc>
        <w:tc>
          <w:tcPr>
            <w:tcW w:w="11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80" w:type="dxa"/>
            <w:vAlign w:val="bottom"/>
          </w:tcPr>
          <w:p>
            <w:pPr>
              <w:ind w:left="220"/>
              <w:spacing w:after="0" w:line="176" w:lineRule="exact"/>
              <w:rPr>
                <w:sz w:val="20"/>
                <w:szCs w:val="20"/>
                <w:color w:val="auto"/>
              </w:rPr>
            </w:pPr>
            <w:r>
              <w:rPr>
                <w:rFonts w:ascii="Arial" w:cs="Arial" w:eastAsia="Arial" w:hAnsi="Arial"/>
                <w:sz w:val="18"/>
                <w:szCs w:val="18"/>
                <w:color w:val="auto"/>
                <w:w w:val="89"/>
              </w:rPr>
              <w:t>Stock based compensation</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80" w:type="dxa"/>
            <w:vAlign w:val="bottom"/>
          </w:tcPr>
          <w:p>
            <w:pPr>
              <w:ind w:left="220"/>
              <w:spacing w:after="0" w:line="176" w:lineRule="exact"/>
              <w:rPr>
                <w:sz w:val="20"/>
                <w:szCs w:val="20"/>
                <w:color w:val="auto"/>
              </w:rPr>
            </w:pPr>
            <w:r>
              <w:rPr>
                <w:rFonts w:ascii="Arial" w:cs="Arial" w:eastAsia="Arial" w:hAnsi="Arial"/>
                <w:sz w:val="18"/>
                <w:szCs w:val="18"/>
                <w:color w:val="auto"/>
              </w:rPr>
              <w:t>modification</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304,837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304,837</w:t>
            </w:r>
          </w:p>
        </w:tc>
        <w:tc>
          <w:tcPr>
            <w:tcW w:w="0" w:type="dxa"/>
            <w:vAlign w:val="bottom"/>
          </w:tcPr>
          <w:p>
            <w:pPr>
              <w:spacing w:after="0"/>
              <w:rPr>
                <w:sz w:val="1"/>
                <w:szCs w:val="1"/>
                <w:color w:val="auto"/>
              </w:rPr>
            </w:pPr>
          </w:p>
        </w:tc>
      </w:tr>
      <w:tr>
        <w:trPr>
          <w:trHeight w:val="230"/>
        </w:trPr>
        <w:tc>
          <w:tcPr>
            <w:tcW w:w="2180" w:type="dxa"/>
            <w:vAlign w:val="bottom"/>
          </w:tcPr>
          <w:p>
            <w:pPr>
              <w:ind w:left="220"/>
              <w:spacing w:after="0"/>
              <w:rPr>
                <w:sz w:val="20"/>
                <w:szCs w:val="20"/>
                <w:color w:val="auto"/>
              </w:rPr>
            </w:pPr>
            <w:r>
              <w:rPr>
                <w:rFonts w:ascii="Arial" w:cs="Arial" w:eastAsia="Arial" w:hAnsi="Arial"/>
                <w:sz w:val="18"/>
                <w:szCs w:val="18"/>
                <w:color w:val="auto"/>
              </w:rPr>
              <w:t>reclassification</w:t>
            </w:r>
          </w:p>
        </w:tc>
        <w:tc>
          <w:tcPr>
            <w:tcW w:w="11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89"/>
              </w:rPr>
              <w:t>Stock based compensation</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42,385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42,385</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w:t>
            </w:r>
          </w:p>
        </w:tc>
        <w:tc>
          <w:tcPr>
            <w:tcW w:w="11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80" w:type="dxa"/>
            <w:vAlign w:val="bottom"/>
          </w:tcPr>
          <w:p>
            <w:pPr>
              <w:ind w:left="220"/>
              <w:spacing w:after="0" w:line="176" w:lineRule="exact"/>
              <w:rPr>
                <w:sz w:val="20"/>
                <w:szCs w:val="20"/>
                <w:color w:val="auto"/>
              </w:rPr>
            </w:pPr>
            <w:r>
              <w:rPr>
                <w:rFonts w:ascii="Arial" w:cs="Arial" w:eastAsia="Arial" w:hAnsi="Arial"/>
                <w:sz w:val="18"/>
                <w:szCs w:val="18"/>
                <w:color w:val="auto"/>
              </w:rPr>
              <w:t>Vested restricted stock</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80" w:type="dxa"/>
            <w:vAlign w:val="bottom"/>
          </w:tcPr>
          <w:p>
            <w:pPr>
              <w:ind w:left="400"/>
              <w:spacing w:after="0" w:line="176" w:lineRule="exact"/>
              <w:rPr>
                <w:sz w:val="20"/>
                <w:szCs w:val="20"/>
                <w:color w:val="auto"/>
              </w:rPr>
            </w:pPr>
            <w:r>
              <w:rPr>
                <w:rFonts w:ascii="Arial" w:cs="Arial" w:eastAsia="Arial" w:hAnsi="Arial"/>
                <w:sz w:val="18"/>
                <w:szCs w:val="18"/>
                <w:color w:val="auto"/>
              </w:rPr>
              <w:t>units converted to</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vMerge w:val="restart"/>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1,466,010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restart"/>
          </w:tcPr>
          <w:p>
            <w:pPr>
              <w:ind w:left="48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restart"/>
          </w:tcPr>
          <w:p>
            <w:pPr>
              <w:ind w:left="52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8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common stock</w:t>
            </w: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right w:val="single" w:sz="8" w:color="auto"/>
            </w:tcBorders>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1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 December 31,</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242,647,604</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963,520</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(575,441)</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388,103</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2021</w:t>
            </w:r>
          </w:p>
        </w:tc>
        <w:tc>
          <w:tcPr>
            <w:tcW w:w="112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8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180" w:name="page181"/>
    <w:bookmarkEnd w:id="18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(245,390)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6,407</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Change in fair value of warrant and contingent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(198,401)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excess and obsolete inventory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Non-cash lease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extinguishment of debt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operating assets and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46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(4,567)</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w:t>
            </w:r>
          </w:p>
        </w:tc>
        <w:tc>
          <w:tcPr>
            <w:tcW w:w="0" w:type="dxa"/>
            <w:vAlign w:val="bottom"/>
          </w:tcPr>
          <w:p>
            <w:pPr>
              <w:spacing w:after="0"/>
              <w:rPr>
                <w:sz w:val="1"/>
                <w:szCs w:val="1"/>
                <w:color w:val="auto"/>
              </w:rPr>
            </w:pPr>
          </w:p>
        </w:tc>
      </w:tr>
      <w:tr>
        <w:trPr>
          <w:trHeight w:val="230"/>
        </w:trPr>
        <w:tc>
          <w:tcPr>
            <w:tcW w:w="6360" w:type="dxa"/>
            <w:vAlign w:val="bottom"/>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Due to/from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30"/>
        </w:trPr>
        <w:tc>
          <w:tcPr>
            <w:tcW w:w="6360" w:type="dxa"/>
            <w:vAlign w:val="bottom"/>
          </w:tcPr>
          <w:p>
            <w:pPr>
              <w:ind w:left="46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12,847</w:t>
            </w:r>
          </w:p>
        </w:tc>
        <w:tc>
          <w:tcPr>
            <w:tcW w:w="0" w:type="dxa"/>
            <w:vAlign w:val="bottom"/>
          </w:tcPr>
          <w:p>
            <w:pPr>
              <w:spacing w:after="0"/>
              <w:rPr>
                <w:sz w:val="1"/>
                <w:szCs w:val="1"/>
                <w:color w:val="auto"/>
              </w:rPr>
            </w:pPr>
          </w:p>
        </w:tc>
      </w:tr>
      <w:tr>
        <w:trPr>
          <w:trHeight w:val="230"/>
        </w:trPr>
        <w:tc>
          <w:tcPr>
            <w:tcW w:w="6360" w:type="dxa"/>
            <w:vAlign w:val="bottom"/>
          </w:tcPr>
          <w:p>
            <w:pPr>
              <w:ind w:left="460"/>
              <w:spacing w:after="0"/>
              <w:rPr>
                <w:sz w:val="20"/>
                <w:szCs w:val="20"/>
                <w:color w:val="auto"/>
              </w:rPr>
            </w:pPr>
            <w:r>
              <w:rPr>
                <w:rFonts w:ascii="Arial" w:cs="Arial" w:eastAsia="Arial" w:hAnsi="Arial"/>
                <w:sz w:val="18"/>
                <w:szCs w:val="18"/>
                <w:color w:val="auto"/>
              </w:rPr>
              <w:t>Contract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(190,434)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(93,128)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(18,728)</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(11,923)</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Development of internal-use software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20"/>
              <w:spacing w:after="0" w:line="176" w:lineRule="exact"/>
              <w:rPr>
                <w:sz w:val="20"/>
                <w:szCs w:val="20"/>
                <w:color w:val="auto"/>
              </w:rPr>
            </w:pPr>
            <w:r>
              <w:rPr>
                <w:rFonts w:ascii="Arial" w:cs="Arial" w:eastAsia="Arial" w:hAnsi="Arial"/>
                <w:sz w:val="18"/>
                <w:szCs w:val="18"/>
                <w:color w:val="auto"/>
                <w:w w:val="96"/>
              </w:rPr>
              <w:t>Proceeds from issuance of Series B redeemable convertible preferred stock, net of</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118,824</w:t>
            </w:r>
          </w:p>
        </w:tc>
        <w:tc>
          <w:tcPr>
            <w:tcW w:w="0" w:type="dxa"/>
            <w:vAlign w:val="bottom"/>
          </w:tcPr>
          <w:p>
            <w:pPr>
              <w:spacing w:after="0"/>
              <w:rPr>
                <w:sz w:val="1"/>
                <w:szCs w:val="1"/>
                <w:color w:val="auto"/>
              </w:rPr>
            </w:pPr>
          </w:p>
        </w:tc>
      </w:tr>
      <w:tr>
        <w:trPr>
          <w:trHeight w:val="229"/>
        </w:trPr>
        <w:tc>
          <w:tcPr>
            <w:tcW w:w="6360" w:type="dxa"/>
            <w:vAlign w:val="bottom"/>
          </w:tcPr>
          <w:p>
            <w:pPr>
              <w:ind w:left="180"/>
              <w:spacing w:after="0"/>
              <w:rPr>
                <w:sz w:val="20"/>
                <w:szCs w:val="20"/>
                <w:color w:val="auto"/>
              </w:rPr>
            </w:pPr>
            <w:r>
              <w:rPr>
                <w:rFonts w:ascii="Arial" w:cs="Arial" w:eastAsia="Arial" w:hAnsi="Arial"/>
                <w:sz w:val="18"/>
                <w:szCs w:val="18"/>
                <w:color w:val="auto"/>
              </w:rPr>
              <w:t>issuance costs</w:t>
            </w: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Proceeds from issuance of Series C redeemable convertible preferred stock, net of</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costs</w:t>
            </w: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Proceeds from Prior PIPE issuance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equity infusion from the merger, net of redemptions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Legacy Sema4 Shareholder payout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(230,665)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transaction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Stock Appreciation Rights payout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long-term debt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contributions from ISMMS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Proceeds from long-term debt</w:t>
            </w:r>
          </w:p>
        </w:tc>
        <w:tc>
          <w:tcPr>
            <w:tcW w:w="5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15,928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principal payments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Debt issuance costs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lease principal payments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493,729</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129,056</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148,012</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6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282,509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113,828</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118,960</w:t>
            </w: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115,006</w:t>
            </w: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year</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401,469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118,960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115,006</w:t>
            </w:r>
          </w:p>
        </w:tc>
      </w:tr>
      <w:tr>
        <w:trPr>
          <w:trHeight w:val="203"/>
        </w:trPr>
        <w:tc>
          <w:tcPr>
            <w:tcW w:w="6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Cash paid for taxes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Purchases of property and equipment in accounts payable and accrued expenses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Software development costs in accounts payable and accrued expenses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1,040</w:t>
            </w:r>
          </w:p>
        </w:tc>
      </w:tr>
      <w:tr>
        <w:trPr>
          <w:trHeight w:val="229"/>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Non-cash Series A redeemable convertible preferred stock dividends declared and paid $</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Debt issuance costs incurred but unpaid</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Sema4 Holdings Corp., formerly Mount Sinai Genomics Inc., a Delaware corporation (“Legacy Sema4”), as discussed further below, provides genomics-related diagnostic and information services and pursues genomics medical research. Legacy Sema4 utilizes an integrated portfolio of laboratory processes, software tools and informatics capabilities to process DNA-containing samples, analyze information about patient-specific genetic variation and generate test reports for clinicians and their patients. Legacy Sema4 provides a variety of genetic diagnostic tests and information with a focus on reproductive health, including pediatric, oncology and other conditions. In 2020, the Legacy Sema4 began to provide diagnostic testing services in response to the outbreak of the coronavirus (“COVID-19”) pandemic. On December 15, 2021, it was announced that COVID-19 testing services would be discontinued by March 31, 2022. Legacy Sema4 primarily serves healthcare professionals who work with their patients and bills third-party payors across the United States, with a substantial portion of its diagnostic testing volume occurring in New York, California, Florida, Connecticut and New Jersey.</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22, 2021 (the “Closing Date”), CM Life Sciences, Inc. (“CMLS”) completed the acquisition of Legacy Sema4, pursuant to that certain Agreement and Plan of Merger (as amended, the “Merger Agreement”), dated February 9, 2021. On the Closing Date, S-IV Sub, Inc. (“Merger Sub”) merged with and into the Legacy Sema4, with Legacy Sema4 surviving the merger as a wholly-owned subsidiary of CMLS (the “Merger” and, together with the other transactions contemplated by the Merger Agreement, the “Business Combination”). In connection with the consummation of the Business Combination, CMLS changed its name to “Sema4 Holdings Corp.” (“Sema4 Holdings”) and Legacy Sema4 changed its name to “Sema4 OpCo, Inc.” All equity securities of Legacy Sema4 were converted into the right to receive the applicable portion of the merger consideration.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Merger was accounted for as a reverse recapitalization with Legacy Sema4 as the accounting acquirer and CMLS as the acquired company for accounting purposes. The shares and net loss per common share, prior to the Merger, have been retroactively restated as shares reflecting the exchange ratio established in the Merger (1 share of Legacy Sema4 Class A common stock for 123.8339 shares of Sema4 Holdings Class A common stock) (the “Conversion Ratio”).</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Merger, shares of CMLS Class A common stock, CMLS’s public warrants, and CMLS’s public units were traded on the Nasdaq Capital Market under the ticker symbols “CMLF”, “CMFLW”, and “CMLFU” respectively. On July 23, 2021, shares of Sema4 Holdings Class A common stock and Sema4 Holdings’ public warrants began trading on the Nasdaq Global Select Market (the “Nasdaq”) under the ticker symbols “SMFR” and “SMFRW,” respectively. See Note 3, “Business Combination,” for additional details.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otherwise stated herein or unless the context otherwise requires, references in these notes to the “Company,” or “Sema4” refer to (i) Legacy Sema4 prior to the consummation of the Business Combination; and (ii) Sema4 Holdings and its subsidiary following the consummation of the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(“U.S. GAAP”). The Company’s historical financial information includes costs of certain services historically provided by Icahn School of Medicine at Mount Sinai (“ISMMS”) pursuant to the Transition Services Agreement ("TSA") and service.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Restatement – 2020 and 2019 annual statements of operations and comprehensive loss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classifies expenses incurred that directly relate to the delivery of revenue as cost of services in its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expanded accounting resources, the Company identified the misclassification of certain expenses related to the genetic counseling department reported in cost of services that should have been reported in selling and marketing in the prior period financial statements. The Company quantified the amount and determined it necessary to restate its previously reported balances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2020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2019</w:t>
            </w:r>
          </w:p>
        </w:tc>
        <w:tc>
          <w:tcPr>
            <w:tcW w:w="1080" w:type="dxa"/>
            <w:vAlign w:val="bottom"/>
            <w:tcBorders>
              <w:bottom w:val="single" w:sz="8" w:color="auto"/>
            </w:tcBorders>
          </w:tcPr>
          <w:p>
            <w:pPr>
              <w:spacing w:after="0"/>
              <w:rPr>
                <w:sz w:val="16"/>
                <w:szCs w:val="16"/>
                <w:color w:val="auto"/>
              </w:rPr>
            </w:pPr>
          </w:p>
        </w:tc>
      </w:tr>
      <w:tr>
        <w:trPr>
          <w:trHeight w:val="187"/>
        </w:trPr>
        <w:tc>
          <w:tcPr>
            <w:tcW w:w="3100" w:type="dxa"/>
            <w:vAlign w:val="bottom"/>
          </w:tcPr>
          <w:p>
            <w:pPr>
              <w:spacing w:after="0"/>
              <w:rPr>
                <w:sz w:val="16"/>
                <w:szCs w:val="16"/>
                <w:color w:val="auto"/>
              </w:rPr>
            </w:pPr>
          </w:p>
        </w:tc>
        <w:tc>
          <w:tcPr>
            <w:tcW w:w="1300" w:type="dxa"/>
            <w:vAlign w:val="bottom"/>
            <w:gridSpan w:val="2"/>
          </w:tcPr>
          <w:p>
            <w:pPr>
              <w:ind w:left="240"/>
              <w:spacing w:after="0"/>
              <w:rPr>
                <w:sz w:val="20"/>
                <w:szCs w:val="20"/>
                <w:color w:val="auto"/>
              </w:rPr>
            </w:pPr>
            <w:r>
              <w:rPr>
                <w:rFonts w:ascii="Arial" w:cs="Arial" w:eastAsia="Arial" w:hAnsi="Arial"/>
                <w:sz w:val="14"/>
                <w:szCs w:val="14"/>
                <w:b w:val="1"/>
                <w:bCs w:val="1"/>
                <w:color w:val="auto"/>
              </w:rPr>
              <w:t>As reported</w:t>
            </w:r>
          </w:p>
        </w:tc>
        <w:tc>
          <w:tcPr>
            <w:tcW w:w="1640" w:type="dxa"/>
            <w:vAlign w:val="bottom"/>
            <w:gridSpan w:val="2"/>
          </w:tcPr>
          <w:p>
            <w:pPr>
              <w:ind w:left="260"/>
              <w:spacing w:after="0"/>
              <w:rPr>
                <w:sz w:val="20"/>
                <w:szCs w:val="20"/>
                <w:color w:val="auto"/>
              </w:rPr>
            </w:pPr>
            <w:r>
              <w:rPr>
                <w:rFonts w:ascii="Arial" w:cs="Arial" w:eastAsia="Arial" w:hAnsi="Arial"/>
                <w:sz w:val="14"/>
                <w:szCs w:val="14"/>
                <w:b w:val="1"/>
                <w:bCs w:val="1"/>
                <w:color w:val="auto"/>
              </w:rPr>
              <w:t>Misclassification</w:t>
            </w:r>
          </w:p>
        </w:tc>
        <w:tc>
          <w:tcPr>
            <w:tcW w:w="1080" w:type="dxa"/>
            <w:vAlign w:val="bottom"/>
          </w:tcPr>
          <w:p>
            <w:pPr>
              <w:jc w:val="right"/>
              <w:ind w:right="172"/>
              <w:spacing w:after="0"/>
              <w:rPr>
                <w:sz w:val="20"/>
                <w:szCs w:val="20"/>
                <w:color w:val="auto"/>
              </w:rPr>
            </w:pPr>
            <w:r>
              <w:rPr>
                <w:rFonts w:ascii="Arial" w:cs="Arial" w:eastAsia="Arial" w:hAnsi="Arial"/>
                <w:sz w:val="14"/>
                <w:szCs w:val="14"/>
                <w:b w:val="1"/>
                <w:bCs w:val="1"/>
                <w:color w:val="auto"/>
              </w:rPr>
              <w:t>Restated</w:t>
            </w:r>
          </w:p>
        </w:tc>
        <w:tc>
          <w:tcPr>
            <w:tcW w:w="100" w:type="dxa"/>
            <w:vAlign w:val="bottom"/>
          </w:tcPr>
          <w:p>
            <w:pPr>
              <w:spacing w:after="0"/>
              <w:rPr>
                <w:sz w:val="16"/>
                <w:szCs w:val="16"/>
                <w:color w:val="auto"/>
              </w:rPr>
            </w:pPr>
          </w:p>
        </w:tc>
        <w:tc>
          <w:tcPr>
            <w:tcW w:w="1300" w:type="dxa"/>
            <w:vAlign w:val="bottom"/>
            <w:gridSpan w:val="2"/>
          </w:tcPr>
          <w:p>
            <w:pPr>
              <w:ind w:left="240"/>
              <w:spacing w:after="0"/>
              <w:rPr>
                <w:sz w:val="20"/>
                <w:szCs w:val="20"/>
                <w:color w:val="auto"/>
              </w:rPr>
            </w:pPr>
            <w:r>
              <w:rPr>
                <w:rFonts w:ascii="Arial" w:cs="Arial" w:eastAsia="Arial" w:hAnsi="Arial"/>
                <w:sz w:val="14"/>
                <w:szCs w:val="14"/>
                <w:b w:val="1"/>
                <w:bCs w:val="1"/>
                <w:color w:val="auto"/>
              </w:rPr>
              <w:t>As reported</w:t>
            </w:r>
          </w:p>
        </w:tc>
        <w:tc>
          <w:tcPr>
            <w:tcW w:w="1640" w:type="dxa"/>
            <w:vAlign w:val="bottom"/>
            <w:gridSpan w:val="2"/>
          </w:tcPr>
          <w:p>
            <w:pPr>
              <w:ind w:left="260"/>
              <w:spacing w:after="0"/>
              <w:rPr>
                <w:sz w:val="20"/>
                <w:szCs w:val="20"/>
                <w:color w:val="auto"/>
              </w:rPr>
            </w:pPr>
            <w:r>
              <w:rPr>
                <w:rFonts w:ascii="Arial" w:cs="Arial" w:eastAsia="Arial" w:hAnsi="Arial"/>
                <w:sz w:val="14"/>
                <w:szCs w:val="14"/>
                <w:b w:val="1"/>
                <w:bCs w:val="1"/>
                <w:color w:val="auto"/>
              </w:rPr>
              <w:t>Misclassification</w:t>
            </w:r>
          </w:p>
        </w:tc>
        <w:tc>
          <w:tcPr>
            <w:tcW w:w="1080" w:type="dxa"/>
            <w:vAlign w:val="bottom"/>
          </w:tcPr>
          <w:p>
            <w:pPr>
              <w:jc w:val="right"/>
              <w:ind w:right="192"/>
              <w:spacing w:after="0"/>
              <w:rPr>
                <w:sz w:val="20"/>
                <w:szCs w:val="20"/>
                <w:color w:val="auto"/>
              </w:rPr>
            </w:pPr>
            <w:r>
              <w:rPr>
                <w:rFonts w:ascii="Arial" w:cs="Arial" w:eastAsia="Arial" w:hAnsi="Arial"/>
                <w:sz w:val="14"/>
                <w:szCs w:val="14"/>
                <w:b w:val="1"/>
                <w:bCs w:val="1"/>
                <w:color w:val="auto"/>
              </w:rPr>
              <w:t>Restated</w:t>
            </w:r>
          </w:p>
        </w:tc>
      </w:tr>
      <w:tr>
        <w:trPr>
          <w:trHeight w:val="224"/>
        </w:trPr>
        <w:tc>
          <w:tcPr>
            <w:tcW w:w="31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179,322</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196,174</w:t>
            </w:r>
          </w:p>
        </w:tc>
      </w:tr>
      <w:tr>
        <w:trPr>
          <w:trHeight w:val="230"/>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184,648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(9,352)</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175,296</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119,623</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(6,234)</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113,389</w:t>
            </w:r>
          </w:p>
        </w:tc>
      </w:tr>
      <w:tr>
        <w:trPr>
          <w:trHeight w:val="223"/>
        </w:trPr>
        <w:tc>
          <w:tcPr>
            <w:tcW w:w="3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(loss) profit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4,026</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76,551</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82,785</w:t>
            </w:r>
          </w:p>
        </w:tc>
      </w:tr>
      <w:tr>
        <w:trPr>
          <w:trHeight w:val="223"/>
        </w:trPr>
        <w:tc>
          <w:tcPr>
            <w:tcW w:w="31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200" w:type="dxa"/>
            <w:vAlign w:val="bottom"/>
          </w:tcPr>
          <w:p>
            <w:pPr>
              <w:jc w:val="right"/>
              <w:spacing w:after="0"/>
              <w:rPr>
                <w:sz w:val="20"/>
                <w:szCs w:val="20"/>
                <w:color w:val="auto"/>
              </w:rPr>
            </w:pPr>
            <w:r>
              <w:rPr>
                <w:rFonts w:ascii="Arial" w:cs="Arial" w:eastAsia="Arial" w:hAnsi="Arial"/>
                <w:sz w:val="18"/>
                <w:szCs w:val="18"/>
                <w:color w:val="auto"/>
              </w:rPr>
              <w:t>72,700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72,700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34,910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34,910</w:t>
            </w: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63,183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39,352</w:t>
            </w: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200" w:type="dxa"/>
            <w:vAlign w:val="bottom"/>
          </w:tcPr>
          <w:p>
            <w:pPr>
              <w:jc w:val="right"/>
              <w:spacing w:after="0"/>
              <w:rPr>
                <w:sz w:val="20"/>
                <w:szCs w:val="20"/>
                <w:color w:val="auto"/>
              </w:rPr>
            </w:pPr>
            <w:r>
              <w:rPr>
                <w:rFonts w:ascii="Arial" w:cs="Arial" w:eastAsia="Arial" w:hAnsi="Arial"/>
                <w:sz w:val="18"/>
                <w:szCs w:val="18"/>
                <w:color w:val="auto"/>
              </w:rPr>
              <w:t>100,742</w:t>
            </w:r>
          </w:p>
        </w:tc>
        <w:tc>
          <w:tcPr>
            <w:tcW w:w="10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100,742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29,484</w:t>
            </w:r>
          </w:p>
        </w:tc>
        <w:tc>
          <w:tcPr>
            <w:tcW w:w="10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29,484</w:t>
            </w: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9,395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9,452</w:t>
            </w:r>
          </w:p>
        </w:tc>
      </w:tr>
      <w:tr>
        <w:trPr>
          <w:trHeight w:val="223"/>
        </w:trPr>
        <w:tc>
          <w:tcPr>
            <w:tcW w:w="31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Loss from operations</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(241,994)</w:t>
            </w:r>
          </w:p>
        </w:tc>
        <w:tc>
          <w:tcPr>
            <w:tcW w:w="10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(241,994)</w:t>
            </w: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(30,413)</w:t>
            </w:r>
          </w:p>
        </w:tc>
        <w:tc>
          <w:tcPr>
            <w:tcW w:w="10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(30,413)</w:t>
            </w:r>
          </w:p>
        </w:tc>
      </w:tr>
      <w:tr>
        <w:trPr>
          <w:trHeight w:val="22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net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654</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709</w:t>
            </w:r>
          </w:p>
        </w:tc>
      </w:tr>
      <w:tr>
        <w:trPr>
          <w:trHeight w:val="223"/>
        </w:trPr>
        <w:tc>
          <w:tcPr>
            <w:tcW w:w="3100" w:type="dxa"/>
            <w:vAlign w:val="bottom"/>
          </w:tcPr>
          <w:p>
            <w:pPr>
              <w:ind w:left="240"/>
              <w:spacing w:after="0"/>
              <w:rPr>
                <w:sz w:val="20"/>
                <w:szCs w:val="20"/>
                <w:color w:val="auto"/>
              </w:rPr>
            </w:pPr>
            <w:r>
              <w:rPr>
                <w:rFonts w:ascii="Arial" w:cs="Arial" w:eastAsia="Arial" w:hAnsi="Arial"/>
                <w:sz w:val="18"/>
                <w:szCs w:val="18"/>
                <w:color w:val="auto"/>
              </w:rPr>
              <w:t>Net loss and comprehensive loss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(241,340)</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(29,704)</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(29,704)</w:t>
            </w:r>
          </w:p>
        </w:tc>
      </w:tr>
      <w:tr>
        <w:trPr>
          <w:trHeight w:val="20"/>
        </w:trPr>
        <w:tc>
          <w:tcPr>
            <w:tcW w:w="3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misclassification did not have any impact to the Company's net loss or net loss per share as reported in the statements of operations and comprehensive loss in any interim or annual periods. Included in the misclassification amount is stock-based compensation expense of $1 million for 2020. There was no impact of misclassification for 2019 related to stock-based compensation expense.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Restatement – 2021 and 2020 interim financial statements (unaudited)</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the Company has identified quarterly out of period adjustments generally related to recognition of cost of services in the quarterly periods ended March 31, 2021, June 30, 2021 and September 30, 2021. The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of the misclassification and quarterly out of period adjustments identified on each of the three months periods in the year ended December 31, 2021 and 2020 are disclosed as follows (in thousands):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2021 interim statements of operations and comprehensive loss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left="830"/>
              <w:spacing w:after="0"/>
              <w:rPr>
                <w:sz w:val="20"/>
                <w:szCs w:val="20"/>
                <w:color w:val="auto"/>
              </w:rPr>
            </w:pPr>
            <w:r>
              <w:rPr>
                <w:rFonts w:ascii="Arial" w:cs="Arial" w:eastAsia="Arial" w:hAnsi="Arial"/>
                <w:sz w:val="13"/>
                <w:szCs w:val="13"/>
                <w:b w:val="1"/>
                <w:bCs w:val="1"/>
                <w:color w:val="auto"/>
                <w:w w:val="92"/>
              </w:rPr>
              <w:t>First</w:t>
            </w: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6"/>
          </w:tcPr>
          <w:p>
            <w:pPr>
              <w:jc w:val="center"/>
              <w:ind w:right="1020"/>
              <w:spacing w:after="0"/>
              <w:rPr>
                <w:sz w:val="20"/>
                <w:szCs w:val="20"/>
                <w:color w:val="auto"/>
              </w:rPr>
            </w:pPr>
            <w:r>
              <w:rPr>
                <w:rFonts w:ascii="Arial" w:cs="Arial" w:eastAsia="Arial" w:hAnsi="Arial"/>
                <w:sz w:val="13"/>
                <w:szCs w:val="13"/>
                <w:b w:val="1"/>
                <w:bCs w:val="1"/>
                <w:color w:val="auto"/>
                <w:w w:val="80"/>
              </w:rPr>
              <w:t>Second</w:t>
            </w: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3"/>
                <w:szCs w:val="13"/>
                <w:b w:val="1"/>
                <w:bCs w:val="1"/>
                <w:color w:val="auto"/>
                <w:w w:val="93"/>
              </w:rPr>
              <w:t>Quarter</w:t>
            </w: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7"/>
          </w:tcPr>
          <w:p>
            <w:pPr>
              <w:jc w:val="center"/>
              <w:ind w:right="900"/>
              <w:spacing w:after="0"/>
              <w:rPr>
                <w:sz w:val="20"/>
                <w:szCs w:val="20"/>
                <w:color w:val="auto"/>
              </w:rPr>
            </w:pPr>
            <w:r>
              <w:rPr>
                <w:rFonts w:ascii="Arial" w:cs="Arial" w:eastAsia="Arial" w:hAnsi="Arial"/>
                <w:sz w:val="13"/>
                <w:szCs w:val="13"/>
                <w:b w:val="1"/>
                <w:bCs w:val="1"/>
                <w:color w:val="auto"/>
                <w:w w:val="93"/>
              </w:rPr>
              <w:t>Quarter</w:t>
            </w: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160" w:type="dxa"/>
            <w:vAlign w:val="bottom"/>
            <w:gridSpan w:val="2"/>
          </w:tcPr>
          <w:p>
            <w:pPr>
              <w:jc w:val="center"/>
              <w:ind w:right="100"/>
              <w:spacing w:after="0" w:line="121" w:lineRule="exact"/>
              <w:rPr>
                <w:sz w:val="20"/>
                <w:szCs w:val="20"/>
                <w:color w:val="auto"/>
              </w:rPr>
            </w:pPr>
            <w:r>
              <w:rPr>
                <w:rFonts w:ascii="Arial" w:cs="Arial" w:eastAsia="Arial" w:hAnsi="Arial"/>
                <w:sz w:val="13"/>
                <w:szCs w:val="13"/>
                <w:b w:val="1"/>
                <w:bCs w:val="1"/>
                <w:color w:val="auto"/>
                <w:w w:val="83"/>
              </w:rPr>
              <w:t>As</w:t>
            </w:r>
          </w:p>
        </w:tc>
        <w:tc>
          <w:tcPr>
            <w:tcW w:w="13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Misclass-ification</w:t>
            </w:r>
          </w:p>
        </w:tc>
        <w:tc>
          <w:tcPr>
            <w:tcW w:w="122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Adjustment</w:t>
            </w:r>
          </w:p>
        </w:tc>
        <w:tc>
          <w:tcPr>
            <w:tcW w:w="940" w:type="dxa"/>
            <w:vAlign w:val="bottom"/>
            <w:gridSpan w:val="4"/>
            <w:vMerge w:val="restart"/>
          </w:tcPr>
          <w:p>
            <w:pPr>
              <w:ind w:left="80"/>
              <w:spacing w:after="0"/>
              <w:rPr>
                <w:sz w:val="20"/>
                <w:szCs w:val="20"/>
                <w:color w:val="auto"/>
              </w:rPr>
            </w:pPr>
            <w:r>
              <w:rPr>
                <w:rFonts w:ascii="Arial" w:cs="Arial" w:eastAsia="Arial" w:hAnsi="Arial"/>
                <w:sz w:val="13"/>
                <w:szCs w:val="13"/>
                <w:b w:val="1"/>
                <w:bCs w:val="1"/>
                <w:color w:val="auto"/>
              </w:rPr>
              <w:t>Restated</w:t>
            </w:r>
          </w:p>
        </w:tc>
        <w:tc>
          <w:tcPr>
            <w:tcW w:w="1040" w:type="dxa"/>
            <w:vAlign w:val="bottom"/>
            <w:gridSpan w:val="3"/>
          </w:tcPr>
          <w:p>
            <w:pPr>
              <w:jc w:val="right"/>
              <w:ind w:right="440"/>
              <w:spacing w:after="0" w:line="121" w:lineRule="exact"/>
              <w:rPr>
                <w:sz w:val="20"/>
                <w:szCs w:val="20"/>
                <w:color w:val="auto"/>
              </w:rPr>
            </w:pPr>
            <w:r>
              <w:rPr>
                <w:rFonts w:ascii="Arial" w:cs="Arial" w:eastAsia="Arial" w:hAnsi="Arial"/>
                <w:sz w:val="13"/>
                <w:szCs w:val="13"/>
                <w:b w:val="1"/>
                <w:bCs w:val="1"/>
                <w:color w:val="auto"/>
              </w:rPr>
              <w:t>As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4"/>
            <w:vMerge w:val="restart"/>
          </w:tcPr>
          <w:p>
            <w:pPr>
              <w:ind w:left="60"/>
              <w:spacing w:after="0"/>
              <w:rPr>
                <w:sz w:val="20"/>
                <w:szCs w:val="20"/>
                <w:color w:val="auto"/>
              </w:rPr>
            </w:pPr>
            <w:r>
              <w:rPr>
                <w:rFonts w:ascii="Arial" w:cs="Arial" w:eastAsia="Arial" w:hAnsi="Arial"/>
                <w:sz w:val="13"/>
                <w:szCs w:val="13"/>
                <w:b w:val="1"/>
                <w:bCs w:val="1"/>
                <w:color w:val="auto"/>
                <w:w w:val="99"/>
              </w:rPr>
              <w:t>Misclass-ification</w:t>
            </w:r>
          </w:p>
        </w:tc>
        <w:tc>
          <w:tcPr>
            <w:tcW w:w="1200" w:type="dxa"/>
            <w:vAlign w:val="bottom"/>
            <w:gridSpan w:val="4"/>
            <w:vMerge w:val="restart"/>
          </w:tcPr>
          <w:p>
            <w:pPr>
              <w:ind w:left="240"/>
              <w:spacing w:after="0"/>
              <w:rPr>
                <w:sz w:val="20"/>
                <w:szCs w:val="20"/>
                <w:color w:val="auto"/>
              </w:rPr>
            </w:pPr>
            <w:r>
              <w:rPr>
                <w:rFonts w:ascii="Arial" w:cs="Arial" w:eastAsia="Arial" w:hAnsi="Arial"/>
                <w:sz w:val="13"/>
                <w:szCs w:val="13"/>
                <w:b w:val="1"/>
                <w:bCs w:val="1"/>
                <w:color w:val="auto"/>
              </w:rPr>
              <w:t>Adjustment</w:t>
            </w:r>
          </w:p>
        </w:tc>
        <w:tc>
          <w:tcPr>
            <w:tcW w:w="1060" w:type="dxa"/>
            <w:vAlign w:val="bottom"/>
            <w:vMerge w:val="restart"/>
          </w:tcPr>
          <w:p>
            <w:pPr>
              <w:jc w:val="right"/>
              <w:ind w:right="230"/>
              <w:spacing w:after="0"/>
              <w:rPr>
                <w:sz w:val="20"/>
                <w:szCs w:val="20"/>
                <w:color w:val="auto"/>
              </w:rPr>
            </w:pPr>
            <w:r>
              <w:rPr>
                <w:rFonts w:ascii="Arial" w:cs="Arial" w:eastAsia="Arial" w:hAnsi="Arial"/>
                <w:sz w:val="13"/>
                <w:szCs w:val="13"/>
                <w:b w:val="1"/>
                <w:bCs w:val="1"/>
                <w:color w:val="auto"/>
              </w:rPr>
              <w:t>Restated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reported</w:t>
            </w:r>
          </w:p>
        </w:tc>
        <w:tc>
          <w:tcPr>
            <w:tcW w:w="1360" w:type="dxa"/>
            <w:vAlign w:val="bottom"/>
            <w:gridSpan w:val="3"/>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reported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64,351</w:t>
            </w: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64,201</w:t>
            </w: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46,865</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150</w:t>
            </w: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47,015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tcPr>
          <w:p>
            <w:pPr>
              <w:ind w:left="20"/>
              <w:spacing w:after="0"/>
              <w:rPr>
                <w:sz w:val="20"/>
                <w:szCs w:val="20"/>
                <w:color w:val="auto"/>
              </w:rPr>
            </w:pPr>
            <w:r>
              <w:rPr>
                <w:rFonts w:ascii="Arial" w:cs="Arial" w:eastAsia="Arial" w:hAnsi="Arial"/>
                <w:sz w:val="14"/>
                <w:szCs w:val="14"/>
                <w:color w:val="auto"/>
              </w:rPr>
              <w:t>Cost of services</w:t>
            </w:r>
          </w:p>
        </w:tc>
        <w:tc>
          <w:tcPr>
            <w:tcW w:w="1060" w:type="dxa"/>
            <w:vAlign w:val="bottom"/>
          </w:tcPr>
          <w:p>
            <w:pPr>
              <w:jc w:val="right"/>
              <w:spacing w:after="0"/>
              <w:rPr>
                <w:sz w:val="20"/>
                <w:szCs w:val="20"/>
                <w:color w:val="auto"/>
              </w:rPr>
            </w:pPr>
            <w:r>
              <w:rPr>
                <w:rFonts w:ascii="Arial" w:cs="Arial" w:eastAsia="Arial" w:hAnsi="Arial"/>
                <w:sz w:val="14"/>
                <w:szCs w:val="14"/>
                <w:color w:val="auto"/>
              </w:rPr>
              <w:t>71,812</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68,524</w:t>
            </w:r>
          </w:p>
        </w:tc>
        <w:tc>
          <w:tcPr>
            <w:tcW w:w="100" w:type="dxa"/>
            <w:vAlign w:val="bottom"/>
          </w:tcPr>
          <w:p>
            <w:pPr>
              <w:spacing w:after="0"/>
              <w:rPr>
                <w:sz w:val="16"/>
                <w:szCs w:val="16"/>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4"/>
                <w:szCs w:val="14"/>
                <w:color w:val="auto"/>
              </w:rPr>
              <w:t>49,631</w:t>
            </w:r>
          </w:p>
        </w:tc>
        <w:tc>
          <w:tcPr>
            <w:tcW w:w="1180" w:type="dxa"/>
            <w:vAlign w:val="bottom"/>
            <w:gridSpan w:val="5"/>
          </w:tcPr>
          <w:p>
            <w:pPr>
              <w:jc w:val="right"/>
              <w:spacing w:after="0"/>
              <w:rPr>
                <w:sz w:val="20"/>
                <w:szCs w:val="20"/>
                <w:color w:val="auto"/>
              </w:rPr>
            </w:pPr>
            <w:r>
              <w:rPr>
                <w:rFonts w:ascii="Arial" w:cs="Arial" w:eastAsia="Arial" w:hAnsi="Arial"/>
                <w:sz w:val="14"/>
                <w:szCs w:val="14"/>
                <w:color w:val="auto"/>
              </w:rPr>
              <w:t>(2,287)</w:t>
            </w:r>
          </w:p>
        </w:tc>
        <w:tc>
          <w:tcPr>
            <w:tcW w:w="10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835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48,179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(loss) profit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(7,461)</w:t>
            </w: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3,837</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(699)</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(4,323)</w:t>
            </w: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(2,766)</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2,287</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(685)</w:t>
            </w: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9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60" w:type="dxa"/>
            <w:vAlign w:val="bottom"/>
          </w:tcPr>
          <w:p>
            <w:pPr>
              <w:jc w:val="right"/>
              <w:spacing w:after="0"/>
              <w:rPr>
                <w:sz w:val="20"/>
                <w:szCs w:val="20"/>
                <w:color w:val="auto"/>
              </w:rPr>
            </w:pPr>
            <w:r>
              <w:rPr>
                <w:rFonts w:ascii="Arial" w:cs="Arial" w:eastAsia="Arial" w:hAnsi="Arial"/>
                <w:sz w:val="14"/>
                <w:szCs w:val="14"/>
                <w:color w:val="auto"/>
              </w:rPr>
              <w:t>53,131</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53,133</w:t>
            </w:r>
          </w:p>
        </w:tc>
        <w:tc>
          <w:tcPr>
            <w:tcW w:w="100" w:type="dxa"/>
            <w:vAlign w:val="bottom"/>
          </w:tcPr>
          <w:p>
            <w:pPr>
              <w:spacing w:after="0"/>
              <w:rPr>
                <w:sz w:val="15"/>
                <w:szCs w:val="15"/>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4"/>
                <w:szCs w:val="14"/>
                <w:color w:val="auto"/>
              </w:rPr>
              <w:t>11,954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11,952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and marketing</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31,569</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35,366</w:t>
            </w: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16,247</w:t>
            </w: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2,287</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18,574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060" w:type="dxa"/>
            <w:vAlign w:val="bottom"/>
          </w:tcPr>
          <w:p>
            <w:pPr>
              <w:jc w:val="right"/>
              <w:spacing w:after="0"/>
              <w:rPr>
                <w:sz w:val="20"/>
                <w:szCs w:val="20"/>
                <w:color w:val="auto"/>
              </w:rPr>
            </w:pPr>
            <w:r>
              <w:rPr>
                <w:rFonts w:ascii="Arial" w:cs="Arial" w:eastAsia="Arial" w:hAnsi="Arial"/>
                <w:sz w:val="14"/>
                <w:szCs w:val="14"/>
                <w:color w:val="auto"/>
              </w:rPr>
              <w:t>101,917</w:t>
            </w:r>
          </w:p>
        </w:tc>
        <w:tc>
          <w:tcPr>
            <w:tcW w:w="100" w:type="dxa"/>
            <w:vAlign w:val="bottom"/>
          </w:tcPr>
          <w:p>
            <w:pPr>
              <w:spacing w:after="0"/>
              <w:rPr>
                <w:sz w:val="16"/>
                <w:szCs w:val="16"/>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102,038</w:t>
            </w:r>
          </w:p>
        </w:tc>
        <w:tc>
          <w:tcPr>
            <w:tcW w:w="100" w:type="dxa"/>
            <w:vAlign w:val="bottom"/>
          </w:tcPr>
          <w:p>
            <w:pPr>
              <w:spacing w:after="0"/>
              <w:rPr>
                <w:sz w:val="16"/>
                <w:szCs w:val="16"/>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4"/>
                <w:szCs w:val="14"/>
                <w:color w:val="auto"/>
              </w:rPr>
              <w:t>12,794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76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12,870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party expenses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1,797</w:t>
            </w:r>
          </w:p>
        </w:tc>
        <w:tc>
          <w:tcPr>
            <w:tcW w:w="10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1,797</w:t>
            </w: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888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Loss from operations</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(195,875)</w:t>
            </w:r>
          </w:p>
        </w:tc>
        <w:tc>
          <w:tcPr>
            <w:tcW w:w="10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(782)</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(196,657)</w:t>
            </w:r>
          </w:p>
        </w:tc>
        <w:tc>
          <w:tcPr>
            <w:tcW w:w="10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(44,649)</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(799)</w:t>
            </w:r>
          </w:p>
        </w:tc>
        <w:tc>
          <w:tcPr>
            <w:tcW w:w="10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(45,448)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 net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4,882</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4,882</w:t>
            </w:r>
          </w:p>
        </w:tc>
        <w:tc>
          <w:tcPr>
            <w:tcW w:w="100" w:type="dxa"/>
            <w:vAlign w:val="bottom"/>
            <w:shd w:val="clear" w:color="auto" w:fill="CCEEFF"/>
          </w:tcPr>
          <w:p>
            <w:pPr>
              <w:spacing w:after="0"/>
              <w:rPr>
                <w:sz w:val="15"/>
                <w:szCs w:val="15"/>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(713)</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40" w:type="dxa"/>
            <w:vAlign w:val="bottom"/>
          </w:tcPr>
          <w:p>
            <w:pPr>
              <w:ind w:left="20"/>
              <w:spacing w:after="0" w:line="115" w:lineRule="exact"/>
              <w:rPr>
                <w:sz w:val="20"/>
                <w:szCs w:val="20"/>
                <w:color w:val="auto"/>
              </w:rPr>
            </w:pPr>
            <w:r>
              <w:rPr>
                <w:rFonts w:ascii="Arial" w:cs="Arial" w:eastAsia="Arial" w:hAnsi="Arial"/>
                <w:sz w:val="13"/>
                <w:szCs w:val="13"/>
                <w:color w:val="auto"/>
              </w:rPr>
              <w:t>Net (loss) income and</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(190,993)</w:t>
            </w:r>
          </w:p>
        </w:tc>
        <w:tc>
          <w:tcPr>
            <w:tcW w:w="100" w:type="dxa"/>
            <w:vAlign w:val="bottom"/>
          </w:tcPr>
          <w:p>
            <w:pPr>
              <w:spacing w:after="0"/>
              <w:rPr>
                <w:sz w:val="10"/>
                <w:szCs w:val="10"/>
                <w:color w:val="auto"/>
              </w:rPr>
            </w:pPr>
          </w:p>
        </w:tc>
        <w:tc>
          <w:tcPr>
            <w:tcW w:w="1360" w:type="dxa"/>
            <w:vAlign w:val="bottom"/>
            <w:gridSpan w:val="3"/>
            <w:vMerge w:val="restart"/>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(782)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(191,775)</w:t>
            </w:r>
          </w:p>
        </w:tc>
        <w:tc>
          <w:tcPr>
            <w:tcW w:w="100" w:type="dxa"/>
            <w:vAlign w:val="bottom"/>
          </w:tcPr>
          <w:p>
            <w:pPr>
              <w:spacing w:after="0"/>
              <w:rPr>
                <w:sz w:val="10"/>
                <w:szCs w:val="10"/>
                <w:color w:val="auto"/>
              </w:rPr>
            </w:pP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color w:val="auto"/>
              </w:rPr>
              <w:t>(45,362)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(799)</w:t>
            </w:r>
          </w:p>
        </w:tc>
        <w:tc>
          <w:tcPr>
            <w:tcW w:w="1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(46,161)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ind w:left="180"/>
              <w:spacing w:after="0"/>
              <w:rPr>
                <w:sz w:val="20"/>
                <w:szCs w:val="20"/>
                <w:color w:val="auto"/>
              </w:rPr>
            </w:pPr>
            <w:r>
              <w:rPr>
                <w:rFonts w:ascii="Arial" w:cs="Arial" w:eastAsia="Arial" w:hAnsi="Arial"/>
                <w:sz w:val="14"/>
                <w:szCs w:val="14"/>
                <w:color w:val="auto"/>
              </w:rPr>
              <w:t>comprehensive loss</w:t>
            </w: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Third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center"/>
              <w:ind w:right="50"/>
              <w:spacing w:after="0"/>
              <w:rPr>
                <w:sz w:val="20"/>
                <w:szCs w:val="20"/>
                <w:color w:val="auto"/>
              </w:rPr>
            </w:pPr>
            <w:r>
              <w:rPr>
                <w:rFonts w:ascii="Arial" w:cs="Arial" w:eastAsia="Arial" w:hAnsi="Arial"/>
                <w:sz w:val="13"/>
                <w:szCs w:val="13"/>
                <w:b w:val="1"/>
                <w:bCs w:val="1"/>
                <w:color w:val="auto"/>
                <w:w w:val="92"/>
              </w:rPr>
              <w:t>Fourth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Quarter</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3"/>
              </w:rPr>
              <w:t>Quarter</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gridSpan w:val="3"/>
          </w:tcPr>
          <w:p>
            <w:pPr>
              <w:jc w:val="center"/>
              <w:ind w:left="230"/>
              <w:spacing w:after="0" w:line="121" w:lineRule="exact"/>
              <w:rPr>
                <w:sz w:val="20"/>
                <w:szCs w:val="20"/>
                <w:color w:val="auto"/>
              </w:rPr>
            </w:pPr>
            <w:r>
              <w:rPr>
                <w:rFonts w:ascii="Arial" w:cs="Arial" w:eastAsia="Arial" w:hAnsi="Arial"/>
                <w:sz w:val="13"/>
                <w:szCs w:val="13"/>
                <w:b w:val="1"/>
                <w:bCs w:val="1"/>
                <w:color w:val="auto"/>
                <w:w w:val="83"/>
              </w:rPr>
              <w:t>As</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5"/>
            <w:vMerge w:val="restart"/>
          </w:tcPr>
          <w:p>
            <w:pPr>
              <w:jc w:val="right"/>
              <w:ind w:right="500"/>
              <w:spacing w:after="0"/>
              <w:rPr>
                <w:sz w:val="20"/>
                <w:szCs w:val="20"/>
                <w:color w:val="auto"/>
              </w:rPr>
            </w:pPr>
            <w:r>
              <w:rPr>
                <w:rFonts w:ascii="Arial" w:cs="Arial" w:eastAsia="Arial" w:hAnsi="Arial"/>
                <w:sz w:val="13"/>
                <w:szCs w:val="13"/>
                <w:b w:val="1"/>
                <w:bCs w:val="1"/>
                <w:color w:val="auto"/>
                <w:w w:val="97"/>
              </w:rPr>
              <w:t>Misclass-ification</w:t>
            </w:r>
          </w:p>
        </w:tc>
        <w:tc>
          <w:tcPr>
            <w:tcW w:w="1280" w:type="dxa"/>
            <w:vAlign w:val="bottom"/>
            <w:gridSpan w:val="6"/>
            <w:vMerge w:val="restart"/>
          </w:tcPr>
          <w:p>
            <w:pPr>
              <w:ind w:left="20"/>
              <w:spacing w:after="0"/>
              <w:rPr>
                <w:sz w:val="20"/>
                <w:szCs w:val="20"/>
                <w:color w:val="auto"/>
              </w:rPr>
            </w:pPr>
            <w:r>
              <w:rPr>
                <w:rFonts w:ascii="Arial" w:cs="Arial" w:eastAsia="Arial" w:hAnsi="Arial"/>
                <w:sz w:val="13"/>
                <w:szCs w:val="13"/>
                <w:b w:val="1"/>
                <w:bCs w:val="1"/>
                <w:color w:val="auto"/>
              </w:rPr>
              <w:t>Adjustment</w:t>
            </w:r>
          </w:p>
        </w:tc>
        <w:tc>
          <w:tcPr>
            <w:tcW w:w="1200" w:type="dxa"/>
            <w:vAlign w:val="bottom"/>
            <w:gridSpan w:val="4"/>
            <w:vMerge w:val="restart"/>
          </w:tcPr>
          <w:p>
            <w:pPr>
              <w:ind w:left="120"/>
              <w:spacing w:after="0"/>
              <w:rPr>
                <w:sz w:val="20"/>
                <w:szCs w:val="20"/>
                <w:color w:val="auto"/>
              </w:rPr>
            </w:pPr>
            <w:r>
              <w:rPr>
                <w:rFonts w:ascii="Arial" w:cs="Arial" w:eastAsia="Arial" w:hAnsi="Arial"/>
                <w:sz w:val="13"/>
                <w:szCs w:val="13"/>
                <w:b w:val="1"/>
                <w:bCs w:val="1"/>
                <w:color w:val="auto"/>
              </w:rPr>
              <w:t>Restated</w:t>
            </w:r>
          </w:p>
        </w:tc>
        <w:tc>
          <w:tcPr>
            <w:tcW w:w="1060" w:type="dxa"/>
            <w:vAlign w:val="bottom"/>
          </w:tcPr>
          <w:p>
            <w:pPr>
              <w:jc w:val="center"/>
              <w:ind w:right="50"/>
              <w:spacing w:after="0" w:line="121" w:lineRule="exact"/>
              <w:rPr>
                <w:sz w:val="20"/>
                <w:szCs w:val="20"/>
                <w:color w:val="auto"/>
              </w:rPr>
            </w:pPr>
            <w:r>
              <w:rPr>
                <w:rFonts w:ascii="Arial" w:cs="Arial" w:eastAsia="Arial" w:hAnsi="Arial"/>
                <w:sz w:val="13"/>
                <w:szCs w:val="13"/>
                <w:b w:val="1"/>
                <w:bCs w:val="1"/>
                <w:color w:val="auto"/>
                <w:w w:val="83"/>
              </w:rPr>
              <w:t>As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3"/>
          </w:tcPr>
          <w:p>
            <w:pPr>
              <w:jc w:val="center"/>
              <w:ind w:left="230"/>
              <w:spacing w:after="0"/>
              <w:rPr>
                <w:sz w:val="20"/>
                <w:szCs w:val="20"/>
                <w:color w:val="auto"/>
              </w:rPr>
            </w:pPr>
            <w:r>
              <w:rPr>
                <w:rFonts w:ascii="Arial" w:cs="Arial" w:eastAsia="Arial" w:hAnsi="Arial"/>
                <w:sz w:val="13"/>
                <w:szCs w:val="13"/>
                <w:b w:val="1"/>
                <w:bCs w:val="1"/>
                <w:color w:val="auto"/>
                <w:w w:val="87"/>
              </w:rPr>
              <w:t>reported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vMerge w:val="continue"/>
          </w:tcPr>
          <w:p>
            <w:pPr>
              <w:spacing w:after="0"/>
              <w:rPr>
                <w:sz w:val="14"/>
                <w:szCs w:val="14"/>
                <w:color w:val="auto"/>
              </w:rPr>
            </w:pPr>
          </w:p>
        </w:tc>
        <w:tc>
          <w:tcPr>
            <w:tcW w:w="1280" w:type="dxa"/>
            <w:vAlign w:val="bottom"/>
            <w:gridSpan w:val="6"/>
            <w:vMerge w:val="continue"/>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1060" w:type="dxa"/>
            <w:vAlign w:val="bottom"/>
          </w:tcPr>
          <w:p>
            <w:pPr>
              <w:jc w:val="center"/>
              <w:ind w:right="10"/>
              <w:spacing w:after="0"/>
              <w:rPr>
                <w:sz w:val="20"/>
                <w:szCs w:val="20"/>
                <w:color w:val="auto"/>
              </w:rPr>
            </w:pPr>
            <w:r>
              <w:rPr>
                <w:rFonts w:ascii="Arial" w:cs="Arial" w:eastAsia="Arial" w:hAnsi="Arial"/>
                <w:sz w:val="13"/>
                <w:szCs w:val="13"/>
                <w:b w:val="1"/>
                <w:bCs w:val="1"/>
                <w:color w:val="auto"/>
                <w:w w:val="87"/>
              </w:rPr>
              <w:t>reported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revenue</w:t>
            </w:r>
          </w:p>
        </w:tc>
        <w:tc>
          <w:tcPr>
            <w:tcW w:w="10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43,178</w:t>
            </w:r>
          </w:p>
        </w:tc>
        <w:tc>
          <w:tcPr>
            <w:tcW w:w="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gridSpan w:val="2"/>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43,178</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57,801</w:t>
            </w:r>
          </w:p>
        </w:tc>
        <w:tc>
          <w:tcPr>
            <w:tcW w:w="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4"/>
                <w:szCs w:val="14"/>
                <w:color w:val="auto"/>
              </w:rPr>
              <w:t>Cost of services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5"/>
          </w:tcPr>
          <w:p>
            <w:pPr>
              <w:jc w:val="right"/>
              <w:spacing w:after="0"/>
              <w:rPr>
                <w:sz w:val="20"/>
                <w:szCs w:val="20"/>
                <w:color w:val="auto"/>
              </w:rPr>
            </w:pPr>
            <w:r>
              <w:rPr>
                <w:rFonts w:ascii="Arial" w:cs="Arial" w:eastAsia="Arial" w:hAnsi="Arial"/>
                <w:sz w:val="14"/>
                <w:szCs w:val="14"/>
                <w:color w:val="auto"/>
              </w:rPr>
              <w:t>58,752</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(6,031)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(1,234)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51,487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60,607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Borders>
              <w:top w:val="single" w:sz="8" w:color="CCEEFF"/>
            </w:tcBorders>
            <w:shd w:val="clear" w:color="auto" w:fill="CCEEFF"/>
          </w:tcPr>
          <w:p>
            <w:pPr>
              <w:spacing w:after="0"/>
              <w:rPr>
                <w:sz w:val="15"/>
                <w:szCs w:val="15"/>
                <w:color w:val="auto"/>
              </w:rPr>
            </w:pPr>
          </w:p>
        </w:tc>
        <w:tc>
          <w:tcPr>
            <w:tcW w:w="1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Gross (loss) profit</w:t>
            </w:r>
          </w:p>
        </w:tc>
        <w:tc>
          <w:tcPr>
            <w:tcW w:w="10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(15,574)</w:t>
            </w: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6,031</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1,234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(8,309)</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(2,806)</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4"/>
                <w:szCs w:val="14"/>
                <w:color w:val="auto"/>
              </w:rPr>
              <w:t>Research and development</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4"/>
          </w:tcPr>
          <w:p>
            <w:pPr>
              <w:jc w:val="right"/>
              <w:spacing w:after="0"/>
              <w:rPr>
                <w:sz w:val="20"/>
                <w:szCs w:val="20"/>
                <w:color w:val="auto"/>
              </w:rPr>
            </w:pPr>
            <w:r>
              <w:rPr>
                <w:rFonts w:ascii="Arial" w:cs="Arial" w:eastAsia="Arial" w:hAnsi="Arial"/>
                <w:sz w:val="14"/>
                <w:szCs w:val="14"/>
                <w:color w:val="auto"/>
              </w:rPr>
              <w:t>17,831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17,831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22,246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Selling and marketing</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22,121</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6,031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28,152</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30,646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5"/>
          </w:tcPr>
          <w:p>
            <w:pPr>
              <w:jc w:val="right"/>
              <w:spacing w:after="0"/>
              <w:rPr>
                <w:sz w:val="20"/>
                <w:szCs w:val="20"/>
                <w:color w:val="auto"/>
              </w:rPr>
            </w:pPr>
            <w:r>
              <w:rPr>
                <w:rFonts w:ascii="Arial" w:cs="Arial" w:eastAsia="Arial" w:hAnsi="Arial"/>
                <w:sz w:val="14"/>
                <w:szCs w:val="14"/>
                <w:color w:val="auto"/>
              </w:rPr>
              <w:t>33,230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33,125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57,955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Related party expenses</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847</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Loss from operations</w:t>
            </w:r>
          </w:p>
        </w:tc>
        <w:tc>
          <w:tcPr>
            <w:tcW w:w="10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color w:val="auto"/>
              </w:rPr>
              <w:t>(89,603)</w:t>
            </w:r>
          </w:p>
        </w:tc>
        <w:tc>
          <w:tcPr>
            <w:tcW w:w="8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1,339</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(88,264)</w:t>
            </w:r>
          </w:p>
        </w:tc>
        <w:tc>
          <w:tcPr>
            <w:tcW w:w="80" w:type="dxa"/>
            <w:vAlign w:val="bottom"/>
            <w:tcBorders>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(115,780)</w:t>
            </w:r>
          </w:p>
        </w:tc>
        <w:tc>
          <w:tcPr>
            <w:tcW w:w="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Total other income, net</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120,995</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gridSpan w:val="2"/>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120,995</w:t>
            </w:r>
          </w:p>
        </w:tc>
        <w:tc>
          <w:tcPr>
            <w:tcW w:w="8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75,595</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00" w:type="dxa"/>
            <w:vAlign w:val="bottom"/>
            <w:gridSpan w:val="3"/>
          </w:tcPr>
          <w:p>
            <w:pPr>
              <w:spacing w:after="0"/>
              <w:rPr>
                <w:sz w:val="20"/>
                <w:szCs w:val="20"/>
                <w:color w:val="auto"/>
              </w:rPr>
            </w:pPr>
            <w:r>
              <w:rPr>
                <w:rFonts w:ascii="Arial" w:cs="Arial" w:eastAsia="Arial" w:hAnsi="Arial"/>
                <w:sz w:val="14"/>
                <w:szCs w:val="14"/>
                <w:color w:val="auto"/>
              </w:rPr>
              <w:t>Net (loss) income and comprehensive loss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31,392</w:t>
            </w:r>
          </w:p>
        </w:tc>
        <w:tc>
          <w:tcPr>
            <w:tcW w:w="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1,339</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32,731</w:t>
            </w: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(40,185)</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2020 interim statements of operations and comprehensive loss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First</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5"/>
              </w:rPr>
              <w:t>Second</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Third</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1"/>
              </w:rPr>
              <w:t>Fourth</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Quarter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5"/>
              </w:rPr>
              <w:t>Quarter</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Quarter</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Quarter</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1400" w:type="dxa"/>
            <w:vAlign w:val="bottom"/>
          </w:tcPr>
          <w:p>
            <w:pPr>
              <w:spacing w:after="0"/>
              <w:rPr>
                <w:sz w:val="8"/>
                <w:szCs w:val="8"/>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As reported</w:t>
            </w:r>
          </w:p>
        </w:tc>
        <w:tc>
          <w:tcPr>
            <w:tcW w:w="86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w w:val="88"/>
              </w:rPr>
              <w:t>Misclass-</w:t>
            </w:r>
          </w:p>
        </w:tc>
        <w:tc>
          <w:tcPr>
            <w:tcW w:w="8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Restated</w:t>
            </w: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As reported</w:t>
            </w:r>
          </w:p>
        </w:tc>
        <w:tc>
          <w:tcPr>
            <w:tcW w:w="86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w w:val="84"/>
              </w:rPr>
              <w:t>Misclass-</w:t>
            </w:r>
          </w:p>
        </w:tc>
        <w:tc>
          <w:tcPr>
            <w:tcW w:w="8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Restated</w:t>
            </w: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As reported</w:t>
            </w:r>
          </w:p>
        </w:tc>
        <w:tc>
          <w:tcPr>
            <w:tcW w:w="88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w w:val="88"/>
              </w:rPr>
              <w:t>Misclass-</w:t>
            </w:r>
          </w:p>
        </w:tc>
        <w:tc>
          <w:tcPr>
            <w:tcW w:w="8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Restated</w:t>
            </w: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As reported</w:t>
            </w:r>
          </w:p>
        </w:tc>
        <w:tc>
          <w:tcPr>
            <w:tcW w:w="88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w w:val="88"/>
              </w:rPr>
              <w:t>Misclass-</w:t>
            </w:r>
          </w:p>
        </w:tc>
        <w:tc>
          <w:tcPr>
            <w:tcW w:w="720" w:type="dxa"/>
            <w:vAlign w:val="bottom"/>
            <w:vMerge w:val="restart"/>
          </w:tcPr>
          <w:p>
            <w:pPr>
              <w:jc w:val="right"/>
              <w:ind w:right="102"/>
              <w:spacing w:after="0"/>
              <w:rPr>
                <w:sz w:val="20"/>
                <w:szCs w:val="20"/>
                <w:color w:val="auto"/>
              </w:rPr>
            </w:pPr>
            <w:r>
              <w:rPr>
                <w:rFonts w:ascii="Arial" w:cs="Arial" w:eastAsia="Arial" w:hAnsi="Arial"/>
                <w:sz w:val="11"/>
                <w:szCs w:val="11"/>
                <w:b w:val="1"/>
                <w:bCs w:val="1"/>
                <w:color w:val="auto"/>
              </w:rPr>
              <w:t>Restated</w:t>
            </w:r>
          </w:p>
        </w:tc>
        <w:tc>
          <w:tcPr>
            <w:tcW w:w="0" w:type="dxa"/>
            <w:vAlign w:val="bottom"/>
          </w:tcPr>
          <w:p>
            <w:pPr>
              <w:spacing w:after="0"/>
              <w:rPr>
                <w:sz w:val="1"/>
                <w:szCs w:val="1"/>
                <w:color w:val="auto"/>
              </w:rPr>
            </w:pPr>
          </w:p>
        </w:tc>
      </w:tr>
      <w:tr>
        <w:trPr>
          <w:trHeight w:val="140"/>
        </w:trPr>
        <w:tc>
          <w:tcPr>
            <w:tcW w:w="14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5"/>
              </w:rPr>
              <w:t>ification</w:t>
            </w:r>
          </w:p>
        </w:tc>
        <w:tc>
          <w:tcPr>
            <w:tcW w:w="8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9"/>
              </w:rPr>
              <w:t>ification</w:t>
            </w:r>
          </w:p>
        </w:tc>
        <w:tc>
          <w:tcPr>
            <w:tcW w:w="8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9"/>
              </w:rPr>
              <w:t>ification</w:t>
            </w:r>
          </w:p>
        </w:tc>
        <w:tc>
          <w:tcPr>
            <w:tcW w:w="8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ification</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4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46,655</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46,655</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30,102</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30,102</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38,608</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38,608</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63,957</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63,957</w:t>
            </w:r>
          </w:p>
        </w:tc>
        <w:tc>
          <w:tcPr>
            <w:tcW w:w="0" w:type="dxa"/>
            <w:vAlign w:val="bottom"/>
          </w:tcPr>
          <w:p>
            <w:pPr>
              <w:spacing w:after="0"/>
              <w:rPr>
                <w:sz w:val="1"/>
                <w:szCs w:val="1"/>
                <w:color w:val="auto"/>
              </w:rPr>
            </w:pPr>
          </w:p>
        </w:tc>
      </w:tr>
      <w:tr>
        <w:trPr>
          <w:trHeight w:val="159"/>
        </w:trPr>
        <w:tc>
          <w:tcPr>
            <w:tcW w:w="1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Cost of services</w:t>
            </w: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39,239</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(2,101)</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37,138</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35,985</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(1,480)</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34,505</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36,530</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(2,508)</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34,022</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72,894</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(3,263)</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69,631</w:t>
            </w:r>
          </w:p>
        </w:tc>
        <w:tc>
          <w:tcPr>
            <w:tcW w:w="0" w:type="dxa"/>
            <w:vAlign w:val="bottom"/>
          </w:tcPr>
          <w:p>
            <w:pPr>
              <w:spacing w:after="0"/>
              <w:rPr>
                <w:sz w:val="1"/>
                <w:szCs w:val="1"/>
                <w:color w:val="auto"/>
              </w:rPr>
            </w:pPr>
          </w:p>
        </w:tc>
      </w:tr>
      <w:tr>
        <w:trPr>
          <w:trHeight w:val="155"/>
        </w:trPr>
        <w:tc>
          <w:tcPr>
            <w:tcW w:w="1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Gross (loss) profit</w:t>
            </w: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7,416</w:t>
            </w:r>
          </w:p>
        </w:tc>
        <w:tc>
          <w:tcPr>
            <w:tcW w:w="10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2,101</w:t>
            </w:r>
          </w:p>
        </w:tc>
        <w:tc>
          <w:tcPr>
            <w:tcW w:w="1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9,517</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(5,883)</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1,480</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(4,403)</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2,078</w:t>
            </w: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2,508</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4,586</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(8,937)</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3,263</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(5,674)</w:t>
            </w:r>
          </w:p>
        </w:tc>
        <w:tc>
          <w:tcPr>
            <w:tcW w:w="0" w:type="dxa"/>
            <w:vAlign w:val="bottom"/>
          </w:tcPr>
          <w:p>
            <w:pPr>
              <w:spacing w:after="0"/>
              <w:rPr>
                <w:sz w:val="1"/>
                <w:szCs w:val="1"/>
                <w:color w:val="auto"/>
              </w:rPr>
            </w:pPr>
          </w:p>
        </w:tc>
      </w:tr>
      <w:tr>
        <w:trPr>
          <w:trHeight w:val="156"/>
        </w:trPr>
        <w:tc>
          <w:tcPr>
            <w:tcW w:w="1400" w:type="dxa"/>
            <w:vAlign w:val="bottom"/>
          </w:tcPr>
          <w:p>
            <w:pPr>
              <w:ind w:left="20"/>
              <w:spacing w:after="0"/>
              <w:rPr>
                <w:sz w:val="20"/>
                <w:szCs w:val="20"/>
                <w:color w:val="auto"/>
              </w:rPr>
            </w:pPr>
            <w:r>
              <w:rPr>
                <w:rFonts w:ascii="Arial" w:cs="Arial" w:eastAsia="Arial" w:hAnsi="Arial"/>
                <w:sz w:val="12"/>
                <w:szCs w:val="12"/>
                <w:color w:val="auto"/>
                <w:w w:val="92"/>
              </w:rPr>
              <w:t>Research and development</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13,096</w:t>
            </w:r>
          </w:p>
        </w:tc>
        <w:tc>
          <w:tcPr>
            <w:tcW w:w="10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13,096</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9,361</w:t>
            </w:r>
          </w:p>
        </w:tc>
        <w:tc>
          <w:tcPr>
            <w:tcW w:w="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9,361</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19,083</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19,083</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31,160</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31,160</w:t>
            </w:r>
          </w:p>
        </w:tc>
        <w:tc>
          <w:tcPr>
            <w:tcW w:w="0" w:type="dxa"/>
            <w:vAlign w:val="bottom"/>
          </w:tcPr>
          <w:p>
            <w:pPr>
              <w:spacing w:after="0"/>
              <w:rPr>
                <w:sz w:val="1"/>
                <w:szCs w:val="1"/>
                <w:color w:val="auto"/>
              </w:rPr>
            </w:pPr>
          </w:p>
        </w:tc>
      </w:tr>
      <w:tr>
        <w:trPr>
          <w:trHeight w:val="165"/>
        </w:trPr>
        <w:tc>
          <w:tcPr>
            <w:tcW w:w="1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Selling and marketing</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11,733</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2,101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13,834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8,686</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1,480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10,166</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12,735</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2,508</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15,243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20,677</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23,940</w:t>
            </w:r>
          </w:p>
        </w:tc>
        <w:tc>
          <w:tcPr>
            <w:tcW w:w="0" w:type="dxa"/>
            <w:vAlign w:val="bottom"/>
          </w:tcPr>
          <w:p>
            <w:pPr>
              <w:spacing w:after="0"/>
              <w:rPr>
                <w:sz w:val="1"/>
                <w:szCs w:val="1"/>
                <w:color w:val="auto"/>
              </w:rPr>
            </w:pPr>
          </w:p>
        </w:tc>
      </w:tr>
      <w:tr>
        <w:trPr>
          <w:trHeight w:val="159"/>
        </w:trPr>
        <w:tc>
          <w:tcPr>
            <w:tcW w:w="1400" w:type="dxa"/>
            <w:vAlign w:val="bottom"/>
          </w:tcPr>
          <w:p>
            <w:pPr>
              <w:ind w:left="20"/>
              <w:spacing w:after="0"/>
              <w:rPr>
                <w:sz w:val="20"/>
                <w:szCs w:val="20"/>
                <w:color w:val="auto"/>
              </w:rPr>
            </w:pPr>
            <w:r>
              <w:rPr>
                <w:rFonts w:ascii="Arial" w:cs="Arial" w:eastAsia="Arial" w:hAnsi="Arial"/>
                <w:sz w:val="12"/>
                <w:szCs w:val="12"/>
                <w:color w:val="auto"/>
                <w:w w:val="94"/>
              </w:rPr>
              <w:t>General and administrative</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7,164</w:t>
            </w:r>
          </w:p>
        </w:tc>
        <w:tc>
          <w:tcPr>
            <w:tcW w:w="10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7,164</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8,121</w:t>
            </w:r>
          </w:p>
        </w:tc>
        <w:tc>
          <w:tcPr>
            <w:tcW w:w="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8,121</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24,342</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24,342</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61,115</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61,115</w:t>
            </w: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Related party expenses</w:t>
            </w: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2,195</w:t>
            </w:r>
          </w:p>
        </w:tc>
        <w:tc>
          <w:tcPr>
            <w:tcW w:w="10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2,195</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2,111</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2,111</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1,933</w:t>
            </w:r>
          </w:p>
        </w:tc>
        <w:tc>
          <w:tcPr>
            <w:tcW w:w="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1,933</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3,156</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3,156</w:t>
            </w:r>
          </w:p>
        </w:tc>
        <w:tc>
          <w:tcPr>
            <w:tcW w:w="0" w:type="dxa"/>
            <w:vAlign w:val="bottom"/>
          </w:tcPr>
          <w:p>
            <w:pPr>
              <w:spacing w:after="0"/>
              <w:rPr>
                <w:sz w:val="1"/>
                <w:szCs w:val="1"/>
                <w:color w:val="auto"/>
              </w:rPr>
            </w:pPr>
          </w:p>
        </w:tc>
      </w:tr>
      <w:tr>
        <w:trPr>
          <w:trHeight w:val="155"/>
        </w:trPr>
        <w:tc>
          <w:tcPr>
            <w:tcW w:w="1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Loss from operations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(26,772)</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(26,772)</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(34,162)</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(34,162)</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(56,015)</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(56,015)</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(125,045)</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(125,045)</w:t>
            </w:r>
          </w:p>
        </w:tc>
        <w:tc>
          <w:tcPr>
            <w:tcW w:w="0" w:type="dxa"/>
            <w:vAlign w:val="bottom"/>
          </w:tcPr>
          <w:p>
            <w:pPr>
              <w:spacing w:after="0"/>
              <w:rPr>
                <w:sz w:val="1"/>
                <w:szCs w:val="1"/>
                <w:color w:val="auto"/>
              </w:rPr>
            </w:pPr>
          </w:p>
        </w:tc>
      </w:tr>
      <w:tr>
        <w:trPr>
          <w:trHeight w:val="159"/>
        </w:trPr>
        <w:tc>
          <w:tcPr>
            <w:tcW w:w="1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other income, net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(218)</w:t>
            </w:r>
          </w:p>
        </w:tc>
        <w:tc>
          <w:tcPr>
            <w:tcW w:w="10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(218)</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2,110</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2,110</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(600)</w:t>
            </w: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(600)</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(638)</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(638)</w:t>
            </w:r>
          </w:p>
        </w:tc>
        <w:tc>
          <w:tcPr>
            <w:tcW w:w="0" w:type="dxa"/>
            <w:vAlign w:val="bottom"/>
          </w:tcPr>
          <w:p>
            <w:pPr>
              <w:spacing w:after="0"/>
              <w:rPr>
                <w:sz w:val="1"/>
                <w:szCs w:val="1"/>
                <w:color w:val="auto"/>
              </w:rPr>
            </w:pPr>
          </w:p>
        </w:tc>
      </w:tr>
      <w:tr>
        <w:trPr>
          <w:trHeight w:val="101"/>
        </w:trPr>
        <w:tc>
          <w:tcPr>
            <w:tcW w:w="1400" w:type="dxa"/>
            <w:vAlign w:val="bottom"/>
          </w:tcPr>
          <w:p>
            <w:pPr>
              <w:ind w:left="20"/>
              <w:spacing w:after="0" w:line="102" w:lineRule="exact"/>
              <w:rPr>
                <w:sz w:val="20"/>
                <w:szCs w:val="20"/>
                <w:color w:val="auto"/>
              </w:rPr>
            </w:pPr>
            <w:r>
              <w:rPr>
                <w:rFonts w:ascii="Arial" w:cs="Arial" w:eastAsia="Arial" w:hAnsi="Arial"/>
                <w:sz w:val="11"/>
                <w:szCs w:val="11"/>
                <w:color w:val="auto"/>
                <w:w w:val="97"/>
              </w:rPr>
              <w:t>Net loss and comprehensive</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(26,990)</w:t>
            </w:r>
          </w:p>
        </w:tc>
        <w:tc>
          <w:tcPr>
            <w:tcW w:w="100" w:type="dxa"/>
            <w:vAlign w:val="bottom"/>
          </w:tcPr>
          <w:p>
            <w:pPr>
              <w:spacing w:after="0"/>
              <w:rPr>
                <w:sz w:val="8"/>
                <w:szCs w:val="8"/>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(26,990)</w:t>
            </w: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(32,052)</w:t>
            </w:r>
          </w:p>
        </w:tc>
        <w:tc>
          <w:tcPr>
            <w:tcW w:w="80" w:type="dxa"/>
            <w:vAlign w:val="bottom"/>
          </w:tcPr>
          <w:p>
            <w:pPr>
              <w:spacing w:after="0"/>
              <w:rPr>
                <w:sz w:val="8"/>
                <w:szCs w:val="8"/>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(32,052)</w:t>
            </w: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(56,615)</w:t>
            </w:r>
          </w:p>
        </w:tc>
        <w:tc>
          <w:tcPr>
            <w:tcW w:w="80" w:type="dxa"/>
            <w:vAlign w:val="bottom"/>
          </w:tcPr>
          <w:p>
            <w:pPr>
              <w:spacing w:after="0"/>
              <w:rPr>
                <w:sz w:val="8"/>
                <w:szCs w:val="8"/>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(56,615)</w:t>
            </w: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(125,683)</w:t>
            </w:r>
          </w:p>
        </w:tc>
        <w:tc>
          <w:tcPr>
            <w:tcW w:w="80" w:type="dxa"/>
            <w:vAlign w:val="bottom"/>
          </w:tcPr>
          <w:p>
            <w:pPr>
              <w:spacing w:after="0"/>
              <w:rPr>
                <w:sz w:val="8"/>
                <w:szCs w:val="8"/>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(125,683)</w:t>
            </w:r>
          </w:p>
        </w:tc>
        <w:tc>
          <w:tcPr>
            <w:tcW w:w="0" w:type="dxa"/>
            <w:vAlign w:val="bottom"/>
          </w:tcPr>
          <w:p>
            <w:pPr>
              <w:spacing w:after="0"/>
              <w:rPr>
                <w:sz w:val="1"/>
                <w:szCs w:val="1"/>
                <w:color w:val="auto"/>
              </w:rPr>
            </w:pPr>
          </w:p>
        </w:tc>
      </w:tr>
      <w:tr>
        <w:trPr>
          <w:trHeight w:val="122"/>
        </w:trPr>
        <w:tc>
          <w:tcPr>
            <w:tcW w:w="1400" w:type="dxa"/>
            <w:vAlign w:val="bottom"/>
          </w:tcPr>
          <w:p>
            <w:pPr>
              <w:ind w:left="20"/>
              <w:spacing w:after="0" w:line="122" w:lineRule="exact"/>
              <w:rPr>
                <w:sz w:val="20"/>
                <w:szCs w:val="20"/>
                <w:color w:val="auto"/>
              </w:rPr>
            </w:pPr>
            <w:r>
              <w:rPr>
                <w:rFonts w:ascii="Arial" w:cs="Arial" w:eastAsia="Arial" w:hAnsi="Arial"/>
                <w:sz w:val="12"/>
                <w:szCs w:val="12"/>
                <w:color w:val="auto"/>
              </w:rPr>
              <w:t>loss</w:t>
            </w: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adjustments also affected certain current asset and liability accounts previously reported in the condensed balance sheets as of March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condensed consolidated balance sheets as of September 30, 2021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0"/>
              </w:rPr>
              <w:t>March 31, 2021</w:t>
            </w: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5"/>
              </w:rPr>
              <w:t>June 30, 2021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3"/>
                <w:szCs w:val="13"/>
                <w:b w:val="1"/>
                <w:bCs w:val="1"/>
                <w:color w:val="auto"/>
                <w:w w:val="85"/>
              </w:rPr>
              <w:t>September 30, 2021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As reported</w:t>
            </w:r>
          </w:p>
        </w:tc>
        <w:tc>
          <w:tcPr>
            <w:tcW w:w="94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9"/>
              </w:rPr>
              <w:t>Adjust-</w:t>
            </w:r>
          </w:p>
        </w:tc>
        <w:tc>
          <w:tcPr>
            <w:tcW w:w="9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Restated</w:t>
            </w:r>
          </w:p>
        </w:tc>
        <w:tc>
          <w:tcPr>
            <w:tcW w:w="9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As reported</w:t>
            </w:r>
          </w:p>
        </w:tc>
        <w:tc>
          <w:tcPr>
            <w:tcW w:w="9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9"/>
              </w:rPr>
              <w:t>Adjust-</w:t>
            </w:r>
          </w:p>
        </w:tc>
        <w:tc>
          <w:tcPr>
            <w:tcW w:w="96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Restated</w:t>
            </w:r>
          </w:p>
        </w:tc>
        <w:tc>
          <w:tcPr>
            <w:tcW w:w="820" w:type="dxa"/>
            <w:vAlign w:val="bottom"/>
            <w:vMerge w:val="restart"/>
          </w:tcPr>
          <w:p>
            <w:pPr>
              <w:jc w:val="right"/>
              <w:ind w:right="8"/>
              <w:spacing w:after="0"/>
              <w:rPr>
                <w:sz w:val="20"/>
                <w:szCs w:val="20"/>
                <w:color w:val="auto"/>
              </w:rPr>
            </w:pPr>
            <w:r>
              <w:rPr>
                <w:rFonts w:ascii="Arial" w:cs="Arial" w:eastAsia="Arial" w:hAnsi="Arial"/>
                <w:sz w:val="13"/>
                <w:szCs w:val="13"/>
                <w:b w:val="1"/>
                <w:bCs w:val="1"/>
                <w:color w:val="auto"/>
                <w:w w:val="98"/>
              </w:rPr>
              <w:t>As reported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vMerge w:val="restart"/>
          </w:tcPr>
          <w:p>
            <w:pPr>
              <w:jc w:val="center"/>
              <w:ind w:right="200"/>
              <w:spacing w:after="0"/>
              <w:rPr>
                <w:sz w:val="20"/>
                <w:szCs w:val="20"/>
                <w:color w:val="auto"/>
              </w:rPr>
            </w:pPr>
            <w:r>
              <w:rPr>
                <w:rFonts w:ascii="Arial" w:cs="Arial" w:eastAsia="Arial" w:hAnsi="Arial"/>
                <w:sz w:val="13"/>
                <w:szCs w:val="13"/>
                <w:b w:val="1"/>
                <w:bCs w:val="1"/>
                <w:color w:val="auto"/>
                <w:w w:val="89"/>
              </w:rPr>
              <w:t>Adjust-ment</w:t>
            </w:r>
          </w:p>
        </w:tc>
        <w:tc>
          <w:tcPr>
            <w:tcW w:w="740" w:type="dxa"/>
            <w:vAlign w:val="bottom"/>
            <w:vMerge w:val="restart"/>
          </w:tcPr>
          <w:p>
            <w:pPr>
              <w:jc w:val="right"/>
              <w:ind w:right="128"/>
              <w:spacing w:after="0"/>
              <w:rPr>
                <w:sz w:val="20"/>
                <w:szCs w:val="20"/>
                <w:color w:val="auto"/>
              </w:rPr>
            </w:pPr>
            <w:r>
              <w:rPr>
                <w:rFonts w:ascii="Arial" w:cs="Arial" w:eastAsia="Arial" w:hAnsi="Arial"/>
                <w:sz w:val="13"/>
                <w:szCs w:val="13"/>
                <w:b w:val="1"/>
                <w:bCs w:val="1"/>
                <w:color w:val="auto"/>
                <w:w w:val="94"/>
              </w:rPr>
              <w:t>Restated</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ment</w:t>
            </w: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ment</w:t>
            </w:r>
          </w:p>
        </w:tc>
        <w:tc>
          <w:tcPr>
            <w:tcW w:w="96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8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58,652</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58,652</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26,501</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26,501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461,276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461,276</w:t>
            </w:r>
          </w:p>
        </w:tc>
        <w:tc>
          <w:tcPr>
            <w:tcW w:w="0" w:type="dxa"/>
            <w:vAlign w:val="bottom"/>
          </w:tcPr>
          <w:p>
            <w:pPr>
              <w:spacing w:after="0"/>
              <w:rPr>
                <w:sz w:val="1"/>
                <w:szCs w:val="1"/>
                <w:color w:val="auto"/>
              </w:rPr>
            </w:pPr>
          </w:p>
        </w:tc>
      </w:tr>
      <w:tr>
        <w:trPr>
          <w:trHeight w:val="188"/>
        </w:trPr>
        <w:tc>
          <w:tcPr>
            <w:tcW w:w="2860" w:type="dxa"/>
            <w:vAlign w:val="bottom"/>
          </w:tcPr>
          <w:p>
            <w:pPr>
              <w:ind w:left="140"/>
              <w:spacing w:after="0"/>
              <w:rPr>
                <w:sz w:val="20"/>
                <w:szCs w:val="20"/>
                <w:color w:val="auto"/>
              </w:rPr>
            </w:pPr>
            <w:r>
              <w:rPr>
                <w:rFonts w:ascii="Arial" w:cs="Arial" w:eastAsia="Arial" w:hAnsi="Arial"/>
                <w:sz w:val="14"/>
                <w:szCs w:val="14"/>
                <w:color w:val="auto"/>
              </w:rPr>
              <w:t>Accounts receivable</w:t>
            </w:r>
          </w:p>
        </w:tc>
        <w:tc>
          <w:tcPr>
            <w:tcW w:w="840" w:type="dxa"/>
            <w:vAlign w:val="bottom"/>
          </w:tcPr>
          <w:p>
            <w:pPr>
              <w:jc w:val="right"/>
              <w:spacing w:after="0"/>
              <w:rPr>
                <w:sz w:val="20"/>
                <w:szCs w:val="20"/>
                <w:color w:val="auto"/>
              </w:rPr>
            </w:pPr>
            <w:r>
              <w:rPr>
                <w:rFonts w:ascii="Arial" w:cs="Arial" w:eastAsia="Arial" w:hAnsi="Arial"/>
                <w:sz w:val="14"/>
                <w:szCs w:val="14"/>
                <w:color w:val="auto"/>
              </w:rPr>
              <w:t>33,490</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33,340</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24,568</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24,568</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21,257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21,257</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Due from related parties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349</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413</w:t>
            </w:r>
          </w:p>
        </w:tc>
        <w:tc>
          <w:tcPr>
            <w:tcW w:w="0" w:type="dxa"/>
            <w:vAlign w:val="bottom"/>
          </w:tcPr>
          <w:p>
            <w:pPr>
              <w:spacing w:after="0"/>
              <w:rPr>
                <w:sz w:val="1"/>
                <w:szCs w:val="1"/>
                <w:color w:val="auto"/>
              </w:rPr>
            </w:pPr>
          </w:p>
        </w:tc>
      </w:tr>
      <w:tr>
        <w:trPr>
          <w:trHeight w:val="188"/>
        </w:trPr>
        <w:tc>
          <w:tcPr>
            <w:tcW w:w="2860" w:type="dxa"/>
            <w:vAlign w:val="bottom"/>
          </w:tcPr>
          <w:p>
            <w:pPr>
              <w:ind w:left="140"/>
              <w:spacing w:after="0"/>
              <w:rPr>
                <w:sz w:val="20"/>
                <w:szCs w:val="20"/>
                <w:color w:val="auto"/>
              </w:rPr>
            </w:pPr>
            <w:r>
              <w:rPr>
                <w:rFonts w:ascii="Arial" w:cs="Arial" w:eastAsia="Arial" w:hAnsi="Arial"/>
                <w:sz w:val="14"/>
                <w:szCs w:val="14"/>
                <w:color w:val="auto"/>
              </w:rPr>
              <w:t>Inventory</w:t>
            </w:r>
          </w:p>
        </w:tc>
        <w:tc>
          <w:tcPr>
            <w:tcW w:w="840" w:type="dxa"/>
            <w:vAlign w:val="bottom"/>
          </w:tcPr>
          <w:p>
            <w:pPr>
              <w:jc w:val="right"/>
              <w:spacing w:after="0"/>
              <w:rPr>
                <w:sz w:val="20"/>
                <w:szCs w:val="20"/>
                <w:color w:val="auto"/>
              </w:rPr>
            </w:pPr>
            <w:r>
              <w:rPr>
                <w:rFonts w:ascii="Arial" w:cs="Arial" w:eastAsia="Arial" w:hAnsi="Arial"/>
                <w:sz w:val="14"/>
                <w:szCs w:val="14"/>
                <w:color w:val="auto"/>
              </w:rPr>
              <w:t>32,969</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32,969</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29,128</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29,128</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31,174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31,174</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15,070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14,931</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18,378</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18,378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24,391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24,391</w:t>
            </w:r>
          </w:p>
        </w:tc>
        <w:tc>
          <w:tcPr>
            <w:tcW w:w="0" w:type="dxa"/>
            <w:vAlign w:val="bottom"/>
          </w:tcPr>
          <w:p>
            <w:pPr>
              <w:spacing w:after="0"/>
              <w:rPr>
                <w:sz w:val="1"/>
                <w:szCs w:val="1"/>
                <w:color w:val="auto"/>
              </w:rPr>
            </w:pPr>
          </w:p>
        </w:tc>
      </w:tr>
      <w:tr>
        <w:trPr>
          <w:trHeight w:val="181"/>
        </w:trPr>
        <w:tc>
          <w:tcPr>
            <w:tcW w:w="2860" w:type="dxa"/>
            <w:vAlign w:val="bottom"/>
          </w:tcPr>
          <w:p>
            <w:pPr>
              <w:ind w:left="460"/>
              <w:spacing w:after="0"/>
              <w:rPr>
                <w:sz w:val="20"/>
                <w:szCs w:val="20"/>
                <w:color w:val="auto"/>
              </w:rPr>
            </w:pPr>
            <w:r>
              <w:rPr>
                <w:rFonts w:ascii="Arial" w:cs="Arial" w:eastAsia="Arial" w:hAnsi="Arial"/>
                <w:sz w:val="14"/>
                <w:szCs w:val="14"/>
                <w:color w:val="auto"/>
              </w:rPr>
              <w:t>Total current assets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140,530</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140,241</w:t>
            </w:r>
          </w:p>
        </w:tc>
        <w:tc>
          <w:tcPr>
            <w:tcW w:w="14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99,012</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99,012</w:t>
            </w:r>
          </w:p>
        </w:tc>
        <w:tc>
          <w:tcPr>
            <w:tcW w:w="10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538,511</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538,511</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64,632</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64,632</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62,097</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62,097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60,333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60,333</w:t>
            </w:r>
          </w:p>
        </w:tc>
        <w:tc>
          <w:tcPr>
            <w:tcW w:w="0" w:type="dxa"/>
            <w:vAlign w:val="bottom"/>
          </w:tcPr>
          <w:p>
            <w:pPr>
              <w:spacing w:after="0"/>
              <w:rPr>
                <w:sz w:val="1"/>
                <w:szCs w:val="1"/>
                <w:color w:val="auto"/>
              </w:rPr>
            </w:pPr>
          </w:p>
        </w:tc>
      </w:tr>
      <w:tr>
        <w:trPr>
          <w:trHeight w:val="188"/>
        </w:trPr>
        <w:tc>
          <w:tcPr>
            <w:tcW w:w="286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840" w:type="dxa"/>
            <w:vAlign w:val="bottom"/>
          </w:tcPr>
          <w:p>
            <w:pPr>
              <w:jc w:val="right"/>
              <w:spacing w:after="0"/>
              <w:rPr>
                <w:sz w:val="20"/>
                <w:szCs w:val="20"/>
                <w:color w:val="auto"/>
              </w:rPr>
            </w:pPr>
            <w:r>
              <w:rPr>
                <w:rFonts w:ascii="Arial" w:cs="Arial" w:eastAsia="Arial" w:hAnsi="Arial"/>
                <w:sz w:val="14"/>
                <w:szCs w:val="14"/>
                <w:color w:val="auto"/>
              </w:rPr>
              <w:t>10,828</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10,828</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10,828</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10,828</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900</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3,596</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3,596</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3,596</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3,596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3,613</w:t>
            </w:r>
          </w:p>
        </w:tc>
        <w:tc>
          <w:tcPr>
            <w:tcW w:w="0" w:type="dxa"/>
            <w:vAlign w:val="bottom"/>
          </w:tcPr>
          <w:p>
            <w:pPr>
              <w:spacing w:after="0"/>
              <w:rPr>
                <w:sz w:val="1"/>
                <w:szCs w:val="1"/>
                <w:color w:val="auto"/>
              </w:rPr>
            </w:pPr>
          </w:p>
        </w:tc>
      </w:tr>
      <w:tr>
        <w:trPr>
          <w:trHeight w:val="183"/>
        </w:trPr>
        <w:tc>
          <w:tcPr>
            <w:tcW w:w="2860" w:type="dxa"/>
            <w:vAlign w:val="bottom"/>
          </w:tcPr>
          <w:p>
            <w:pPr>
              <w:ind w:left="460"/>
              <w:spacing w:after="0"/>
              <w:rPr>
                <w:sz w:val="20"/>
                <w:szCs w:val="20"/>
                <w:color w:val="auto"/>
              </w:rPr>
            </w:pPr>
            <w:r>
              <w:rPr>
                <w:rFonts w:ascii="Arial" w:cs="Arial" w:eastAsia="Arial" w:hAnsi="Arial"/>
                <w:sz w:val="14"/>
                <w:szCs w:val="14"/>
                <w:color w:val="auto"/>
              </w:rPr>
              <w:t>Total assets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219,586</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219,297</w:t>
            </w:r>
          </w:p>
        </w:tc>
        <w:tc>
          <w:tcPr>
            <w:tcW w:w="1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175,533</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175,533</w:t>
            </w:r>
          </w:p>
        </w:tc>
        <w:tc>
          <w:tcPr>
            <w:tcW w:w="1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603,357</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603,357</w:t>
            </w:r>
          </w:p>
        </w:tc>
        <w:tc>
          <w:tcPr>
            <w:tcW w:w="0" w:type="dxa"/>
            <w:vAlign w:val="bottom"/>
          </w:tcPr>
          <w:p>
            <w:pPr>
              <w:spacing w:after="0"/>
              <w:rPr>
                <w:sz w:val="1"/>
                <w:szCs w:val="1"/>
                <w:color w:val="auto"/>
              </w:rPr>
            </w:pPr>
          </w:p>
        </w:tc>
      </w:tr>
      <w:tr>
        <w:trPr>
          <w:trHeight w:val="46"/>
        </w:trPr>
        <w:tc>
          <w:tcPr>
            <w:tcW w:w="286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5700" w:type="dxa"/>
            <w:vAlign w:val="bottom"/>
            <w:tcBorders>
              <w:top w:val="single" w:sz="8" w:color="CCEEFF"/>
            </w:tcBorders>
            <w:gridSpan w:val="7"/>
          </w:tcPr>
          <w:p>
            <w:pPr>
              <w:ind w:left="20"/>
              <w:spacing w:after="0"/>
              <w:rPr>
                <w:sz w:val="20"/>
                <w:szCs w:val="20"/>
                <w:color w:val="auto"/>
              </w:rPr>
            </w:pPr>
            <w:r>
              <w:rPr>
                <w:rFonts w:ascii="Arial" w:cs="Arial" w:eastAsia="Arial" w:hAnsi="Arial"/>
                <w:sz w:val="14"/>
                <w:szCs w:val="14"/>
                <w:b w:val="1"/>
                <w:bCs w:val="1"/>
                <w:color w:val="auto"/>
                <w:w w:val="98"/>
              </w:rPr>
              <w:t>Liabilities, Redeemable Convertible Preferred Stock and Stockholders’ Equity (Deficit)</w:t>
            </w: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60" w:type="dxa"/>
            <w:vAlign w:val="bottom"/>
          </w:tcPr>
          <w:p>
            <w:pPr>
              <w:ind w:left="140"/>
              <w:spacing w:after="0"/>
              <w:rPr>
                <w:sz w:val="20"/>
                <w:szCs w:val="20"/>
                <w:color w:val="auto"/>
              </w:rPr>
            </w:pPr>
            <w:r>
              <w:rPr>
                <w:rFonts w:ascii="Arial" w:cs="Arial" w:eastAsia="Arial" w:hAnsi="Arial"/>
                <w:sz w:val="14"/>
                <w:szCs w:val="14"/>
                <w:color w:val="auto"/>
              </w:rPr>
              <w:t>Accounts payable and accrued expenses</w:t>
            </w:r>
          </w:p>
        </w:tc>
        <w:tc>
          <w:tcPr>
            <w:tcW w:w="840" w:type="dxa"/>
            <w:vAlign w:val="bottom"/>
          </w:tcPr>
          <w:p>
            <w:pPr>
              <w:jc w:val="right"/>
              <w:spacing w:after="0"/>
              <w:rPr>
                <w:sz w:val="20"/>
                <w:szCs w:val="20"/>
                <w:color w:val="auto"/>
              </w:rPr>
            </w:pPr>
            <w:r>
              <w:rPr>
                <w:rFonts w:ascii="Arial" w:cs="Arial" w:eastAsia="Arial" w:hAnsi="Arial"/>
                <w:sz w:val="14"/>
                <w:szCs w:val="14"/>
                <w:color w:val="auto"/>
              </w:rPr>
              <w:t>41,609</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42,102</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43,650</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1,581</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45,231</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43,079</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242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43,321</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Due to related parties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797</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1,425</w:t>
            </w:r>
          </w:p>
        </w:tc>
        <w:tc>
          <w:tcPr>
            <w:tcW w:w="0" w:type="dxa"/>
            <w:vAlign w:val="bottom"/>
          </w:tcPr>
          <w:p>
            <w:pPr>
              <w:spacing w:after="0"/>
              <w:rPr>
                <w:sz w:val="1"/>
                <w:szCs w:val="1"/>
                <w:color w:val="auto"/>
              </w:rPr>
            </w:pPr>
          </w:p>
        </w:tc>
      </w:tr>
      <w:tr>
        <w:trPr>
          <w:trHeight w:val="188"/>
        </w:trPr>
        <w:tc>
          <w:tcPr>
            <w:tcW w:w="2860" w:type="dxa"/>
            <w:vAlign w:val="bottom"/>
          </w:tcPr>
          <w:p>
            <w:pPr>
              <w:ind w:left="140"/>
              <w:spacing w:after="0"/>
              <w:rPr>
                <w:sz w:val="20"/>
                <w:szCs w:val="20"/>
                <w:color w:val="auto"/>
              </w:rPr>
            </w:pPr>
            <w:r>
              <w:rPr>
                <w:rFonts w:ascii="Arial" w:cs="Arial" w:eastAsia="Arial" w:hAnsi="Arial"/>
                <w:sz w:val="14"/>
                <w:szCs w:val="14"/>
                <w:color w:val="auto"/>
              </w:rPr>
              <w:t>Current contract liabilities</w:t>
            </w:r>
          </w:p>
        </w:tc>
        <w:tc>
          <w:tcPr>
            <w:tcW w:w="840" w:type="dxa"/>
            <w:vAlign w:val="bottom"/>
          </w:tcPr>
          <w:p>
            <w:pPr>
              <w:jc w:val="right"/>
              <w:spacing w:after="0"/>
              <w:rPr>
                <w:sz w:val="20"/>
                <w:szCs w:val="20"/>
                <w:color w:val="auto"/>
              </w:rPr>
            </w:pPr>
            <w:r>
              <w:rPr>
                <w:rFonts w:ascii="Arial" w:cs="Arial" w:eastAsia="Arial" w:hAnsi="Arial"/>
                <w:sz w:val="14"/>
                <w:szCs w:val="14"/>
                <w:color w:val="auto"/>
              </w:rPr>
              <w:t>2,810</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2,810</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1,341</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1,341</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493</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current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22,991</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22,991</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24,764</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24,764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26,369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26,369</w:t>
            </w:r>
          </w:p>
        </w:tc>
        <w:tc>
          <w:tcPr>
            <w:tcW w:w="0" w:type="dxa"/>
            <w:vAlign w:val="bottom"/>
          </w:tcPr>
          <w:p>
            <w:pPr>
              <w:spacing w:after="0"/>
              <w:rPr>
                <w:sz w:val="1"/>
                <w:szCs w:val="1"/>
                <w:color w:val="auto"/>
              </w:rPr>
            </w:pPr>
          </w:p>
        </w:tc>
      </w:tr>
      <w:tr>
        <w:trPr>
          <w:trHeight w:val="181"/>
        </w:trPr>
        <w:tc>
          <w:tcPr>
            <w:tcW w:w="2860" w:type="dxa"/>
            <w:vAlign w:val="bottom"/>
          </w:tcPr>
          <w:p>
            <w:pPr>
              <w:ind w:left="460"/>
              <w:spacing w:after="0"/>
              <w:rPr>
                <w:sz w:val="20"/>
                <w:szCs w:val="20"/>
                <w:color w:val="auto"/>
              </w:rPr>
            </w:pPr>
            <w:r>
              <w:rPr>
                <w:rFonts w:ascii="Arial" w:cs="Arial" w:eastAsia="Arial" w:hAnsi="Arial"/>
                <w:sz w:val="14"/>
                <w:szCs w:val="14"/>
                <w:color w:val="auto"/>
              </w:rPr>
              <w:t>Total current liabilities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68,207</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68,700</w:t>
            </w:r>
          </w:p>
        </w:tc>
        <w:tc>
          <w:tcPr>
            <w:tcW w:w="14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71,033</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1,581</w:t>
            </w:r>
          </w:p>
        </w:tc>
        <w:tc>
          <w:tcPr>
            <w:tcW w:w="8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72,614</w:t>
            </w:r>
          </w:p>
        </w:tc>
        <w:tc>
          <w:tcPr>
            <w:tcW w:w="10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71,366</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71,608</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net of current portion</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18,502</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18,502</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18,028</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18,028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11,000</w:t>
            </w:r>
          </w:p>
        </w:tc>
        <w:tc>
          <w:tcPr>
            <w:tcW w:w="0" w:type="dxa"/>
            <w:vAlign w:val="bottom"/>
          </w:tcPr>
          <w:p>
            <w:pPr>
              <w:spacing w:after="0"/>
              <w:rPr>
                <w:sz w:val="1"/>
                <w:szCs w:val="1"/>
                <w:color w:val="auto"/>
              </w:rPr>
            </w:pPr>
          </w:p>
        </w:tc>
      </w:tr>
      <w:tr>
        <w:trPr>
          <w:trHeight w:val="188"/>
        </w:trPr>
        <w:tc>
          <w:tcPr>
            <w:tcW w:w="2860" w:type="dxa"/>
            <w:vAlign w:val="bottom"/>
          </w:tcPr>
          <w:p>
            <w:pPr>
              <w:ind w:left="20"/>
              <w:spacing w:after="0"/>
              <w:rPr>
                <w:sz w:val="20"/>
                <w:szCs w:val="20"/>
                <w:color w:val="auto"/>
              </w:rPr>
            </w:pPr>
            <w:r>
              <w:rPr>
                <w:rFonts w:ascii="Arial" w:cs="Arial" w:eastAsia="Arial" w:hAnsi="Arial"/>
                <w:sz w:val="14"/>
                <w:szCs w:val="14"/>
                <w:color w:val="auto"/>
              </w:rPr>
              <w:t>Stock-based compensation liabilities</w:t>
            </w:r>
          </w:p>
        </w:tc>
        <w:tc>
          <w:tcPr>
            <w:tcW w:w="840" w:type="dxa"/>
            <w:vAlign w:val="bottom"/>
          </w:tcPr>
          <w:p>
            <w:pPr>
              <w:jc w:val="right"/>
              <w:spacing w:after="0"/>
              <w:rPr>
                <w:sz w:val="20"/>
                <w:szCs w:val="20"/>
                <w:color w:val="auto"/>
              </w:rPr>
            </w:pPr>
            <w:r>
              <w:rPr>
                <w:rFonts w:ascii="Arial" w:cs="Arial" w:eastAsia="Arial" w:hAnsi="Arial"/>
                <w:sz w:val="14"/>
                <w:szCs w:val="14"/>
                <w:color w:val="auto"/>
              </w:rPr>
              <w:t>296,952</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296,952</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295,049</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295,049</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 liability</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46,629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46,629</w:t>
            </w:r>
          </w:p>
        </w:tc>
        <w:tc>
          <w:tcPr>
            <w:tcW w:w="0" w:type="dxa"/>
            <w:vAlign w:val="bottom"/>
          </w:tcPr>
          <w:p>
            <w:pPr>
              <w:spacing w:after="0"/>
              <w:rPr>
                <w:sz w:val="1"/>
                <w:szCs w:val="1"/>
                <w:color w:val="auto"/>
              </w:rPr>
            </w:pPr>
          </w:p>
        </w:tc>
      </w:tr>
      <w:tr>
        <w:trPr>
          <w:trHeight w:val="188"/>
        </w:trPr>
        <w:tc>
          <w:tcPr>
            <w:tcW w:w="2860" w:type="dxa"/>
            <w:vAlign w:val="bottom"/>
          </w:tcPr>
          <w:p>
            <w:pPr>
              <w:ind w:left="20"/>
              <w:spacing w:after="0"/>
              <w:rPr>
                <w:sz w:val="20"/>
                <w:szCs w:val="20"/>
                <w:color w:val="auto"/>
              </w:rPr>
            </w:pPr>
            <w:r>
              <w:rPr>
                <w:rFonts w:ascii="Arial" w:cs="Arial" w:eastAsia="Arial" w:hAnsi="Arial"/>
                <w:sz w:val="14"/>
                <w:szCs w:val="14"/>
                <w:color w:val="auto"/>
              </w:rPr>
              <w:t>Earn-out contingent liability</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61,400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61,400</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22,530</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22,530</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21,907</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21,907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21,699</w:t>
            </w:r>
          </w:p>
        </w:tc>
        <w:tc>
          <w:tcPr>
            <w:tcW w:w="0" w:type="dxa"/>
            <w:vAlign w:val="bottom"/>
          </w:tcPr>
          <w:p>
            <w:pPr>
              <w:spacing w:after="0"/>
              <w:rPr>
                <w:sz w:val="1"/>
                <w:szCs w:val="1"/>
                <w:color w:val="auto"/>
              </w:rPr>
            </w:pPr>
          </w:p>
        </w:tc>
      </w:tr>
      <w:tr>
        <w:trPr>
          <w:trHeight w:val="183"/>
        </w:trPr>
        <w:tc>
          <w:tcPr>
            <w:tcW w:w="2860" w:type="dxa"/>
            <w:vAlign w:val="bottom"/>
          </w:tcPr>
          <w:p>
            <w:pPr>
              <w:ind w:left="460"/>
              <w:spacing w:after="0"/>
              <w:rPr>
                <w:sz w:val="20"/>
                <w:szCs w:val="20"/>
                <w:color w:val="auto"/>
              </w:rPr>
            </w:pPr>
            <w:r>
              <w:rPr>
                <w:rFonts w:ascii="Arial" w:cs="Arial" w:eastAsia="Arial" w:hAnsi="Arial"/>
                <w:sz w:val="14"/>
                <w:szCs w:val="14"/>
                <w:color w:val="auto"/>
              </w:rPr>
              <w:t>Total liabilities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406,191</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406,684</w:t>
            </w:r>
          </w:p>
        </w:tc>
        <w:tc>
          <w:tcPr>
            <w:tcW w:w="1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406,017</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1,581</w:t>
            </w: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407,598</w:t>
            </w:r>
          </w:p>
        </w:tc>
        <w:tc>
          <w:tcPr>
            <w:tcW w:w="1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212,094</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212,336</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8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60" w:type="dxa"/>
            <w:vAlign w:val="bottom"/>
          </w:tcPr>
          <w:p>
            <w:pPr>
              <w:ind w:left="20"/>
              <w:spacing w:after="0"/>
              <w:rPr>
                <w:sz w:val="20"/>
                <w:szCs w:val="20"/>
                <w:color w:val="auto"/>
              </w:rPr>
            </w:pPr>
            <w:r>
              <w:rPr>
                <w:rFonts w:ascii="Arial" w:cs="Arial" w:eastAsia="Arial" w:hAnsi="Arial"/>
                <w:sz w:val="14"/>
                <w:szCs w:val="14"/>
                <w:color w:val="auto"/>
              </w:rPr>
              <w:t>Redeemable convertible preferred stock:</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86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8"/>
              </w:rPr>
              <w:t>Series A-1 redeemable convertible preferred</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51,811</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51,811</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51,811</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51,811</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stock</w:t>
            </w: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140"/>
              <w:spacing w:after="0" w:line="135" w:lineRule="exact"/>
              <w:rPr>
                <w:sz w:val="20"/>
                <w:szCs w:val="20"/>
                <w:color w:val="auto"/>
              </w:rPr>
            </w:pPr>
            <w:r>
              <w:rPr>
                <w:rFonts w:ascii="Arial" w:cs="Arial" w:eastAsia="Arial" w:hAnsi="Arial"/>
                <w:sz w:val="14"/>
                <w:szCs w:val="14"/>
                <w:color w:val="auto"/>
                <w:w w:val="98"/>
              </w:rPr>
              <w:t>Series A-2 redeemable convertible preferred</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46,480</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46,480</w:t>
            </w: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46,480</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46,480</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2860" w:type="dxa"/>
            <w:vAlign w:val="bottom"/>
          </w:tcPr>
          <w:p>
            <w:pPr>
              <w:ind w:left="300"/>
              <w:spacing w:after="0"/>
              <w:rPr>
                <w:sz w:val="20"/>
                <w:szCs w:val="20"/>
                <w:color w:val="auto"/>
              </w:rPr>
            </w:pPr>
            <w:r>
              <w:rPr>
                <w:rFonts w:ascii="Arial" w:cs="Arial" w:eastAsia="Arial" w:hAnsi="Arial"/>
                <w:sz w:val="14"/>
                <w:szCs w:val="14"/>
                <w:color w:val="auto"/>
              </w:rPr>
              <w:t>stock</w:t>
            </w: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86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Series B redeemable convertible preferred</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118,824</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118,824</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118,824</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118,824</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stock</w:t>
            </w: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140"/>
              <w:spacing w:after="0" w:line="135" w:lineRule="exact"/>
              <w:rPr>
                <w:sz w:val="20"/>
                <w:szCs w:val="20"/>
                <w:color w:val="auto"/>
              </w:rPr>
            </w:pPr>
            <w:r>
              <w:rPr>
                <w:rFonts w:ascii="Arial" w:cs="Arial" w:eastAsia="Arial" w:hAnsi="Arial"/>
                <w:sz w:val="14"/>
                <w:szCs w:val="14"/>
                <w:color w:val="auto"/>
              </w:rPr>
              <w:t>Series C redeemable convertible preferred</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117,324</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117,324</w:t>
            </w: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117,324</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117,324</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2860" w:type="dxa"/>
            <w:vAlign w:val="bottom"/>
          </w:tcPr>
          <w:p>
            <w:pPr>
              <w:ind w:left="300"/>
              <w:spacing w:after="0"/>
              <w:rPr>
                <w:sz w:val="20"/>
                <w:szCs w:val="20"/>
                <w:color w:val="auto"/>
              </w:rPr>
            </w:pPr>
            <w:r>
              <w:rPr>
                <w:rFonts w:ascii="Arial" w:cs="Arial" w:eastAsia="Arial" w:hAnsi="Arial"/>
                <w:sz w:val="14"/>
                <w:szCs w:val="14"/>
                <w:color w:val="auto"/>
              </w:rPr>
              <w:t>stock</w:t>
            </w: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Redeemable convertible preferred stock</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334,439</w:t>
            </w: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334,439</w:t>
            </w:r>
          </w:p>
        </w:tc>
        <w:tc>
          <w:tcPr>
            <w:tcW w:w="1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334,439</w:t>
            </w: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334,439</w:t>
            </w: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8"/>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Stockholders’ equity (deficit):</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860" w:type="dxa"/>
            <w:vAlign w:val="bottom"/>
          </w:tcPr>
          <w:p>
            <w:pPr>
              <w:ind w:left="140"/>
              <w:spacing w:after="0"/>
              <w:rPr>
                <w:sz w:val="20"/>
                <w:szCs w:val="20"/>
                <w:color w:val="auto"/>
              </w:rPr>
            </w:pPr>
            <w:r>
              <w:rPr>
                <w:rFonts w:ascii="Arial" w:cs="Arial" w:eastAsia="Arial" w:hAnsi="Arial"/>
                <w:sz w:val="14"/>
                <w:szCs w:val="14"/>
                <w:color w:val="auto"/>
              </w:rPr>
              <w:t>Class A common stock</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Class B convertible common stock</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86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1,483</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1,483</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926,253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926,253</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(521,044)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(521,826)</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(566,406)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(567,987)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(535,014)</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(535,256)</w:t>
            </w:r>
          </w:p>
        </w:tc>
        <w:tc>
          <w:tcPr>
            <w:tcW w:w="0" w:type="dxa"/>
            <w:vAlign w:val="bottom"/>
          </w:tcPr>
          <w:p>
            <w:pPr>
              <w:spacing w:after="0"/>
              <w:rPr>
                <w:sz w:val="1"/>
                <w:szCs w:val="1"/>
                <w:color w:val="auto"/>
              </w:rPr>
            </w:pPr>
          </w:p>
        </w:tc>
      </w:tr>
      <w:tr>
        <w:trPr>
          <w:trHeight w:val="181"/>
        </w:trPr>
        <w:tc>
          <w:tcPr>
            <w:tcW w:w="28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Total stockholders’ (deficit) equity</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(521,044)</w:t>
            </w:r>
          </w:p>
        </w:tc>
        <w:tc>
          <w:tcPr>
            <w:tcW w:w="10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(782)</w:t>
            </w:r>
          </w:p>
        </w:tc>
        <w:tc>
          <w:tcPr>
            <w:tcW w:w="10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(521,826)</w:t>
            </w:r>
          </w:p>
        </w:tc>
        <w:tc>
          <w:tcPr>
            <w:tcW w:w="14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(564,923)</w:t>
            </w:r>
          </w:p>
        </w:tc>
        <w:tc>
          <w:tcPr>
            <w:tcW w:w="10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(1,581)</w:t>
            </w:r>
          </w:p>
        </w:tc>
        <w:tc>
          <w:tcPr>
            <w:tcW w:w="8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(566,504)</w:t>
            </w:r>
          </w:p>
        </w:tc>
        <w:tc>
          <w:tcPr>
            <w:tcW w:w="10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391,263</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391,021</w:t>
            </w:r>
          </w:p>
        </w:tc>
        <w:tc>
          <w:tcPr>
            <w:tcW w:w="0" w:type="dxa"/>
            <w:vAlign w:val="bottom"/>
          </w:tcPr>
          <w:p>
            <w:pPr>
              <w:spacing w:after="0"/>
              <w:rPr>
                <w:sz w:val="1"/>
                <w:szCs w:val="1"/>
                <w:color w:val="auto"/>
              </w:rPr>
            </w:pPr>
          </w:p>
        </w:tc>
      </w:tr>
      <w:tr>
        <w:trPr>
          <w:trHeight w:val="116"/>
        </w:trPr>
        <w:tc>
          <w:tcPr>
            <w:tcW w:w="2860" w:type="dxa"/>
            <w:vAlign w:val="bottom"/>
            <w:shd w:val="clear" w:color="auto" w:fill="CCEEFF"/>
          </w:tcPr>
          <w:p>
            <w:pPr>
              <w:ind w:left="140"/>
              <w:spacing w:after="0" w:line="116" w:lineRule="exact"/>
              <w:rPr>
                <w:sz w:val="20"/>
                <w:szCs w:val="20"/>
                <w:color w:val="auto"/>
              </w:rPr>
            </w:pPr>
            <w:r>
              <w:rPr>
                <w:rFonts w:ascii="Arial" w:cs="Arial" w:eastAsia="Arial" w:hAnsi="Arial"/>
                <w:sz w:val="13"/>
                <w:szCs w:val="13"/>
                <w:color w:val="auto"/>
              </w:rPr>
              <w:t>Total liabilities, redeemable convertible</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219,586</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219,297</w:t>
            </w:r>
          </w:p>
        </w:tc>
        <w:tc>
          <w:tcPr>
            <w:tcW w:w="1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175,533</w:t>
            </w: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175,533</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603,357</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603,357</w:t>
            </w:r>
          </w:p>
        </w:tc>
        <w:tc>
          <w:tcPr>
            <w:tcW w:w="0" w:type="dxa"/>
            <w:vAlign w:val="bottom"/>
          </w:tcPr>
          <w:p>
            <w:pPr>
              <w:spacing w:after="0"/>
              <w:rPr>
                <w:sz w:val="1"/>
                <w:szCs w:val="1"/>
                <w:color w:val="auto"/>
              </w:rPr>
            </w:pPr>
          </w:p>
        </w:tc>
      </w:tr>
      <w:tr>
        <w:trPr>
          <w:trHeight w:val="182"/>
        </w:trPr>
        <w:tc>
          <w:tcPr>
            <w:tcW w:w="28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preferred stock and stockholders’ equity</w:t>
            </w: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3"/>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adjustments did not have any impact on the net cash used in operating or investing activities, or net cash used or provided by financing activities previously reported in the condensed statements of cash flows. However, certain line items within the operating section of the condensed statements of cash flows would change by immaterial amounts.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preparation of consolidated financial statements requires management to make certain estimates, judgments and assumptions that affect the reported amounts of assets and liabilities and the related disclosures at the date of the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the capitalization of software costs and the valuation of stock-based awards, inventory, earn-out contingent liability and earn-out RSUs. Actual results could differ materially from those estimates, judgments and assumptions.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assesses both the customer and, if applicable, the third party payor that reimburses the Company on the customer’s behalf when evaluating concentration of credit risk. Significant customers and payors are those that represent more than 10% of the Company’s total annual revenues or accounts receivable balance at each respective balance sheet date. The significant concentrations of accounts receivable as of December 31, 2021 and 2020 were primarily from large managed care insurance companies and a reference laboratory. There was no individual customer that accounted for 10% or more of revenue or accounts receivable for any of the years presented. The Company does not require collateral as a means to mitigate customer credit risk.</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For each significant payor, revenue as a percentage of total revenues and accounts receivable as a percentage of total accounts receivable are as follows: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2"/>
              </w:rPr>
              <w:t>Revenue</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Accounts Receivable</w:t>
            </w:r>
          </w:p>
        </w:tc>
      </w:tr>
      <w:tr>
        <w:trPr>
          <w:trHeight w:val="187"/>
        </w:trPr>
        <w:tc>
          <w:tcPr>
            <w:tcW w:w="42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 of December 31,</w:t>
            </w:r>
          </w:p>
        </w:tc>
      </w:tr>
      <w:tr>
        <w:trPr>
          <w:trHeight w:val="182"/>
        </w:trPr>
        <w:tc>
          <w:tcPr>
            <w:tcW w:w="4260" w:type="dxa"/>
            <w:vAlign w:val="bottom"/>
          </w:tcPr>
          <w:p>
            <w:pPr>
              <w:spacing w:after="0"/>
              <w:rPr>
                <w:sz w:val="15"/>
                <w:szCs w:val="15"/>
                <w:color w:val="auto"/>
              </w:rPr>
            </w:pPr>
          </w:p>
        </w:tc>
        <w:tc>
          <w:tcPr>
            <w:tcW w:w="1040" w:type="dxa"/>
            <w:vAlign w:val="bottom"/>
          </w:tcPr>
          <w:p>
            <w:pPr>
              <w:jc w:val="center"/>
              <w:ind w:left="174"/>
              <w:spacing w:after="0"/>
              <w:rPr>
                <w:sz w:val="20"/>
                <w:szCs w:val="20"/>
                <w:color w:val="auto"/>
              </w:rPr>
            </w:pPr>
            <w:r>
              <w:rPr>
                <w:rFonts w:ascii="Arial" w:cs="Arial" w:eastAsia="Arial" w:hAnsi="Arial"/>
                <w:sz w:val="14"/>
                <w:szCs w:val="14"/>
                <w:b w:val="1"/>
                <w:bCs w:val="1"/>
                <w:color w:val="auto"/>
                <w:w w:val="96"/>
              </w:rPr>
              <w:t>2021</w:t>
            </w:r>
          </w:p>
        </w:tc>
        <w:tc>
          <w:tcPr>
            <w:tcW w:w="1680" w:type="dxa"/>
            <w:vAlign w:val="bottom"/>
            <w:gridSpan w:val="3"/>
          </w:tcPr>
          <w:p>
            <w:pPr>
              <w:jc w:val="center"/>
              <w:ind w:left="257"/>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center"/>
              <w:ind w:right="19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Payor A</w:t>
            </w:r>
          </w:p>
        </w:tc>
        <w:tc>
          <w:tcPr>
            <w:tcW w:w="1040" w:type="dxa"/>
            <w:vAlign w:val="bottom"/>
            <w:tcBorders>
              <w:top w:val="single" w:sz="8" w:color="auto"/>
            </w:tcBorders>
            <w:shd w:val="clear" w:color="auto" w:fill="CCEEFF"/>
          </w:tcPr>
          <w:p>
            <w:pPr>
              <w:jc w:val="center"/>
              <w:ind w:left="174"/>
              <w:spacing w:after="0"/>
              <w:rPr>
                <w:sz w:val="20"/>
                <w:szCs w:val="20"/>
                <w:color w:val="auto"/>
              </w:rPr>
            </w:pPr>
            <w:r>
              <w:rPr>
                <w:rFonts w:ascii="Arial" w:cs="Arial" w:eastAsia="Arial" w:hAnsi="Arial"/>
                <w:sz w:val="18"/>
                <w:szCs w:val="18"/>
                <w:color w:val="auto"/>
                <w:w w:val="94"/>
              </w:rPr>
              <w:t>22%</w:t>
            </w:r>
          </w:p>
        </w:tc>
        <w:tc>
          <w:tcPr>
            <w:tcW w:w="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ind w:right="194"/>
              <w:spacing w:after="0"/>
              <w:rPr>
                <w:sz w:val="20"/>
                <w:szCs w:val="20"/>
                <w:color w:val="auto"/>
              </w:rPr>
            </w:pPr>
            <w:r>
              <w:rPr>
                <w:rFonts w:ascii="Arial" w:cs="Arial" w:eastAsia="Arial" w:hAnsi="Arial"/>
                <w:sz w:val="18"/>
                <w:szCs w:val="18"/>
                <w:color w:val="auto"/>
                <w:w w:val="88"/>
              </w:rPr>
              <w:t>36%</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15%</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w:t>
            </w: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Payor B</w:t>
            </w:r>
          </w:p>
        </w:tc>
        <w:tc>
          <w:tcPr>
            <w:tcW w:w="1040" w:type="dxa"/>
            <w:vAlign w:val="bottom"/>
          </w:tcPr>
          <w:p>
            <w:pPr>
              <w:jc w:val="center"/>
              <w:ind w:left="174"/>
              <w:spacing w:after="0"/>
              <w:rPr>
                <w:sz w:val="20"/>
                <w:szCs w:val="20"/>
                <w:color w:val="auto"/>
              </w:rPr>
            </w:pPr>
            <w:r>
              <w:rPr>
                <w:rFonts w:ascii="Arial" w:cs="Arial" w:eastAsia="Arial" w:hAnsi="Arial"/>
                <w:sz w:val="18"/>
                <w:szCs w:val="18"/>
                <w:color w:val="auto"/>
                <w:w w:val="94"/>
              </w:rPr>
              <w:t>13%</w:t>
            </w:r>
          </w:p>
        </w:tc>
        <w:tc>
          <w:tcPr>
            <w:tcW w:w="1680" w:type="dxa"/>
            <w:vAlign w:val="bottom"/>
            <w:gridSpan w:val="3"/>
          </w:tcPr>
          <w:p>
            <w:pPr>
              <w:jc w:val="center"/>
              <w:ind w:left="257"/>
              <w:spacing w:after="0"/>
              <w:rPr>
                <w:sz w:val="20"/>
                <w:szCs w:val="20"/>
                <w:color w:val="auto"/>
              </w:rPr>
            </w:pPr>
            <w:r>
              <w:rPr>
                <w:rFonts w:ascii="Arial" w:cs="Arial" w:eastAsia="Arial" w:hAnsi="Arial"/>
                <w:sz w:val="18"/>
                <w:szCs w:val="18"/>
                <w:color w:val="auto"/>
                <w:w w:val="94"/>
              </w:rPr>
              <w:t>14%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center"/>
              <w:ind w:right="19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Payor C</w:t>
            </w:r>
          </w:p>
        </w:tc>
        <w:tc>
          <w:tcPr>
            <w:tcW w:w="1040" w:type="dxa"/>
            <w:vAlign w:val="bottom"/>
            <w:shd w:val="clear" w:color="auto" w:fill="CCEEFF"/>
          </w:tcPr>
          <w:p>
            <w:pPr>
              <w:jc w:val="center"/>
              <w:ind w:left="174"/>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center"/>
              <w:ind w:left="25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19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Payor D</w:t>
            </w:r>
          </w:p>
        </w:tc>
        <w:tc>
          <w:tcPr>
            <w:tcW w:w="1040" w:type="dxa"/>
            <w:vAlign w:val="bottom"/>
          </w:tcPr>
          <w:p>
            <w:pPr>
              <w:jc w:val="center"/>
              <w:ind w:left="174"/>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center"/>
              <w:ind w:left="25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center"/>
              <w:ind w:right="194"/>
              <w:spacing w:after="0"/>
              <w:rPr>
                <w:sz w:val="20"/>
                <w:szCs w:val="20"/>
                <w:color w:val="auto"/>
              </w:rPr>
            </w:pPr>
            <w:r>
              <w:rPr>
                <w:rFonts w:ascii="Arial" w:cs="Arial" w:eastAsia="Arial" w:hAnsi="Arial"/>
                <w:sz w:val="18"/>
                <w:szCs w:val="18"/>
                <w:color w:val="auto"/>
                <w:w w:val="88"/>
              </w:rPr>
              <w:t>24%</w:t>
            </w: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less than 10%</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a concentration of risk from a limited number of suppliers for certain reagents and laboratory supplies. One supplier accounted for approximately 7%, 11% and 15% for the years ended December 31, 2021, 2020 and 2019, respectively. Another supplier accounted for approximately 11%, 10% and 12% for the years ended December 31, 2021, 2020 and 2019, respectively. This risk is managed by maintaining a target quantity of surplus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2020, the World Health Organization declared the COVID-19 outbreak a global pandemic. The ongoing COVID-19 pandemic has had, and continues to have, an extensive impact on global health and economic conditions. Many jurisdictions, including those in which the Company has current operations, have implemented measures to combat the spread and resurgence of COVID-19, such as travel restrictions and shelter in place orders. In addition, the healthcare sector generally experienced a decline in discretionary care services at the onset of the pandemic.</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Beginning in April 2020, the Company’s diagnostic test volumes decreased significantly as compared to the prior year as a result of the COVID-19 pandemic and the related limitations and priorities across the healthcare system. In response, beginning in May 2020, the Company entered into several service agreements with state governments and healthcare institutions to provide testing for the presence of COVID-19 variants. While test volumes have since improved, the Company continues to experience changes in the mix of tests due to the impact of the COVID-19 pandemic. COVID-19 could continue to have a material impact on the Company’s results of operations, cash flows and financial condition for the foreseeable future.</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2020, the Coronavirus Aid, Relief and Economic Security Act (“CARES Act”) was signed into law which was a stimulus bill that, among other things, provided assistance to qualifying businesses and individuals and included funding for the healthcare system. During 2020, as part of the stimulus provided by the CARES Act, the Company received $5.4 million, comprised of $2.6 million received under the Provider Relief Fund (“PRF”) distribution and $2.8 million received under the Employee Retention Credit (“ERC”) distribution which was recorded in other current liabilities and reflected in this balance as of December 31, 2020 and December 31, 2021.</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2021, the Company received an additional $5.6 million during 2021 under the PRF distribution, which was recognized in other income (expense), net in the consolidated statements of operations and comprehensive loss.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under the CARES Act, the Company deferred payment of U.S. social security taxes in 2020 . As a result, $3.8 million of employer payroll tax payments were deferred as of December 31, 2020 with $1.9 million paid in December 2021 and the remaining $1.9 million payment will be made in December 2022. As of December 31, 2021, the remaining payable is recorded in other current liabilities.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On December 15, 2021, it was announced that COVID-19 testing services would be discontinued by March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from the date of purchase to be cash equivalents. Cash equivalents consist of amounts invested in money market funds. Carrying values of cash equivalents approximate fair value due to the short-term nature of these instruments.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balance sheets that sum to the total of the same amounts shown on the statements of cash flows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Pr>
          <w:p>
            <w:pPr>
              <w:spacing w:after="0"/>
              <w:rPr>
                <w:sz w:val="16"/>
                <w:szCs w:val="16"/>
                <w:color w:val="auto"/>
              </w:rPr>
            </w:pPr>
          </w:p>
        </w:tc>
      </w:tr>
      <w:tr>
        <w:trPr>
          <w:trHeight w:val="25"/>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5"/>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400,569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108,132</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10,828</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401,469</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Restricted cash as of December 31, 2021 consists of money market deposit accounts that secure an irrevocable standby letter of credit that serve as collateral for security deposits for operating leases (see Note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Accounts receivable consists of amounts due from customers and third party payors for services performed and reflect the consideration to which the Company expects to be entitled in exchange for providing those services. Accounts receivable are estimated and recorded in the period the related revenue is recorded. During the years ended December 31, 2021 and 2020, the Company did not record provisions for doubtful accounts. The Company did not write off any accounts receivable balances for the year ended December 31, 2021 and $0.2 million of accounts receivable was written off for the year ended December 31,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net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Inventory, net which primarily consists of testing supplies and reagents, is capitalized when purchased and expensed when used in performing services. Inventory is stated at the lower of cost or net realizable value. Cost is determined using actual costs on a first-in, first-out basis. The Company periodically performs obsolescence assessments and writes off any inventory that is no longer usable. Any write-down of inventory to net realizable value creates a new cost basis. The Company recorded a reserve for excess and obsolete inventory of $2.1 million as of December 31, 2021. There was no reserve recorded as of December 31,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Property and equipment, net are stated at cost less accumulated depreciation and amortization. Equipment includes assets under capital lease. Improvements are capitalized, while maintenance and repairs are expensed as incurred. When assets are retired or otherwise disposed of, the cost and accumulated depreciation and amortization are removed from the balance sheets and any resulting gain or loss is reflected in the statements of operations and comprehensive loss in the period realized.</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Capital leases and leasehold improvements are amortized straight-line over the shorter of the term of the lease or the estimated useful life. All other property and equipment assets are depreciated using the straight-line method over the estimated useful life of the asset, which ranges from three to five years.</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reviews the recoverability of its long-lived assets when events or changes in circumstances occur that indicate that the carrying value of the asset or asset group may not be recoverable. An impairment loss is recognized when the total estimated future undiscounted cash flows expected to result from the use of the asset and its eventual disposition are less than its carrying amount. Impairment, if any, is assessed using discounted cash flows or other appropriate measures of fair value. There were no long-lived asset impairment losses recorded for any periods presented.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capitalize certain costs incurred related to the development of our software applications for internal use during the application development state. If a project constitutes an enhancement to existing software, we assess whether the enhancement creates 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we estimate the useful life of the asset and begin amortization.</w:t>
      </w:r>
    </w:p>
    <w:p>
      <w:pPr>
        <w:spacing w:after="0" w:line="10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Capitalized software costs are amortized using the straight-line method over an estimated useful life of three years. Capitalized software is reviewed for impairment whenever events or changes in circumstances may indicate that the carrying amount of an asset may not be recoverable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Financial assets and liabilities are recorded at fair value. Fair value is defined as the price that would be received to sell an asset or paid to transfer a liability in an orderly transaction between market participants at the measurement date. The Company determines the fair value of its financial instruments based on assumptions that market participants would use in pricing an asset or liability in the principal or most advantageous market.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hierarchy lists three levels of fair value based on the extent to which inputs used in measuring fair value are observable in the market:</w:t>
      </w:r>
    </w:p>
    <w:p>
      <w:pPr>
        <w:spacing w:after="0" w:line="171"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Observable inputs such as quoted prices (unadjusted) in active markets that are accessible at the measurement date for identical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116"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inputs such as quoted prices for similar instruments in active markets, quoted prices for identical or similar instruments in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not active or model-derived valuations whose significant inputs are observable.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that are significant to the measurement of fair value but are supported by little to no market data.</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financial assets and liabilities consist of cash and cash equivalents, restricted cash, accounts receivable, accounts payable, accrued liabilities, capital leases and long-term debt. The Company’s cash and cash equivalents, restricted cash, accounts receivable, accounts payable and accrued liabilities approximate their fair value due to the relatively short-term nature of these accounts.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capital leases are classified within level 1 of the fair value hierarchy because such agreements bear interest at rates for instruments with similar characteristics; accordingly, the carrying value of these liabilities approximate their fair values.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loan from the Connecticut Department of Economic and Community Development is classified within level 2 of the fair value hierarchy. As of December 31, 2021, the long-term debt is recorded at its carrying value of $11.0 million in the consolidated balance sheet. The fair value is $10.2 million, which is estimated based on discounted cash flows using the yields of similar debt instruments of other companies with similar credit profiles.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the consummation of the Merger in July 2021, there were 21,995,000 warrants to purchase shares of Class A common stock outstanding, including 14,758,333 public warrants and 7,236,667 private placement warrants. As of December 31, 2021, there were 21,994,972 warrants to purchase shares of Class A common stock outstanding, including 14,758,305 public warrants and 7,236,667 private placement warrants outstanding. Each warrant expires five years after the Business Combination or earlier upon redemption or liquidation, and entitles the holder to purchase one share of Class A common stock at an exercise price of $11.50 per share, subject to adjustment, at any time commencing on September 4, 2021.</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may redeem the outstanding public warrants if the price per share of the Class A common stock equals or exceeds $18.00 as described below:</w:t>
      </w:r>
    </w:p>
    <w:p>
      <w:pPr>
        <w:spacing w:after="0" w:line="116"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$18.00 per share (as adjusted) for any 20 trading days within a 30-trading day period ending three trading days before sending the notice of redemption to warrant holders.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Company may redeem the outstanding public warrants if the price per share of the common stock equals or exceeds $10.00 as described below:</w:t>
      </w:r>
    </w:p>
    <w:p>
      <w:pPr>
        <w:spacing w:after="0" w:line="183"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44" w:lineRule="exact"/>
        <w:rPr>
          <w:sz w:val="20"/>
          <w:szCs w:val="20"/>
          <w:color w:val="auto"/>
        </w:rPr>
      </w:pPr>
    </w:p>
    <w:p>
      <w:pPr>
        <w:ind w:left="660" w:hanging="328"/>
        <w:spacing w:after="0" w:line="308" w:lineRule="auto"/>
        <w:tabs>
          <w:tab w:leader="none" w:pos="65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if, and only if, the closing price of the Class A common stock equals or exceeds $10.00 per share (as adjusted) for any 20 trading days within the 30-trading day period ending three trading days before the Company sends the notice of redemption to the warrant holders; and</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the closing price of the common stock for any 20 trading days within a 30-trading day period ending three trading days before the Company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private placement warrants were issued to CMLS Holdings, LLC, Mr. Munib Islam, Dr. Emily Leproust and Mr. Nat Turner, and are identical to the public warrants underlying the units sold in the initial public offering, except that (1) the private placement warrants and the common stock issuable upon the exercise of the private placement warrants would 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$10.00) so long as they are held by the initial purchasers or their permitted transferees, and (4) the holders of the private placement warrants and the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accounts for warrants as liability-classified instruments based on an assessment of the warrant terms and applicable authoritative guidance in accordance with ASC 480-Distinguishing Liabilities from Equity (“ASC 480”) and ASC 815-Derivatives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assessment is conducted at the time of warrant issuance and as of each subsequent quarterly period end date while the warrants are outstanding.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contingent liability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Merger, all Legacy Sema4 stockholders and option holders at that time became entitled to a pro rata share of 19,021,576 earn-out shares and earn-out Restricted Stock Units (“RSUs”). Based on an assessment of the earn-out shares for the Legacy Sema4 stockholders, the Company considered ASC 480 and ASC 815 and accounted for the earn-out shares as a liability. The Company subsequently measures the fair value of the liability at each reporting period and reports the changes in fair value recorded as a component of other income (expense), net in the consolidated statements of operations and comprehensive loss.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Company determined the fair value of the earn-out shares issued to the Legacy Sema4 stockholders as of December 31, 2021 was $10.2 million.</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for the earn-out RSUs for the Legacy Sema4 option holders, a total of 2.7 million RSUs were granted on December 9, 2021. The vesting of such arrangement is conditioned on the satisfaction of both a service requirement and on the satisfaction of a market-based requirement. The market-based requirement would be achieved if the Company’s stock price is greater than or equal to $13 (Triggering Event I), $15 (Triggering Event II) and $18 (Triggering Event III) during the applicable performance period, based on the volume-weighted average price for a period of at least 20 days out of 30 consecutive trading days. Therefore, the Company accounts for this arrangement in accordance with ASC 718- Compensation — Stock Compensation (“ASC 718”) and stock-compensation expense is recognized over the longer of the expected achievement period for the market-based requirement and the service requirement. The Company recorded $0.2 million in relation to the earn-out RSU for the year ended December 31, 2021. In the event that any earn-out RSUs that are forfeited as a result of a failure to achieve the service requirement, the underlying shares will be reallocated on an annual basis to the Legacy Sema4 stockholders and to the Legacy Sema4 option holders who remain employed as of the date of such reallocation. The Company accounts for the re-allocations to Legacy Sema4 option holders as new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the earn-out is determined using a Monte Carlo valuation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measures stock-based compensation at the grant date based on the fair value of the award and recognizes stock-based compensation expense over the requisite service period for each separate vesting portion of the award on a straight-line basis. Determining the fair value of stock option awards requires judgment, including estimating stock price volatility and expected option life. Restricted stock awards are valued based on the fair value of the stock on the grant date. The Company uses the Black-Scholes option-pricing model to estimate the fair value of its stock option awards.</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issues new shares upon share option exercise and vesting of a restricted share unit. Forfeitures of stock-based compensation are recognized as they occur.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Income taxes are accounted for under the asset and liability method. The provision for income taxes represents income taxes paid or payable for the current year plus the change in deferred taxes during the year. Current and deferred income taxes are measured based on the tax laws that are enacted as of the balance sheet date of the relevant reporting period. Deferred tax assets and liabilities are recognized for the expected future tax consequences of temporary differences between the carrying amounts of assets and liabilities and their respective tax bases using tax rates in effect for the year in which the differences are expected to reverse. The effect on deferred tax assets and liabilities of a change in tax rates is recognized in the statements of operations and comprehensive loss in the period when the change is enacted. A valuation allowance is established when it is more likely than not that some or all of the deferred tax assets will not be realized. Based on the Company’s historical operating losses, the Company has recorded a valuation allowance to reduce deferred tax assets to the amount that is more likely than not to be realized.</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the effect of a tax position when it is more likely than not, based on technical merits, that the position will be sustained upon examination by the appropriate taxing authorities. The amount of tax benefit recognized for an uncertain tax position is the largest amount of benefit with a greater than 50 percent likelihood of being realized. Unrecognized tax benefits are included within other liabilities if recognized and are charged to earnings in the period that such determination is made. The Company records interest and penalties related to tax uncertainties, if applicable, as a component of income tax expense.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categorizes lease agreements at their inception as either operating or capital leases.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operating leases, the Company recognizes related rent expense on a straight-line basis over the term of the applicable lease agreement. Certain lease agreements contain rent holidays, scheduled rent increases and lease incentives. Rent holidays and scheduled rent increases are included in the determination of rent expense to be recorded over the lease term. Any lease incentives reduce rent expense the Company records on a straight-line basis over the term of the lease. The Company recognizes rent expense beginning on the date it obtains the legal right to use and control the leased space.</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capital leases, the Company records a leased asset with a corresponding liability. Payments are recorded as reductions to the liability with an interest charge recorded based on the remaining liability.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adopted Accounting Standards Codification (“ASC”) Topic 606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on January 1, 2019 using the modified retrospective method applied to contracts which were not completed as of the adoption date. The Company recognizes revenue when control of the promised goods or services is transferred to the customer in an amount that reflects the consideration which the Company expects to be entitled to in exchange for those goods or services. If any changes in customer credit issues are identified which were not assessed at the date of service, provisions for doubtful accounts are recognized and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diagnostic test revenue contracts typically consist of a single performance obligation to deliver diagnostic testing services to the ordering facility or patient and therefore allocation of the contract transaction price is not applicable. Control over diagnostic testing services is generally transferred at a point in time when the customer obtains control of the promised service which is upon delivery of the test.</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Diagnostic test revenues consist primarily of services reimbursed by third-party insurance payors. Third-party insurance payors include managed care health plans and commercial insurance companies, including plans offered through the health insurance exchanges, and employers. In arrangements with third-party insurance payors, the transaction price is stated within the contract, however, the Company accepts payments from third-party payors that are less than the contractually stated price and is therefore variable consideration and the transaction price is estimated.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determining the transaction price, the Company uses a portfolio approach as a practical expedient to account for categories of diagnostic test contracts as collective groups rather than on an individual contract basis. The portfolio consists of major payor classes based on third-party payors. Based on historical collection trends and other analyses, the Company believes that revenue recognized by utilizing the portfolio approach approximates the revenue that would have been recognized if an individual contract approach was used.</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Estimates of allowances for third-party insurance payors that impact the estimated transaction price are based upon the pricing and payment terms specified in the related contractual agreements. Contractual pricing and payment terms in third-party insurance agreements are generally based upon predetermined rates per diagnosis, per diem rates or discounted fee-for-service rates. In addition, for third-party payors in general, the estimated transaction price is impacted by factors such as historical collection experience, contractual provisions and insurance reimbursement policies, payor mix, and other relevant information for applicable payor portfolios.</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institutional clients, the customer is the institution. The Company determines the transaction price associated with services rendered in accordance with the contractual rates established with each customer.</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Payment terms and conditions vary by contract and customer, however standard payment terms are generally less than 60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enters into both short-term and long-term project-based collaboration and service agreements with customers. Certain of these contracts include the transfer of a license to the Company’s intellectual property or participation by the Company on joint steering committees with the customer, which was considered to be immaterial in the context of the contract. The Company concludes that the goods and services transferred to our customers pursuant to these agreements generally comprise a single performance obligation on the basis that such goods and services are not distinct within the context of the contract. This is because the goods and services are highly interdependent and interrelated such that the Company would not be able to fulfill its underlying promise to our customers by transferring each good or service independently.</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consideration generally includes non-refundable upfront payments and variable payments based upon the achievement of certain milestones or fixed monthly payments during the contract term. Non-refundable upfront payments received prior to the Company performing performance obligation are recorded as a contract liability upon receipt. Milestone payments are included in the transaction price only when it is probable that doing so will not result in a significant reversal of cumulative revenue recognized when the uncertainty associated with the milestone is subsequently resolved. For longer-term contracts, the Company does not account for a significant financing component since a substantial amount of the consideration promised by the customer is variable and the amount or timing of that consideration varies on the basis of a future event that is not substantially within the control of either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satisfies its performance obligation generally over time if the customer simultaneously receives and consumes the benefits provided by the Company’s services as the Company performs those services. The Company recognizes revenue over time using an input measure based on costs incurred on the basis that this measure best reflects the pattern of transfer of control of the services to the customer. In some contracts, the Company subcontracts certain services to other parties for which the Company is ultimately responsible. Costs incurred for such subcontracted services are included in the Company’s measure of progress for satisfying its performance obligation and are recorded in cost of services in the consolidated statements of operations and comprehensive loss. Changes in the total estimated costs to be incurred in measuring the Company’s progress toward satisfying its performance obligation may result in adjustments to cumulative revenue recognized at the time the change in estimate occurs.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operates and manages its business as one reportable operating segment based on how the Chief Executive Officer, who is the Company’s chief operating decision maker (“CODM”), assesses performance and allocates resources across the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January 1, 2021, the Company adopted Accounting Standards Update (“ASU”) 2018-18, Collaborative Arrangements: Clarifying the Interaction between Topic 808 and Topic 606 (“ASU 2018-18”), which clarifies that certain transactions between participants in a collaborative arrangement should be accounted for under ASC Topic 606 (“ASC 606”), Revenue from Contracts with Customers, when the counterparty is a customer. In addition, ASC Topic 808 (“ASC 808”), Collaborative Arrangements precludes an entity from presenting consideration from a transaction in a collaborative arrangement as revenue from contracts with customers if the counterparty is not a customer for that transaction. Adoption of ASU 2018-18 did not have an impact on the Company’s consolidated financial statements as the Company is not currently a participant in any such collaborative arrangements.</w:t>
      </w:r>
    </w:p>
    <w:p>
      <w:pPr>
        <w:spacing w:after="0" w:line="1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adopted ASU 2018-15, Intangibles – Goodwill and Other – Internal-Use Software (Subtopic 350-40): Customer’s Accounting for Implementation Costs Incurred in a Cloud Computing Arrangement That Is a Service Contract (“ASU 2018-15”) for the annual period ended December 31, 2021. ASU 2018-15 aligns the accounting for costs incurred to implement a cloud computing arrangement that is a service arrangement with the guidance on capitalizing costs associated with developing or obtaining internal-use software. The Company adopted and applied this update prospectively to all implementation costs incurred during the year ended December 31, 2021, $2.3 million of implementation costs are capitalized and recorded in other current and non-current assets. The Company capitalizes certain costs incurred during the application development stage and all costs incurred during the preliminary project and post-implementation stages are expensed as incurred. Amortization begins when the cloud computing arrangement is ready for its intended use and is calculated on a straight-line basis over the fixed noncancellable periods plus renewal periods the Company deems it reasonably certain to exercise.</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adopted ASU 2019-12, Income Taxes (Topic 740): Simplifying the Accounting for Income Taxes (“ASU 2019-12”). ASU 2019-12 updates specific areas of ASC 740, Income Taxes, to reduce complexity while maintaining or improving the usefulness of the information provided to users of financial statements. The Company has adopted the new standard in the fourth quarter of 2021 and upon adoption we did not have a material impact on our consolidated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February 2016, the FASB issued ASU 2016-02, Leases (“Topic 842”), which requires lessees to recognize right-of-use assets and lease liabilities for most leases on their balance sheets. Expense recognition for lessees under Topic 842 is similar to current lease accounting and once adopted, it will require enhanced disclosures to help the financial statement users better understand the amount, timing, and uncertainty of cash flows arising from leases. The recognition, measurement and presentation of expenses and cash flows arising from a lease will primarily depend on its classification as a finance or operating lease. As an emerging growth company, the Company elected to adopt the Topic 842 under the extended transition period available to entities in the “all other” category, which would be effective for the annual period beginning on January 1, 2022 and all interim periods within the year ended December 31, 2023. Early adoption is permitted. The Company has selected an information system application to centralize the tracking and accounting for the Company’s leases and is currently in the process of completing implementation of that application. The Company plans to adopt the Topic 842 using the modified retrospective transition method and will not restate comparative periods. The modified retrospective transition method requires the cumulative effect, if any, of initially applying the guidance to be recognized as an adjustment to our accumulated deficit as of that adoption date. The Company plans to elect the package of practical expedients permitted under the transition guidance within the Topic 842, which allows the Company to carry forward prior conclusions about lease identification, classification and initial direct costs for leases entered into prior to adoption of the Topic 842. Additionally, the Company plans to not separate lease and non-lease components of the leases. For leases with a term of 12 months or less, the Company plans to elect the short-term lease exemption, which allows it to not recognize right-of-use assets or lease liabilities for qualifying leases existing at transition and new leases we may enter into in the future. The Company is currently in the process of quantifying the impact, but is currently unable to estimate the impact on the consolidated financial statements.</w:t>
      </w:r>
    </w:p>
    <w:p>
      <w:pPr>
        <w:spacing w:after="0" w:line="1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 Instruments</w:t>
      </w:r>
      <w:r>
        <w:rPr>
          <w:rFonts w:ascii="Arial" w:cs="Arial" w:eastAsia="Arial" w:hAnsi="Arial"/>
          <w:sz w:val="16"/>
          <w:szCs w:val="16"/>
          <w:color w:val="auto"/>
        </w:rPr>
        <w:t xml:space="preserve"> (“ASU 2016-13”). The new credit losses standard changes the impairment model for most financial assets and certain other instruments. For trade 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15, 2022, with early adoption permitted. Application of the amendments is through a cumulative-effect adjustment to the opening retained earnings as of the beginning of the first reporting period in which the guidance is effective. The Company is currently evaluating the impact of the new guidance on its financial statements and related disclosures.</w:t>
      </w:r>
    </w:p>
    <w:p>
      <w:pPr>
        <w:spacing w:after="0" w:line="11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new standard is effective for the Company on January 1, 2022 and only impacts annual financial statement footnote disclosures. The Company does not expect the impact of adopting this new accounting guidance to have a material effect on its consolidated financial statements and related disclosures.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As discussed in Note 1, on July 22, 2021, the Company consummated the Business Combination and received net cash proceeds of $510.0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Business Combination, the following occurred:</w:t>
      </w:r>
    </w:p>
    <w:p>
      <w:pPr>
        <w:spacing w:after="0" w:line="171" w:lineRule="exact"/>
        <w:rPr>
          <w:sz w:val="20"/>
          <w:szCs w:val="20"/>
          <w:color w:val="auto"/>
        </w:rPr>
      </w:pPr>
    </w:p>
    <w:p>
      <w:pPr>
        <w:ind w:left="660" w:hanging="328"/>
        <w:spacing w:after="0" w:line="277"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Holders of 10,188 shares of CMLS’s Class A common stock sold in its initial public offering (the “public shares”) exercised their right to have such shares redeemed for a full pro rata portion of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holding the proceeds from CMLS’s initial public offering (the “IPO”), which was approximately $10.00 per share, or $101,880 in aggregate.</w:t>
      </w:r>
    </w:p>
    <w:p>
      <w:pPr>
        <w:spacing w:after="0" w:line="183"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share of CMLS’s Class B common stock was automatically converted into common stock of the Company.</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share of the Legacy Sema4 Class B common stock was converted into 1/100th of a share of Legacy Sema4 Class A common stock and each share of Legacy Sema4 common stock and preferred stock was canceled and received a portion of the merger consideration, resulting in certain Legacy Sema4 stockholders receiving $230,665,220 of cash and the Legacy Sema4 stockholders receiving an aggregate of 178,336,298 shares of common stock of the Company.</w:t>
      </w:r>
    </w:p>
    <w:p>
      <w:pPr>
        <w:spacing w:after="0" w:line="132"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Pursuant to subscription agreements entered into on February 9, 2021, certain investors agreed to subscribe for an aggregate of 35,000,000 newly-issued shares of common stock at a purchase price of $10.00 per share for an aggregate purchase price of $350,000,000 (the “PIPE Investment”). Concurrently with the closing of the Business Combination, the Company consummated the PIPE Investment.</w:t>
      </w:r>
    </w:p>
    <w:p>
      <w:pPr>
        <w:spacing w:after="0" w:line="111" w:lineRule="exact"/>
        <w:rPr>
          <w:rFonts w:ascii="Arial" w:cs="Arial" w:eastAsia="Arial" w:hAnsi="Arial"/>
          <w:sz w:val="17"/>
          <w:szCs w:val="17"/>
          <w:color w:val="auto"/>
        </w:rPr>
      </w:pPr>
    </w:p>
    <w:p>
      <w:pPr>
        <w:ind w:left="660" w:hanging="328"/>
        <w:spacing w:after="0" w:line="342" w:lineRule="auto"/>
        <w:tabs>
          <w:tab w:leader="none" w:pos="65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After giving effect to the Merger, the redemption of public shares and the conversion of the CMLS Class B common stock as described above, and the consummation of the PIPE Investment, there were 240,190,402 shares of the Company’s common stock issued and outstanding.</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recorded $51.8 million of transaction costs which consist of direct, incremental legal, professional, accounting, and other third-party fees that were directly related to the execution of the Merger in additional paid-in capital. Upon consummation of the Merger, $9.0 million of the transaction costs relates to costs incurred by Legacy Sema4 and reclassed to offset against equity from prepaid expense and other current assets.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disaggregated revenue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Patients with third-party insurance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169,576</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138,153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169,538</w:t>
            </w: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Institutional customers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20,888</w:t>
            </w:r>
          </w:p>
        </w:tc>
      </w:tr>
      <w:tr>
        <w:trPr>
          <w:trHeight w:val="230"/>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Self-pay patients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diagnostic test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191,667</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Reassessment of variable consideration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Subsequent changes to the estimate of the transaction price, determined on a portfolio basis when applicable, are generally recorded as adjustments to revenue in the period of the change. The Company updates variable consideration estimated quarterly. Our assessment performed at year-end did not result in material adjustments to the Company’s previously reported revenue or accounts receivable amounts.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Due to the long-term nature of the collaboration service agreement, the Company’s obligations pursuant to such agreements represent partially unsatisfied performance obligations as of December 31, 2021. The revenues under existing service agreements with original expected durations of more than one year are estimated to be approximately $10.2 million. The Company expects to recognize the majority of this revenue over the next 3.3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 assets consist of the Company’s right to consideration that is conditional upon its future performance. Contract assets arise in collaboration service agreements for which revenue is recognized over time but the Company’s right to bill the customer is contingent upon the achievement of contractually-defined milestones.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 liabilities consist of customer payments in excess of revenues recognized. For collaboration service agreements, the Company assesses the performance obligations and recognizes contract liabilities as current or non-current based upon forecasted performance.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balances of contract assets and contract liabilities is shown in the table below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Contract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6"/>
              </w:rPr>
              <w:t>Contract Liabilities</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Assets</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Contract asset additions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1,163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prepayments</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recognized</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contract assets as of December 31, 2021 is primarily due to the execution of a service agreement with a customer during the year. The Company presents contracts assets and contract liabilities arising from this customer contract on a net basis on its balance sheets. As of December 31, 2021 and December 31, 2020, $0.5 million and $1.8 million are recorded as current contract liabilities,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fulfill contracts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Costs associated with fulfilling the Company’s performance obligations pursuant to its collaboration service agreements include costs for services that are subcontracted to ISMMS. Amounts are generally prepaid and then expensed in line with the pattern of revenue recognition. Prepayment of amounts prior to the costs being incurred are recognized on the balance sheets as current or non-current asset based upon forecasted performance.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and 2020, the Company had outstanding deferred costs to fulfill contracts of $1.8 million and $3.0 million, respectively. At each period, all outstanding deferred costs were recorded as other current assets.</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Amortization of deferred costs was $1.4 million, $0.9 million and $0.7 million for the years ended December 31, 2021, 2020 and 2019, respectively. The amortization of these costs is recorded in cost of services of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fair value of financial instruments that were measured at fair value on a recurring basis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240" w:type="dxa"/>
            <w:vAlign w:val="bottom"/>
          </w:tcPr>
          <w:p>
            <w:pPr>
              <w:jc w:val="right"/>
              <w:ind w:right="474"/>
              <w:spacing w:after="0"/>
              <w:rPr>
                <w:sz w:val="20"/>
                <w:szCs w:val="20"/>
                <w:color w:val="auto"/>
              </w:rPr>
            </w:pPr>
            <w:r>
              <w:rPr>
                <w:rFonts w:ascii="Arial" w:cs="Arial" w:eastAsia="Arial" w:hAnsi="Arial"/>
                <w:sz w:val="14"/>
                <w:szCs w:val="14"/>
                <w:b w:val="1"/>
                <w:bCs w:val="1"/>
                <w:color w:val="auto"/>
              </w:rPr>
              <w:t>Level 3</w:t>
            </w:r>
          </w:p>
        </w:tc>
      </w:tr>
      <w:tr>
        <w:trPr>
          <w:trHeight w:val="211"/>
        </w:trPr>
        <w:tc>
          <w:tcPr>
            <w:tcW w:w="20" w:type="dxa"/>
            <w:vAlign w:val="bottom"/>
          </w:tcPr>
          <w:p>
            <w:pPr>
              <w:spacing w:after="0"/>
              <w:rPr>
                <w:sz w:val="18"/>
                <w:szCs w:val="18"/>
                <w:color w:val="auto"/>
              </w:rPr>
            </w:pPr>
          </w:p>
        </w:tc>
        <w:tc>
          <w:tcPr>
            <w:tcW w:w="4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Pr>
          <w:p>
            <w:pPr>
              <w:spacing w:after="0"/>
              <w:rPr>
                <w:sz w:val="21"/>
                <w:szCs w:val="21"/>
                <w:color w:val="auto"/>
              </w:rPr>
            </w:pPr>
          </w:p>
        </w:tc>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Public warrant liability</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14,463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14,463</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Private warrant liability</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Earn-out contingent liability</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10,244</w:t>
            </w:r>
          </w:p>
        </w:tc>
      </w:tr>
      <w:tr>
        <w:trPr>
          <w:trHeight w:val="248"/>
        </w:trPr>
        <w:tc>
          <w:tcPr>
            <w:tcW w:w="20" w:type="dxa"/>
            <w:vAlign w:val="bottom"/>
          </w:tcPr>
          <w:p>
            <w:pPr>
              <w:spacing w:after="0"/>
              <w:rPr>
                <w:sz w:val="21"/>
                <w:szCs w:val="21"/>
                <w:color w:val="auto"/>
              </w:rPr>
            </w:pPr>
          </w:p>
        </w:tc>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financial liabilities</w:t>
            </w: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10,244</w:t>
            </w: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240" w:type="dxa"/>
            <w:vAlign w:val="bottom"/>
          </w:tcPr>
          <w:p>
            <w:pPr>
              <w:jc w:val="right"/>
              <w:ind w:right="474"/>
              <w:spacing w:after="0"/>
              <w:rPr>
                <w:sz w:val="20"/>
                <w:szCs w:val="20"/>
                <w:color w:val="auto"/>
              </w:rPr>
            </w:pPr>
            <w:r>
              <w:rPr>
                <w:rFonts w:ascii="Arial" w:cs="Arial" w:eastAsia="Arial" w:hAnsi="Arial"/>
                <w:sz w:val="14"/>
                <w:szCs w:val="14"/>
                <w:b w:val="1"/>
                <w:bCs w:val="1"/>
                <w:color w:val="auto"/>
              </w:rPr>
              <w:t>Level 3</w:t>
            </w:r>
          </w:p>
        </w:tc>
      </w:tr>
      <w:tr>
        <w:trPr>
          <w:trHeight w:val="211"/>
        </w:trPr>
        <w:tc>
          <w:tcPr>
            <w:tcW w:w="2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Money market funds</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shd w:val="clear" w:color="auto" w:fill="CCEEFF"/>
          </w:tcPr>
          <w:p>
            <w:pPr>
              <w:spacing w:after="0"/>
              <w:rPr>
                <w:sz w:val="21"/>
                <w:szCs w:val="21"/>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 $400.6 million cash and cash equivalents presented on the consolidated balance sheets, $385.4 million is in money market funds and is classified within Level 1 of the fair value hierarchy as the fair value is based on quoted prices in active markets.</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outstanding warrants include publicly-traded warrants (the “Public Warrants”) which were originally issued in the IPO and warrants sold in a private placement to CMLS Holdings LLC (the “Private Warrants”). The Company evaluated its warrants under ASC 815-40, Derivatives and Hedging— Contracts in Entity’s Own Equity, and concluded that they do not meet the criteria to be classified in stockholders’ equity. Since the Public Warrants and Private Warrants meet the definition of a derivative under ASC 815, the Company recorded these warrants as non-current liabilities on the balance sheet at fair value upon the closing of the Business Combination, with subsequent changes in their respective fair values recognized in other income (expense), net on the consolidated statements of operations and comprehensive loss at each reporting date. As of December 31, 2021, the Public Warrants are classified within Level 1 of the fair value hierarchy as they are traded in active markets. The Private Warrants are classified within Level 2 of the fair value hierarchy as management determined the fair value of each Private Warrant is the same as that of a Public Warrant because the terms are substantially the same.</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contingent obligation to issue earn-out shares for Legacy Sema4 stockholders is accounted for as a liability and required remeasurement at each reporting date. The estimated fair value of the total earn-out shares as of December 31, 2021 is determined based on a Monte Carlo simulation valuation model. The fair value of the earn-out contingent liability is sensitive to expected volatility estimated based on selected guideline public companies and Company’s common stock price which is sensitive to changes in the forecasts of earnings and/or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operating metrics. The key assumptions utilized in determining the valuation as of December 31, 2021 and Closing Date were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66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2021</w:t>
            </w:r>
          </w:p>
        </w:tc>
        <w:tc>
          <w:tcPr>
            <w:tcW w:w="1560" w:type="dxa"/>
            <w:vAlign w:val="bottom"/>
          </w:tcPr>
          <w:p>
            <w:pPr>
              <w:ind w:left="380"/>
              <w:spacing w:after="0"/>
              <w:rPr>
                <w:sz w:val="20"/>
                <w:szCs w:val="20"/>
                <w:color w:val="auto"/>
              </w:rPr>
            </w:pPr>
            <w:r>
              <w:rPr>
                <w:rFonts w:ascii="Arial" w:cs="Arial" w:eastAsia="Arial" w:hAnsi="Arial"/>
                <w:sz w:val="14"/>
                <w:szCs w:val="14"/>
                <w:b w:val="1"/>
                <w:bCs w:val="1"/>
                <w:color w:val="auto"/>
              </w:rPr>
              <w:t>Closing Date</w:t>
            </w: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$4.46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$11.60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62.5%</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70.0%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0.58%</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0.20%</w:t>
            </w:r>
          </w:p>
        </w:tc>
      </w:tr>
    </w:tbl>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earn-out contingent liability is categorized as Level 3 of the fair value hierarchy as the Company utilizes unobservable inputs in estimating volatility rate. Initial fair value determined and recorded at the Closing Date was $143.1 million and a gain of $132.9 million was recorded in the change in fair market value of warrant and earn-out contingent liability in the consolidated statements of operations and comprehensive loss based on re-measurement performed as of December 31, 2021.</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22,818</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Equipment under capital leases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21,384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20,743</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16,736</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Capitalized software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14,631</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under capital lease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Construction in-progress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4,673</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fixtures and other equipment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114,625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93,209</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(51,906)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(30,099)</w:t>
            </w: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62,719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years ended December 31, 2021, 2020 and 2019, depreciation and amortization expense was $21.8 million, $11.7 million and $6.4 million, respectively, which included software amortization expense of $5.6 million, $3.0 million and $1.2 million for the years ended December 31, 2021, 2020 and 2019, respectively. Depreciation and amortization expense is included within the statements of operations and comprehensive loss as follows (in thousands):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24"/>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14,094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821</w:t>
            </w:r>
          </w:p>
        </w:tc>
      </w:tr>
      <w:tr>
        <w:trPr>
          <w:trHeight w:val="23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r>
      <w:tr>
        <w:trPr>
          <w:trHeight w:val="248"/>
        </w:trPr>
        <w:tc>
          <w:tcPr>
            <w:tcW w:w="6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depreciation and amortization expenses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21,807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6,407</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1, 2017, the Company signed a contribution and funding agreement and other agreements with ISMMS, whereby ISMMS contributed certain assets and liabilities related to the Company’s operations, provided certain services to the Company, and also committed to funding the Company up to $55.0 million in future capital contributions in exchange for equity in the Company, of which $55.0 million was drawn as of December 31, 2019. Following the transaction, the Company commenced operations and began providing the services and performing research.</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years ended December 31, 2021, 2020 and 2019, the Company incurred certain costs with ISMMS. Expenses recognized under the TSA totaled $1.4 million, $7.2 million and $7.8 million for the years ended December 31, 2021, 2020 and 2019, respectively, and are presented within related party expenses in the consolidated statements of operations and comprehensive loss. The Company had TSA payables due to ISMMS of $0 and $0.6 million as of December 31, 2021 and 2020, respectively. These amounts are included within due to related parties on the Company’s consolidated balance sheets.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Expenses recognized pursuant to other service arrangements with ISMMS totaled $7.0 million, $4.4 million and $3.5 million for the years ended December 31, 2021, 2020 and 2019, respectively. These amounts are included in either cost of services or related party expenses on the consolidated statements of operations and comprehensive loss depending on the particular activity to which the costs relate. Payables due to ISMMS for the other service arrangements were $2.6 million and $0.8 million as of December 30, 2021 and 2020, respectively. These amounts are included within due to related parties on the Company’s consolidated balance sheets.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the Company incurred $1.3 million in purchases of diagnostic testing kits and materials for the year ended December 31, 2021 from an affiliate of a member of the Board of Directors who has served in the role since July 2021. The prices paid represent market rates. Payables due were $0.1 million as of December 31, 2021.</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related party costs are included within cost of services and related party expenses in the consolidated statements of operations and comprehensive loss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services</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related party costs</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 (the “SVB Agreement”)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15, 2021, the Company and Sema4 OpCo (together, the “Borrower”) entered into the SVB Agreement with Silicon Valley Bank (“SVB”). The SVB Agreement provides for a Revolver up to an aggregate principal amount of $125.0 million, including a sublimit of $20.0 million for Letters of Credit (as such terms are defined in the SVB Agreement). The outstanding principal amount of any Advance (as such term is defined in the SVB Agreement) will bear interest at a floating rate per annum equal to the greater of (1) 4.00% and (2) the Prime Rate plus the Prime Rate Margin. The Revolver will mature on November 15, 2024.</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obligations under the SVB Agreement are secured by a first priority perfected security interest in substantially all of the Company’s assets except for</w:t>
      </w:r>
    </w:p>
    <w:p>
      <w:pPr>
        <w:spacing w:after="0" w:line="46" w:lineRule="exact"/>
        <w:rPr>
          <w:sz w:val="20"/>
          <w:szCs w:val="20"/>
          <w:color w:val="auto"/>
        </w:rPr>
      </w:pPr>
    </w:p>
    <w:p>
      <w:pPr>
        <w:jc w:val="both"/>
        <w:ind w:firstLine="8"/>
        <w:spacing w:after="0" w:line="255" w:lineRule="auto"/>
        <w:tabs>
          <w:tab w:leader="none" w:pos="22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Governmental Collection Accounts (as defined in the SVB Agreement), (ii) more than 65% of the presently existing and thereafter arising issued and outstanding shares of capital stock owned by Borrowers in a Foreign Subsidiary (as such term is defined in the SVB Agreement) and (iii) intellectual property pursuant to the terms of the SVB Agreement.</w:t>
      </w:r>
    </w:p>
    <w:p>
      <w:pPr>
        <w:spacing w:after="0" w:line="13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SVB Agreement contains affirmative and negative covenants, including, among other things, restrictions on indebtedness, liens, investments, mergers, dispositions, and dividends and other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SVB Agreement requires the Borrower to comply with certain financial covenants if Liquidity (as such term is defined in the SVB Agreement) falls below $135.0 million. These financial covenants include (i) a minimum Adjusted Quick Ratio (as such term is defined in the SVB Agreement) and (ii) the achievement of certain minimum revenue targets. On a monthly basis, the Borrowers would be required to maintain a minimum Adjusted Quick Ratio of greater than or equal to 1.25 to 1.0. The Borrower must also maintain certain trailing six-month minimum revenue targets through maturity if outstanding borrowings under the Revolver exceed $50.0 million.</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SVB Agreement also includes customary events of default, including failure to pay principal, interest or certain other amounts when due, material inaccuracy of representations and warranties, violation of covenants, certain bankruptcy and insolvency events, certain undischarged judgments, material invalidity of guarantees or grant of security interest, material adverse change, and involuntary delisting from the Nasdaq Stock Market, in certain cases subject to certain thresholds and grace periods. If one or more events of default occurs and continues beyond any applicable cure period, SVB may, without notice or demand to the Borrower, terminate its commitment to make further loans and declare all of the obligations of the Borrowers under the SVB Agreement to be immediately due and payable. The Company is in compliance with all covenants as of December 31, 2021.</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No amounts have been drawn under the SVB Agreement as of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Funding Commitment</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April 2016, ISMMS received a $5.0 million loan funding commitment (the “DECD Loan Agreement”) from the Connecticut Department of Economic and Community Development (“DECD”) to support the Genetic Sequencing Laboratory Project in Branford, Connecticut (the “Project”). The DECD made a commitment to offer a total of $9.5 million in loan funding for leasehold improvements, construction, equipment, research and development, and administrative expenses over a period of ten years at an annual interest rate of 2.0% (collectively, “Phase 1” and “Phase 2” of funding for the Project). On June 1, 2017, as part of the Spin-out, ISMMS assigned both the agreement underlying the Project and the DECD Loan Agreement to Sema4 OpCo, Inc. (“OpCo”). ISMMS guaranteed and continues to guarantee’s obligation to repay the DECD. Debt due to the DECD is collateralized by providing a security interest in certain machinery and equipment the Company acquired from ISMMS, as defined in a separate security agreement (the “DECD Security Agreement”). The DECD Security Agreement provides a security for the payment and performance of meeting the Company’s obligations to the DECD until the obligations have been fully satisfied.</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2018, the Company amended the existing $9.5 million DECD Loan Agreement (the “Amended DECD Loan Agreement”) with the DECD by increasing the total loan commitment to $15.5 million at the same fixed annual interest rate of 2.0% for a term of 10 years from the date the new funds are disbursed (“Phase 3” of funding for the Project). The terms of the Amended DECD Loan Agreement require the Company to make interest-only payments through July 2023 and principal and interest payments commencing in August 2023 through July 2028.</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under the terms of the Amended DECD Loan Agreement, the DECD may grant partial principal loan forgiveness of up to $12.3 million in the aggregate. Such forgiveness is contingent upon the Company achieving job creation and retention milestones, specifically:</w:t>
      </w:r>
    </w:p>
    <w:p>
      <w:pPr>
        <w:spacing w:after="0" w:line="116" w:lineRule="exact"/>
        <w:rPr>
          <w:sz w:val="20"/>
          <w:szCs w:val="20"/>
          <w:color w:val="auto"/>
        </w:rPr>
      </w:pPr>
    </w:p>
    <w:p>
      <w:pPr>
        <w:ind w:left="660" w:hanging="324"/>
        <w:spacing w:after="0" w:line="308" w:lineRule="auto"/>
        <w:rPr>
          <w:sz w:val="20"/>
          <w:szCs w:val="20"/>
          <w:color w:val="auto"/>
        </w:rPr>
      </w:pPr>
      <w:r>
        <w:rPr>
          <w:rFonts w:ascii="Arial" w:cs="Arial" w:eastAsia="Arial" w:hAnsi="Arial"/>
          <w:sz w:val="17"/>
          <w:szCs w:val="17"/>
          <w:color w:val="auto"/>
        </w:rPr>
        <w:t>– $4.5 million of Phase 1 funding ($5.0 million) was forgiven in September 2018 based on creating and maintaining 35 new full-time positions in Connecticut, with a combined annual average compensation of $70,000 for a period of 24 continuous months by December 31, 2017;</w:t>
      </w:r>
    </w:p>
    <w:p>
      <w:pPr>
        <w:spacing w:after="0" w:line="92" w:lineRule="exact"/>
        <w:rPr>
          <w:sz w:val="20"/>
          <w:szCs w:val="20"/>
          <w:color w:val="auto"/>
        </w:rPr>
      </w:pPr>
    </w:p>
    <w:p>
      <w:pPr>
        <w:ind w:left="660" w:hanging="324"/>
        <w:spacing w:after="0" w:line="263" w:lineRule="auto"/>
        <w:rPr>
          <w:sz w:val="20"/>
          <w:szCs w:val="20"/>
          <w:color w:val="auto"/>
        </w:rPr>
      </w:pPr>
      <w:r>
        <w:rPr>
          <w:rFonts w:ascii="Arial" w:cs="Arial" w:eastAsia="Arial" w:hAnsi="Arial"/>
          <w:sz w:val="18"/>
          <w:szCs w:val="18"/>
          <w:color w:val="auto"/>
        </w:rPr>
        <w:t>– $2.8 million of Phase 2 funding ($4.5 million) will be forgiven based on creating 228 new full-time positions in Connecticut, with a combined annual average compensation of $83,000, and maintaining an average of 269 full-time positions for a period of 24 continuous months by December 31, 2021;</w:t>
      </w:r>
    </w:p>
    <w:p>
      <w:pPr>
        <w:spacing w:after="0" w:line="129" w:lineRule="exact"/>
        <w:rPr>
          <w:sz w:val="20"/>
          <w:szCs w:val="20"/>
          <w:color w:val="auto"/>
        </w:rPr>
      </w:pPr>
    </w:p>
    <w:p>
      <w:pPr>
        <w:ind w:left="660" w:hanging="324"/>
        <w:spacing w:after="0" w:line="263" w:lineRule="auto"/>
        <w:rPr>
          <w:sz w:val="20"/>
          <w:szCs w:val="20"/>
          <w:color w:val="auto"/>
        </w:rPr>
      </w:pPr>
      <w:r>
        <w:rPr>
          <w:rFonts w:ascii="Arial" w:cs="Arial" w:eastAsia="Arial" w:hAnsi="Arial"/>
          <w:sz w:val="18"/>
          <w:szCs w:val="18"/>
          <w:color w:val="auto"/>
        </w:rPr>
        <w:t>– $3.0 million of Phase 3 funding ($6.0 million) will be forgiven based on creating an additional 181 full-time positions in Connecticut, with a combined annual average compensation of $83,000, and maintaining an average of 450 full-time positions for a period of 24 continuous months by December 31, 2022;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44" w:lineRule="exact"/>
        <w:rPr>
          <w:sz w:val="20"/>
          <w:szCs w:val="20"/>
          <w:color w:val="auto"/>
        </w:rPr>
      </w:pPr>
    </w:p>
    <w:p>
      <w:pPr>
        <w:ind w:left="660" w:hanging="324"/>
        <w:spacing w:after="0" w:line="263" w:lineRule="auto"/>
        <w:rPr>
          <w:sz w:val="20"/>
          <w:szCs w:val="20"/>
          <w:color w:val="auto"/>
        </w:rPr>
      </w:pPr>
      <w:r>
        <w:rPr>
          <w:rFonts w:ascii="Arial" w:cs="Arial" w:eastAsia="Arial" w:hAnsi="Arial"/>
          <w:sz w:val="18"/>
          <w:szCs w:val="18"/>
          <w:color w:val="auto"/>
        </w:rPr>
        <w:t>– An additional $2.0 million of funding will be forgiven based on creating an additional 103 full-time positions in Connecticut, with a combined annual average compensation of $83,000, and maintaining an average of 553 full-time positions for a period of 24 continuous months by December 31, 2023.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The outstanding loan balance from the DECD was $11.0 million at December 31, 2021 and 2020.</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9680" w:type="dxa"/>
            <w:vAlign w:val="bottom"/>
          </w:tcPr>
          <w:p>
            <w:pPr>
              <w:spacing w:after="0"/>
              <w:rPr>
                <w:sz w:val="20"/>
                <w:szCs w:val="20"/>
                <w:color w:val="auto"/>
              </w:rPr>
            </w:pPr>
            <w:r>
              <w:rPr>
                <w:rFonts w:ascii="Arial" w:cs="Arial" w:eastAsia="Arial" w:hAnsi="Arial"/>
                <w:sz w:val="18"/>
                <w:szCs w:val="18"/>
                <w:color w:val="auto"/>
              </w:rPr>
              <w:t>As of December 31, 2021, long-term debt matures as follows (in thousands):</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9"/>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875</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2,174</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maturities of long-term debt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net of current portion</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Debt due to the DECD is collateralized by providing a security interest in certain machinery and equipment the Company acquired from ISMMS, as defined in a separate security agreement. The DECD Security Agreement provides a security for the payment and performance of meeting the Company’s obligations to the DECD until the obligations have been fully satisfied.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Loan Agreement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2020, the Company entered into a loan and security agreement with a bank (the “Master Loan Agreement”), in which the Company received a loan of $6.3 million and deposited the proceeds into a deposit account held by the bank. The Company was required to make sixty consecutive monthly payments of principal and interest at a fixed monthly amount of $0.1 million beginning in November 2020. Interest payments were fixed at an annual interest rate of 4.75%.</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the $6.3 million proceeds as restricted cash on the consolidated balance sheets at December 31, 2020. The outstanding loan balance was $6.1 million at December 31, 2020. In July 2021, the Company terminated the Master Loan Agreement by paying off the full amount, including $5.4 million principal and interest and $0.1 million in early payment penalties assessed pursuant to the terms of the agreement which is included in other income, net in the consolidated statements of operations and comprehensive loss.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Lease Agreement</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2020, the Company entered into a lease agreement with a lender whereby the Company agreed to sell certain equipment and immediately lease back the equipment, resulting in proceeds of $3.6 million. Per the terms of the agreement, a financial institution issued an irrevocable standby letter of credit to the lender for $3.6 million. The Company was required to make sixty consecutive monthly payments of principal and interest at a fixed monthly amount of $0.1 million beginning in February 2021. Interest payments were fixed at an annual interest rate of 3.54%.</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was required to maintain an aggregate amount on deposit equal to at least 105% of the value of any outstanding letters of credit issued by the financial institution on the Company’s behalf. The letter of credit was required to be in place until all obligations had been paid in full. Further, the Company was required to furnish annual audited financial statements and other financial information to the lender on a regular basis. The Company was in compliance with the covenants as of December 31, 2020.</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recorded the $3.6 million proceeds as restricted cash on the consolidated balance sheets at December 31, 2020. The outstanding loan balance was $3.6 million at December 31, 2020. In July 2021,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Company terminated the Master Lease Agreement by paying off the full amount, including $3.3 million principal and interest and early payment penalties of $0.2 million assessed pursuant to the terms of the agreement which is included in other income, net in the consolidated statements of operations and comprehensive loss.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operating lease arrangements are principally for office space and laboratory facilities. The Company’s headquarter lease was initially entered into via sub-lease agreements with ISMMS and a third party and they will expire in 2034. The agreements include escalating rent and rent-free period provisions. The third-party sub-lease agreement required the Company to deliver a letter of credit from a financial institution equal to the amount of the security deposit on the office space. Accordingly, in February 2020, a financial institution issued an irrevocable standby letter of credit to the third party for $0.9 million, which is recorded as restricted cash on the consolidated balance sheets as of December 31, 2021.</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2019, the Company entered into a sublease agreement to rent a building to be used for office and laboratory facility (the “Stamford Lease”) for a base term of 325 months, expiring in October 2046. The Company has the option to renew the lease at the end of the initial base term for either one period of 10 years, or two periods of 5 years. There is also an early termination option in which the Company may cancel the lease after the 196th month with cancellation fees. At inception of the Stamford Lease, the value of the land was determined to be more than 25% of the total value and therefore the building is accounted for as a capital lease and the land as an operating lease.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2020, the Company entered into a lease agreement which expanded our existing laboratory facility in Branford, Connecticut. The lease commenced in February 2020 with a 10 year term. The lease includes escalating rent fees over the lease term.</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w w:val="99"/>
              </w:rPr>
              <w:t>Future minimum payments under non-cancelable operating leases as of December 31, 2021 are as follows (in thousands):</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4,474</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4,684</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4,775</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45,463</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obligations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Rent expense is recognized on a straight-line basis over the lease term and the Company recorded rent expense related to non-cancelable operating leases of $5.7 million, $5.3 million and $0.8 million for the years ended December 31, 2021, 2020 and 2019, respectively. Rent expense related to month-to-month operating leases was $1.2 million, $3.2 million, and $2.8 million for the years ended December 31, 2021, 2020 and 2019,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entered into various capital lease agreements to obtain laboratory equipment which contain bargain purchase commitments at the end of the lease term. The terms of the capital leases range from 3 to 5 years with interest rates ranging from 3.7% to 12.0% The leases are secured by the underlying equipment. Interest rate for the Stamford Lease is 13.1%.</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Property and equipment under capital leases was $27.7 million and $27.0 million as of December 31, 2021 and 2020, respectively. Accumulated amortization on capital lease assets was $13.6 million and $9.7 million at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all capital leases, the portion of the future payments designated as principal repayment is recorded as a capital lease obligation on the Company’s consolidated balance sheets in accordance with repayment terms. Future payments under capital leases at December 31, 2021, are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3,584</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2,451</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49,883</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capital lease obligations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65,574</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amounts representing interest</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(43,728)</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net minimum capital lease payments</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21,846</w:t>
            </w:r>
          </w:p>
        </w:tc>
      </w:tr>
      <w:tr>
        <w:trPr>
          <w:trHeight w:val="223"/>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 net of current portion</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Assets acquired under capital leases was $0.6 million, $7.5 million and $9.8 million for the years ended December 31, 2021, 2020 and 2019, respectively. Interest expense related to capital leases was $2.3 million, $2.2 million and $0.7 million for the years ended December 31, 2021, 2020 and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purchase obligations as of December 31, 2021 with a remaining term of at least one year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33"/>
              <w:spacing w:after="0"/>
              <w:rPr>
                <w:sz w:val="20"/>
                <w:szCs w:val="20"/>
                <w:color w:val="auto"/>
              </w:rPr>
            </w:pPr>
            <w:r>
              <w:rPr>
                <w:rFonts w:ascii="Arial" w:cs="Arial" w:eastAsia="Arial" w:hAnsi="Arial"/>
                <w:sz w:val="14"/>
                <w:szCs w:val="14"/>
                <w:b w:val="1"/>
                <w:bCs w:val="1"/>
                <w:color w:val="auto"/>
                <w:w w:val="91"/>
              </w:rPr>
              <w:t>Total Commitments</w:t>
            </w:r>
          </w:p>
        </w:tc>
      </w:tr>
      <w:tr>
        <w:trPr>
          <w:trHeight w:val="229"/>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Materials, services and reagents provider</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11,847</w:t>
            </w: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Software provider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7,252</w:t>
            </w: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r>
      <w:tr>
        <w:trPr>
          <w:trHeight w:val="230"/>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Equipment provider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r>
      <w:tr>
        <w:trPr>
          <w:trHeight w:val="248"/>
        </w:trPr>
        <w:tc>
          <w:tcPr>
            <w:tcW w:w="5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23,091</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enters into contracts with suppliers to purchase materials needed for diagnostic testing. These contracts generally do not require multiple-year purchase commitments.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is a party to various actions and claims arising in the normal course of business. The Company does not believe that the outcome of these matters will have a material effect on the Company’s consolidated financial position, results of operations or cash flows. However, no assurance can be given that the final outcome of such proceedings will not materially impact the Company’s financial condition or results of operations.</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was not a party to any material legal proceedings as of December 31, 2021, nor is it a party to any legal proceedings as of the date of issuance of these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Substantially all of the Company’s employees in the U.S. are eligible to participate in the defined contribution plan the Company sponsors. The defined contribution plan allows employees to contribute a portion of their compensation in accordance with specified guidelines. The Company, at its discretion, makes matching contributions. The Company contributed $8 million, $5.5 million and $4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2017 Equity Incentive Plan (the “2017 Plan”), as amended in February 2018, allowed the grant of options, restricted stock awards, stock appreciation rights and restricted stock units. No options granted under the 2017 Plan are exercisable after 10 years from the date of grant, and option awards generally vest over a four-year period.</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2017 Plan was terminated in connection with the adoption of the Company's 2021 Equity Incentive Plan (the "2021 Plan"). Any awards granted under the 2017 Plan that remained outstanding as of the Closing Date and were converted into awards with respect to the Company’s Class A common stock in connection with the consummation of the Business Combination continue to be subject to the terms of the 2017 Plan and applicable award agreements, except for a modification of the repurchase provision, which is discussed further below.</w:t>
      </w:r>
    </w:p>
    <w:p>
      <w:pPr>
        <w:spacing w:after="0" w:line="13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July 22, 2021, in connection with the Business Combination, the 2021 Plan became effective and 32,734,983 authorized shares of common stock were reserved for issuance thereunder. This Plan will be administered by the Compensation Committee of the Company’s Board of Directors, including determination of the vesting, exercisability and payment of the awards to be granted under this Plan. No awards granted under the 2021 Plan are exercisable after 10 years from the date of grant, and the awards granted under the 2021 Plan generally vest over a four-year period on a graded vesting basis.</w:t>
      </w:r>
    </w:p>
    <w:p>
      <w:pPr>
        <w:spacing w:after="0" w:line="103" w:lineRule="exact"/>
        <w:rPr>
          <w:sz w:val="20"/>
          <w:szCs w:val="20"/>
          <w:color w:val="auto"/>
        </w:rPr>
      </w:pPr>
    </w:p>
    <w:p>
      <w:pPr>
        <w:ind w:right="780"/>
        <w:spacing w:after="0" w:line="438" w:lineRule="auto"/>
        <w:rPr>
          <w:sz w:val="20"/>
          <w:szCs w:val="20"/>
          <w:color w:val="auto"/>
        </w:rPr>
      </w:pPr>
      <w:r>
        <w:rPr>
          <w:rFonts w:ascii="Arial" w:cs="Arial" w:eastAsia="Arial" w:hAnsi="Arial"/>
          <w:sz w:val="18"/>
          <w:szCs w:val="18"/>
          <w:color w:val="auto"/>
        </w:rPr>
        <w:t xml:space="preserve">As of December 31, 2021, there was an aggregate of 15,467,838 shares available for grants of stock options or other awards under the 2021 Plan. </w:t>
      </w:r>
      <w:r>
        <w:rPr>
          <w:rFonts w:ascii="Arial" w:cs="Arial" w:eastAsia="Arial" w:hAnsi="Arial"/>
          <w:sz w:val="18"/>
          <w:szCs w:val="18"/>
          <w:b w:val="1"/>
          <w:bCs w:val="1"/>
          <w:i w:val="1"/>
          <w:iCs w:val="1"/>
          <w:color w:val="auto"/>
        </w:rPr>
        <w:t>Employee Stock Purchase Plan</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2021 Employee Stock Purchase Plan (the “2021 ESPP”) became effective in connection with the Business Combination. The 2021 ESPP authorizes the issuance of shares of common stock pursuant to purchase rights granted to employees. A total of 4,804,011 shares of common stock have been reserved for future issuance under the 2021 ESPP. On each January 1 of each of 2022 through 2031, the aggregate number of shares of common stock reserved for issuance under the 2021 Plan may be increased automatically by the number of shares equal to one percent (1%) of the total number of shares of all classes of common stock issued and outstanding on the immediately preceding December 31. The Company did not make any grants of purchase rights under the 2021 ESPP during the year ended December 31,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2017 Plan, the Company had a call option to repurchase awards for cash from the plan participants upon termination of the participant’s employment or consulting agreement (the “2017 Plan Call Option”). The options granted under the 2017 plan were accounted for as liability awards due to the 2017 Plan Call Option. The Company had a history of repurchase practice and the intention to repurchase the vested options. Therefore, the fair value of the liability awards was remeasured at each reporting period until the stockholder bears the risks and rewards of equity ownership for a reasonable period of time, which the Company concludes is at least six months.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consummation of the Business Combination, the Company’s Board of Directors waived the Company’s right under the 2017 Plan Call Option to repurchase awards for cash from the plan participants upon termination of the participant’s employment or consulting agreement. As such, the Company modified the liability awards to equity awards and reclassified the modification date fair value of the awards to stockholders’ equity in the consolidated financial statements as of July 22, 2021. An incremental expense of $0.4 million resulting from the modification event was recorded in the year ended December 31,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All stock options granted under the 2021 Plan are accounted for as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summarizes the stock option activity, which reflects the conversion of the options granted under the 2017 Plan into awards with respect to the Company Class A common stock in connection with the consummation of the Business Combination (in thousands, except share and per share amounts):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Stock Options</w:t>
            </w:r>
          </w:p>
        </w:tc>
        <w:tc>
          <w:tcPr>
            <w:tcW w:w="120" w:type="dxa"/>
            <w:vAlign w:val="bottom"/>
          </w:tcPr>
          <w:p>
            <w:pPr>
              <w:spacing w:after="0"/>
              <w:rPr>
                <w:sz w:val="11"/>
                <w:szCs w:val="11"/>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1"/>
                <w:szCs w:val="11"/>
                <w:color w:val="auto"/>
              </w:rPr>
            </w:pPr>
          </w:p>
        </w:tc>
        <w:tc>
          <w:tcPr>
            <w:tcW w:w="134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Contractual Life</w:t>
            </w:r>
          </w:p>
        </w:tc>
        <w:tc>
          <w:tcPr>
            <w:tcW w:w="1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(years)</w:t>
            </w:r>
          </w:p>
        </w:tc>
        <w:tc>
          <w:tcPr>
            <w:tcW w:w="100" w:type="dxa"/>
            <w:vAlign w:val="bottom"/>
          </w:tcPr>
          <w:p>
            <w:pPr>
              <w:spacing w:after="0"/>
              <w:rPr>
                <w:sz w:val="16"/>
                <w:szCs w:val="16"/>
                <w:color w:val="auto"/>
              </w:rPr>
            </w:pPr>
          </w:p>
        </w:tc>
        <w:tc>
          <w:tcPr>
            <w:tcW w:w="1340" w:type="dxa"/>
            <w:vAlign w:val="bottom"/>
          </w:tcPr>
          <w:p>
            <w:pPr>
              <w:jc w:val="right"/>
              <w:ind w:right="47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32,339,970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159,899</w:t>
            </w: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Arial" w:cs="Arial" w:eastAsia="Arial" w:hAnsi="Arial"/>
                <w:sz w:val="18"/>
                <w:szCs w:val="18"/>
                <w:color w:val="auto"/>
              </w:rPr>
              <w:t>Options 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3,474,905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(2,248,705)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Options forfeited and canceled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(2,660,627)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30,905,543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109,887</w:t>
            </w: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Options exercisable at December 31, 2021</w:t>
            </w:r>
          </w:p>
        </w:tc>
        <w:tc>
          <w:tcPr>
            <w:tcW w:w="1440" w:type="dxa"/>
            <w:vAlign w:val="bottom"/>
          </w:tcPr>
          <w:p>
            <w:pPr>
              <w:jc w:val="right"/>
              <w:spacing w:after="0"/>
              <w:rPr>
                <w:sz w:val="20"/>
                <w:szCs w:val="20"/>
                <w:color w:val="auto"/>
              </w:rPr>
            </w:pPr>
            <w:r>
              <w:rPr>
                <w:rFonts w:ascii="Arial" w:cs="Arial" w:eastAsia="Arial" w:hAnsi="Arial"/>
                <w:sz w:val="18"/>
                <w:szCs w:val="18"/>
                <w:color w:val="auto"/>
              </w:rPr>
              <w:t>22,930,309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92,974</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Nonvested options outstanding at the end of the year was 7,975,234 with weighted average grant-date fair value of $8.38.</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weighted-average grant-date fair value of options granted and total fair value of the options with tranches vested was $4.97 and $44.6 million for the year ended December 31, 2021, respectively. The weighted-average grant-date fair value of options forfeited and canceled was $10.52 for the year ended December 31, 2021. The aggregate intrinsic value of exercised options was $17.1 million, $0.6 million and $0.0 million in the years ended December 31, 2021, 2020 and 2019, respectively, and is calculated based on the difference between the exercise price and the fair value of the Company’s common stock as of the exercise date. The total payments for share-based liabilities were $0.1 million, $0.3 million and $1.0 million in the years ended December 31, 2021, 2020 and 2019, respectively.</w:t>
      </w:r>
    </w:p>
    <w:p>
      <w:pPr>
        <w:spacing w:after="0" w:line="13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Due to the historical accounting under the liability awards and modification accounting applied upon consummation of the Business Combination, as described above, the Company used the fair value determined on the modification date when calculating the grant-date and total fair value disclosed.</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stock option awards for the period ended December 31, 2021, and as of December 31, 2020, and 2019 were estimated using the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with the following assumptions: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49.60%-67.70%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65.80%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60.00%</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Weighted-average expected volatility</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66.15%</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65.80%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60.00%</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5.00-6.06</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0.50–1.49</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3.00–5.00</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0.71%-1.26%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0.10%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1.40%–1.43%</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Fair value of Class A common stock</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$7.62-$11.60</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$5.49</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$0.77</w:t>
            </w:r>
          </w:p>
        </w:tc>
      </w:tr>
    </w:tbl>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estimated a volatility factor for the Company’s options based on analysis of historical share prices of a peer group of public companies. We did not rely on the volatility of the Company’s common stock because its limited trading history. We estimated the expected term of options granted using the “simplified method,” which is the mid-point between the vesting date and the ending date of the contractual term. We did not rely on the historical holding periods of the Company’s options due to the limited availability of exercise data. We used a risk-free interest rate based on the U.S. Treasury yield curve in effect for bonds with maturities consistent with the expected term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(RSU)</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issued time-based RSUs to employees under the 2021 Plan. The RSUs automatically convert to common stock on a one-for-one basis as the awards vest. The Company measures the value of RSUs at fair value based on the closing price of the underlying common stock on the grant date. The RSUs granted generally vest over a four year vesting period from the grant date, however, the Company also granted certain RSUs during the three months ended December 31, 2021, which were vesting beginning 12 months from the grant date and vesting immediately on the grant date. The following table summarizes the activity related to the Company's time-based RSUs: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Restricted Stock Units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8"/>
        </w:trPr>
        <w:tc>
          <w:tcPr>
            <w:tcW w:w="802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Per Unit</w:t>
            </w:r>
          </w:p>
        </w:tc>
        <w:tc>
          <w:tcPr>
            <w:tcW w:w="0" w:type="dxa"/>
            <w:vAlign w:val="bottom"/>
          </w:tcPr>
          <w:p>
            <w:pPr>
              <w:spacing w:after="0"/>
              <w:rPr>
                <w:sz w:val="1"/>
                <w:szCs w:val="1"/>
                <w:color w:val="auto"/>
              </w:rPr>
            </w:pP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Restricted Stock Units 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14,250,909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Stock Units 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(1,466,010)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Restricted Stock Units 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(195,341)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12,589,558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Nonvested RSUs outstanding at the end of the year was 12,589,558 with weighted average grant-date fair value of $7.64. The total fair value of RSUs vested for the year ended December 31, 2021 was $9.9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RSUs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grant date fair value determined for Triggering Event I, II and III was $1.82, $1.39 and $0.94 per unit, respectively. Any re-allocated RSUs due to the Sema4 Legacy option holders’ forfeiture activities were accounted for as new grants and the fair value determined for Triggering Event I, II and III was $0.86, $0.61 and $0.41 per unit, respectively. Based on the grant date fair value, the Company expects to record total expense related to the Earn-out RSU Awards of $3.5 million. The Company expects to recognize the stock-compensation cost over the longer of the derived service period or service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 (SAR) Activity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historically granted SAR to one employee and one consultant with exercise condition of a liquidation event. As a result of the Business Combination, settlement of the outstanding vested SARs in exchange for a cash payment and to cancel the outstanding unvested SARs was agreed upon and an expense of $3.8 million related to the vested SAR was recognized by the Company during the year ended December 31, 2021. There were no outstanding SARs as of December 31,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 is included within the consolidated statements of operations and comprehensive loss as follows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133"/>
              <w:spacing w:after="0" w:line="224" w:lineRule="exact"/>
              <w:rPr>
                <w:sz w:val="20"/>
                <w:szCs w:val="20"/>
                <w:color w:val="auto"/>
              </w:rPr>
            </w:pPr>
            <w:r>
              <w:rPr>
                <w:rFonts w:ascii="Arial" w:cs="Arial" w:eastAsia="Arial" w:hAnsi="Arial"/>
                <w:sz w:val="18"/>
                <w:szCs w:val="18"/>
                <w:color w:val="auto"/>
                <w:w w:val="85"/>
              </w:rPr>
              <w:t>(Restated)</w:t>
            </w:r>
            <w:r>
              <w:rPr>
                <w:rFonts w:ascii="Arial" w:cs="Arial" w:eastAsia="Arial" w:hAnsi="Arial"/>
                <w:sz w:val="23"/>
                <w:szCs w:val="23"/>
                <w:color w:val="auto"/>
                <w:w w:val="85"/>
                <w:vertAlign w:val="superscript"/>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22,567</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47,183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26,650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1,281</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13" w:lineRule="exact"/>
        <w:rPr>
          <w:sz w:val="20"/>
          <w:szCs w:val="20"/>
          <w:color w:val="auto"/>
        </w:rPr>
      </w:pPr>
    </w:p>
    <w:p>
      <w:pPr>
        <w:ind w:left="320" w:hanging="312"/>
        <w:spacing w:after="0"/>
        <w:tabs>
          <w:tab w:leader="none" w:pos="32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Refer to Note 2, “Summary of Significant Accounting Policies.” for further details and discussions.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2021, unrecognized stock-based compensation cost related to the unvested portion of the Company’s stock options was $29.7 million, which is expected to be recognized on a graded-vesting basis over a weighted-average period of 1.6 years. As of December 31, 2021, unrecognized stock-based compensation cost related to the Company’s RSUs was $78.4 million, which is expected to be recognized on a graded-vesting basis over a weighted-average period of 1.7 years.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Redeemable Convertible Preferred Stock</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shares of Redeemable Convertible Preferred Stock outstanding as of December 31, 2021. Redeemable Convertible Preferred Stock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consisted of the following (in thousands, except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Redeemable Convertible Preferred Stock</w:t>
            </w:r>
          </w:p>
        </w:tc>
        <w:tc>
          <w:tcPr>
            <w:tcW w:w="15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 Authorized</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Issued and</w:t>
            </w:r>
          </w:p>
        </w:tc>
        <w:tc>
          <w:tcPr>
            <w:tcW w:w="280" w:type="dxa"/>
            <w:vAlign w:val="bottom"/>
          </w:tcPr>
          <w:p>
            <w:pPr>
              <w:spacing w:after="0"/>
              <w:rPr>
                <w:sz w:val="14"/>
                <w:szCs w:val="14"/>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Aggregate Liquidation</w:t>
            </w:r>
          </w:p>
        </w:tc>
        <w:tc>
          <w:tcPr>
            <w:tcW w:w="0" w:type="dxa"/>
            <w:vAlign w:val="bottom"/>
          </w:tcPr>
          <w:p>
            <w:pPr>
              <w:spacing w:after="0"/>
              <w:rPr>
                <w:sz w:val="1"/>
                <w:szCs w:val="1"/>
                <w:color w:val="auto"/>
              </w:rPr>
            </w:pPr>
          </w:p>
        </w:tc>
      </w:tr>
      <w:tr>
        <w:trPr>
          <w:trHeight w:val="188"/>
        </w:trPr>
        <w:tc>
          <w:tcPr>
            <w:tcW w:w="518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15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55,399,943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55,399,943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Series A-2</w:t>
            </w:r>
          </w:p>
        </w:tc>
        <w:tc>
          <w:tcPr>
            <w:tcW w:w="1440" w:type="dxa"/>
            <w:vAlign w:val="bottom"/>
          </w:tcPr>
          <w:p>
            <w:pPr>
              <w:jc w:val="right"/>
              <w:spacing w:after="0"/>
              <w:rPr>
                <w:sz w:val="20"/>
                <w:szCs w:val="20"/>
                <w:color w:val="auto"/>
              </w:rPr>
            </w:pPr>
            <w:r>
              <w:rPr>
                <w:rFonts w:ascii="Arial" w:cs="Arial" w:eastAsia="Arial" w:hAnsi="Arial"/>
                <w:sz w:val="18"/>
                <w:szCs w:val="18"/>
                <w:color w:val="auto"/>
              </w:rPr>
              <w:t>64,718,940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49,700,364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46,480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49,342</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41,937,960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41,937,960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204,302</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C</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24,497,317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24,496,946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121,397</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Redeemable Convertible Preferred Stock</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186,554,160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171,535,213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430,041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 to the completion of the Business Combination, there were no significant changes to the terms of the Convertible Preferred Stock. Upon closing of the Merger, each share Preferred Stock (as defined in the Proxy Statement) was cancelled and received a portion of the merger consideration, resulting in certain Legacy Sema4 preferred stockholders receiving $230.0 million of cash and an aggregate of 148,543,062 shares of common stock. The Company recorded the conversion at the carrying value of the Redeemable Convertible Preferred Stock at the time of Closing.</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Common Stock</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242,647,604 shares of Sema4 Holdings Class A common stock and 124 shares of Legacy Sema4 Class A common stock issued and outstanding as of December 31, 2021 and 2020, respectively. There were 0 and 130,557 shares of Class B common stock issued and outstanding as of December 31, 2021 and 2020,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incomes taxes consisted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4"/>
                <w:szCs w:val="14"/>
                <w:b w:val="1"/>
                <w:bCs w:val="1"/>
                <w:color w:val="auto"/>
                <w:w w:val="96"/>
              </w:rPr>
              <w:t>Year Ended December 31,</w:t>
            </w: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Domestic</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(29,704)</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7"/>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2019</w:t>
            </w:r>
          </w:p>
        </w:tc>
      </w:tr>
      <w:tr>
        <w:trPr>
          <w:trHeight w:val="211"/>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Federal</w:t>
            </w:r>
          </w:p>
        </w:tc>
        <w:tc>
          <w:tcPr>
            <w:tcW w:w="1120" w:type="dxa"/>
            <w:vAlign w:val="bottom"/>
          </w:tcPr>
          <w:p>
            <w:pPr>
              <w:jc w:val="right"/>
              <w:ind w:right="932"/>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w:t>
            </w:r>
          </w:p>
        </w:tc>
        <w:tc>
          <w:tcPr>
            <w:tcW w:w="112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Foreign</w:t>
            </w:r>
          </w:p>
        </w:tc>
        <w:tc>
          <w:tcPr>
            <w:tcW w:w="1120" w:type="dxa"/>
            <w:vAlign w:val="bottom"/>
          </w:tcPr>
          <w:p>
            <w:pPr>
              <w:jc w:val="right"/>
              <w:ind w:right="932"/>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w:t>
            </w:r>
          </w:p>
        </w:tc>
        <w:tc>
          <w:tcPr>
            <w:tcW w:w="1120" w:type="dxa"/>
            <w:vAlign w:val="bottom"/>
            <w:tcBorders>
              <w:top w:val="single" w:sz="8" w:color="auto"/>
              <w:bottom w:val="single" w:sz="8" w:color="auto"/>
            </w:tcBorders>
            <w:shd w:val="clear" w:color="auto" w:fill="CCEEFF"/>
          </w:tcPr>
          <w:p>
            <w:pPr>
              <w:jc w:val="right"/>
              <w:ind w:right="93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36"/>
        </w:trPr>
        <w:tc>
          <w:tcPr>
            <w:tcW w:w="6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Federal</w:t>
            </w:r>
          </w:p>
        </w:tc>
        <w:tc>
          <w:tcPr>
            <w:tcW w:w="1120" w:type="dxa"/>
            <w:vAlign w:val="bottom"/>
          </w:tcPr>
          <w:p>
            <w:pPr>
              <w:jc w:val="right"/>
              <w:ind w:right="932"/>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w:t>
            </w:r>
          </w:p>
        </w:tc>
        <w:tc>
          <w:tcPr>
            <w:tcW w:w="112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Foreign</w:t>
            </w:r>
          </w:p>
        </w:tc>
        <w:tc>
          <w:tcPr>
            <w:tcW w:w="1120" w:type="dxa"/>
            <w:vAlign w:val="bottom"/>
          </w:tcPr>
          <w:p>
            <w:pPr>
              <w:jc w:val="right"/>
              <w:ind w:right="932"/>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Deferred</w:t>
            </w:r>
          </w:p>
        </w:tc>
        <w:tc>
          <w:tcPr>
            <w:tcW w:w="1120" w:type="dxa"/>
            <w:vAlign w:val="bottom"/>
            <w:tcBorders>
              <w:top w:val="single" w:sz="8" w:color="auto"/>
              <w:bottom w:val="single" w:sz="8" w:color="auto"/>
            </w:tcBorders>
            <w:shd w:val="clear" w:color="auto" w:fill="CCEEFF"/>
          </w:tcPr>
          <w:p>
            <w:pPr>
              <w:jc w:val="right"/>
              <w:ind w:right="93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Total Tax Expense</w:t>
            </w:r>
          </w:p>
        </w:tc>
        <w:tc>
          <w:tcPr>
            <w:tcW w:w="1120" w:type="dxa"/>
            <w:vAlign w:val="bottom"/>
            <w:tcBorders>
              <w:bottom w:val="single" w:sz="8" w:color="auto"/>
            </w:tcBorders>
          </w:tcPr>
          <w:p>
            <w:pPr>
              <w:jc w:val="right"/>
              <w:ind w:right="93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1"/>
        </w:trPr>
        <w:tc>
          <w:tcPr>
            <w:tcW w:w="6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years ended December 31, 2021, 2020 and 2019, the Company did not have a current or deferred income tax expense or (benefit). Accordingly, the effective tax rate for the Company for the years ended December 31, 2021, 2020 and 2019 was zero percent. A reconciliation of the anticipated income tax expense/(benefit) computed by applying the statutory federal income tax rate of 21% to income before taxes to the amount reported in the statement of operations and comprehensive loss is as follows (in thousands):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8"/>
              </w:rPr>
              <w:t>Year Ended December 31,</w:t>
            </w:r>
          </w:p>
        </w:tc>
        <w:tc>
          <w:tcPr>
            <w:tcW w:w="1560" w:type="dxa"/>
            <w:vAlign w:val="bottom"/>
            <w:tcBorders>
              <w:bottom w:val="single" w:sz="8" w:color="auto"/>
            </w:tcBorders>
          </w:tcPr>
          <w:p>
            <w:pPr>
              <w:spacing w:after="0"/>
              <w:rPr>
                <w:sz w:val="16"/>
                <w:szCs w:val="16"/>
                <w:color w:val="auto"/>
              </w:rPr>
            </w:pPr>
          </w:p>
        </w:tc>
      </w:tr>
      <w:tr>
        <w:trPr>
          <w:trHeight w:val="187"/>
        </w:trPr>
        <w:tc>
          <w:tcPr>
            <w:tcW w:w="62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1700" w:type="dxa"/>
            <w:vAlign w:val="bottom"/>
            <w:gridSpan w:val="2"/>
          </w:tcPr>
          <w:p>
            <w:pPr>
              <w:jc w:val="center"/>
              <w:ind w:left="36"/>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r>
      <w:tr>
        <w:trPr>
          <w:trHeight w:val="224"/>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 taxes at statutory rate</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4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4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156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700" w:type="dxa"/>
            <w:vAlign w:val="bottom"/>
            <w:gridSpan w:val="2"/>
          </w:tcPr>
          <w:p>
            <w:pPr>
              <w:jc w:val="center"/>
              <w:ind w:left="36"/>
              <w:spacing w:after="0"/>
              <w:rPr>
                <w:sz w:val="20"/>
                <w:szCs w:val="20"/>
                <w:color w:val="auto"/>
              </w:rPr>
            </w:pPr>
            <w:r>
              <w:rPr>
                <w:rFonts w:ascii="Arial" w:cs="Arial" w:eastAsia="Arial" w:hAnsi="Arial"/>
                <w:sz w:val="18"/>
                <w:szCs w:val="18"/>
                <w:color w:val="auto"/>
                <w:w w:val="87"/>
              </w:rPr>
              <w:t>2.1</w:t>
            </w:r>
          </w:p>
        </w:tc>
        <w:tc>
          <w:tcPr>
            <w:tcW w:w="1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3.5</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1700" w:type="dxa"/>
            <w:vAlign w:val="bottom"/>
            <w:gridSpan w:val="2"/>
            <w:shd w:val="clear" w:color="auto" w:fill="CCEEFF"/>
          </w:tcPr>
          <w:p>
            <w:pPr>
              <w:jc w:val="center"/>
              <w:ind w:left="36"/>
              <w:spacing w:after="0"/>
              <w:rPr>
                <w:sz w:val="20"/>
                <w:szCs w:val="20"/>
                <w:color w:val="auto"/>
              </w:rPr>
            </w:pPr>
            <w:r>
              <w:rPr>
                <w:rFonts w:ascii="Arial" w:cs="Arial" w:eastAsia="Arial" w:hAnsi="Arial"/>
                <w:sz w:val="18"/>
                <w:szCs w:val="18"/>
                <w:color w:val="auto"/>
                <w:w w:val="87"/>
              </w:rPr>
              <w:t>0.6</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3.4</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Non-deductible stock-based compensation</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(11.3)</w:t>
            </w:r>
          </w:p>
        </w:tc>
        <w:tc>
          <w:tcPr>
            <w:tcW w:w="1700" w:type="dxa"/>
            <w:vAlign w:val="bottom"/>
            <w:gridSpan w:val="2"/>
          </w:tcPr>
          <w:p>
            <w:pPr>
              <w:jc w:val="center"/>
              <w:ind w:left="36"/>
              <w:spacing w:after="0"/>
              <w:rPr>
                <w:sz w:val="20"/>
                <w:szCs w:val="20"/>
                <w:color w:val="auto"/>
              </w:rPr>
            </w:pPr>
            <w:r>
              <w:rPr>
                <w:rFonts w:ascii="Arial" w:cs="Arial" w:eastAsia="Arial" w:hAnsi="Arial"/>
                <w:sz w:val="18"/>
                <w:szCs w:val="18"/>
                <w:color w:val="auto"/>
                <w:w w:val="91"/>
              </w:rPr>
              <w:t>(7.8)</w:t>
            </w:r>
          </w:p>
        </w:tc>
        <w:tc>
          <w:tcPr>
            <w:tcW w:w="1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(3.3)</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162(m) Limitation</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(5.7)</w:t>
            </w: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Permanent Items</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(0.2)</w:t>
            </w:r>
          </w:p>
        </w:tc>
        <w:tc>
          <w:tcPr>
            <w:tcW w:w="140" w:type="dxa"/>
            <w:vAlign w:val="bottom"/>
          </w:tcPr>
          <w:p>
            <w:pPr>
              <w:spacing w:after="0"/>
              <w:rPr>
                <w:sz w:val="19"/>
                <w:szCs w:val="19"/>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(0.5)</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fair market value gain on warrants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17.0</w:t>
            </w: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(32.0)</w:t>
            </w:r>
          </w:p>
        </w:tc>
        <w:tc>
          <w:tcPr>
            <w:tcW w:w="1700" w:type="dxa"/>
            <w:vAlign w:val="bottom"/>
            <w:gridSpan w:val="2"/>
          </w:tcPr>
          <w:p>
            <w:pPr>
              <w:jc w:val="center"/>
              <w:ind w:left="36"/>
              <w:spacing w:after="0"/>
              <w:rPr>
                <w:sz w:val="20"/>
                <w:szCs w:val="20"/>
                <w:color w:val="auto"/>
              </w:rPr>
            </w:pPr>
            <w:r>
              <w:rPr>
                <w:rFonts w:ascii="Arial" w:cs="Arial" w:eastAsia="Arial" w:hAnsi="Arial"/>
                <w:sz w:val="18"/>
                <w:szCs w:val="18"/>
                <w:color w:val="auto"/>
                <w:w w:val="89"/>
              </w:rPr>
              <w:t>(15.9)</w:t>
            </w:r>
          </w:p>
        </w:tc>
        <w:tc>
          <w:tcPr>
            <w:tcW w:w="1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(24.1)</w:t>
            </w:r>
          </w:p>
        </w:tc>
      </w:tr>
      <w:tr>
        <w:trPr>
          <w:trHeight w:val="25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tax effects of temporary differences and carryforwards that give rise to significant portions of the net deferred tax assets were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132,075</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44,583</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2,337</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Transaction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Research and development credits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4,667</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Unearned revenue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employer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Obsolete inventory reserve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Gross deferred tax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160,463</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61,356</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(155,668)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(58,264)</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and equipment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Capitalized software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204"/>
        </w:trPr>
        <w:tc>
          <w:tcPr>
            <w:tcW w:w="8020" w:type="dxa"/>
            <w:vAlign w:val="bottom"/>
          </w:tcPr>
          <w:p>
            <w:pPr>
              <w:ind w:left="20"/>
              <w:spacing w:after="0" w:line="203" w:lineRule="exact"/>
              <w:rPr>
                <w:sz w:val="20"/>
                <w:szCs w:val="20"/>
                <w:color w:val="auto"/>
              </w:rPr>
            </w:pPr>
            <w:r>
              <w:rPr>
                <w:rFonts w:ascii="Arial" w:cs="Arial" w:eastAsia="Arial" w:hAnsi="Arial"/>
                <w:sz w:val="18"/>
                <w:szCs w:val="18"/>
                <w:color w:val="auto"/>
              </w:rPr>
              <w:t>Net deferred tax assets</w:t>
            </w: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the Company had the following tax net operating loss carryforwards available to reduce future federal and state taxable income, and tax credit carryforwards available to offset future federal and Connecticut income taxes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660" w:type="dxa"/>
            <w:vAlign w:val="bottom"/>
            <w:gridSpan w:val="2"/>
          </w:tcPr>
          <w:p>
            <w:pPr>
              <w:ind w:left="520"/>
              <w:spacing w:after="0"/>
              <w:rPr>
                <w:sz w:val="20"/>
                <w:szCs w:val="20"/>
                <w:color w:val="auto"/>
              </w:rPr>
            </w:pPr>
            <w:r>
              <w:rPr>
                <w:rFonts w:ascii="Arial" w:cs="Arial" w:eastAsia="Arial" w:hAnsi="Arial"/>
                <w:sz w:val="14"/>
                <w:szCs w:val="14"/>
                <w:b w:val="1"/>
                <w:bCs w:val="1"/>
                <w:color w:val="auto"/>
              </w:rPr>
              <w:t>Amount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period</w:t>
            </w:r>
          </w:p>
        </w:tc>
      </w:tr>
      <w:tr>
        <w:trPr>
          <w:trHeight w:val="215"/>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net operating loss carryforwards:</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Federal (pre-2018 net operating losses)</w:t>
            </w:r>
          </w:p>
        </w:tc>
        <w:tc>
          <w:tcPr>
            <w:tcW w:w="1560" w:type="dxa"/>
            <w:vAlign w:val="bottom"/>
          </w:tcPr>
          <w:p>
            <w:pPr>
              <w:jc w:val="right"/>
              <w:spacing w:after="0"/>
              <w:rPr>
                <w:sz w:val="20"/>
                <w:szCs w:val="20"/>
                <w:color w:val="auto"/>
              </w:rPr>
            </w:pPr>
            <w:r>
              <w:rPr>
                <w:rFonts w:ascii="Arial" w:cs="Arial" w:eastAsia="Arial" w:hAnsi="Arial"/>
                <w:sz w:val="18"/>
                <w:szCs w:val="18"/>
                <w:color w:val="auto"/>
              </w:rPr>
              <w:t>33,056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2036-2037</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 (post-2017 net operating losses)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395,421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 expiration</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State and Local</w:t>
            </w:r>
          </w:p>
        </w:tc>
        <w:tc>
          <w:tcPr>
            <w:tcW w:w="1560" w:type="dxa"/>
            <w:vAlign w:val="bottom"/>
          </w:tcPr>
          <w:p>
            <w:pPr>
              <w:jc w:val="right"/>
              <w:spacing w:after="0"/>
              <w:rPr>
                <w:sz w:val="20"/>
                <w:szCs w:val="20"/>
                <w:color w:val="auto"/>
              </w:rPr>
            </w:pPr>
            <w:r>
              <w:rPr>
                <w:rFonts w:ascii="Arial" w:cs="Arial" w:eastAsia="Arial" w:hAnsi="Arial"/>
                <w:sz w:val="18"/>
                <w:szCs w:val="18"/>
                <w:color w:val="auto"/>
              </w:rPr>
              <w:t>589,584</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2028-2042</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 and Local</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 expiration</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Tax credit carryforwards: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 research and development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2038-2040</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Connecticut research and experimental</w:t>
            </w:r>
          </w:p>
        </w:tc>
        <w:tc>
          <w:tcPr>
            <w:tcW w:w="1560" w:type="dxa"/>
            <w:vAlign w:val="bottom"/>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2034-2035</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Connecticut research and development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 expiration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deferred tax valuation allowance balances (in thousands):</w:t>
      </w:r>
    </w:p>
    <w:p>
      <w:pPr>
        <w:spacing w:after="0" w:line="203"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Year</w:t>
            </w:r>
          </w:p>
        </w:tc>
        <w:tc>
          <w:tcPr>
            <w:tcW w:w="2420" w:type="dxa"/>
            <w:vAlign w:val="bottom"/>
            <w:gridSpan w:val="3"/>
          </w:tcPr>
          <w:p>
            <w:pPr>
              <w:ind w:left="100"/>
              <w:spacing w:after="0"/>
              <w:rPr>
                <w:sz w:val="20"/>
                <w:szCs w:val="20"/>
                <w:color w:val="auto"/>
              </w:rPr>
            </w:pPr>
            <w:r>
              <w:rPr>
                <w:rFonts w:ascii="Arial" w:cs="Arial" w:eastAsia="Arial" w:hAnsi="Arial"/>
                <w:sz w:val="14"/>
                <w:szCs w:val="14"/>
                <w:b w:val="1"/>
                <w:bCs w:val="1"/>
                <w:color w:val="auto"/>
                <w:w w:val="99"/>
              </w:rPr>
              <w:t>Balance at the Beginning of Period</w:t>
            </w:r>
          </w:p>
        </w:tc>
        <w:tc>
          <w:tcPr>
            <w:tcW w:w="2440" w:type="dxa"/>
            <w:vAlign w:val="bottom"/>
            <w:gridSpan w:val="2"/>
          </w:tcPr>
          <w:p>
            <w:pPr>
              <w:ind w:left="860"/>
              <w:spacing w:after="0"/>
              <w:rPr>
                <w:sz w:val="20"/>
                <w:szCs w:val="20"/>
                <w:color w:val="auto"/>
              </w:rPr>
            </w:pPr>
            <w:r>
              <w:rPr>
                <w:rFonts w:ascii="Arial" w:cs="Arial" w:eastAsia="Arial" w:hAnsi="Arial"/>
                <w:sz w:val="14"/>
                <w:szCs w:val="14"/>
                <w:b w:val="1"/>
                <w:bCs w:val="1"/>
                <w:color w:val="auto"/>
              </w:rPr>
              <w:t>Additions</w:t>
            </w:r>
          </w:p>
        </w:tc>
        <w:tc>
          <w:tcPr>
            <w:tcW w:w="2420" w:type="dxa"/>
            <w:vAlign w:val="bottom"/>
            <w:gridSpan w:val="2"/>
          </w:tcPr>
          <w:p>
            <w:pPr>
              <w:ind w:left="600"/>
              <w:spacing w:after="0"/>
              <w:rPr>
                <w:sz w:val="20"/>
                <w:szCs w:val="20"/>
                <w:color w:val="auto"/>
              </w:rPr>
            </w:pPr>
            <w:r>
              <w:rPr>
                <w:rFonts w:ascii="Arial" w:cs="Arial" w:eastAsia="Arial" w:hAnsi="Arial"/>
                <w:sz w:val="14"/>
                <w:szCs w:val="14"/>
                <w:b w:val="1"/>
                <w:bCs w:val="1"/>
                <w:color w:val="auto"/>
              </w:rPr>
              <w:t>Write-Offs/Other</w:t>
            </w:r>
          </w:p>
        </w:tc>
        <w:tc>
          <w:tcPr>
            <w:tcW w:w="200" w:type="dxa"/>
            <w:vAlign w:val="bottom"/>
          </w:tcPr>
          <w:p>
            <w:pPr>
              <w:spacing w:after="0"/>
              <w:rPr>
                <w:sz w:val="16"/>
                <w:szCs w:val="16"/>
                <w:color w:val="auto"/>
              </w:rPr>
            </w:pPr>
          </w:p>
        </w:tc>
        <w:tc>
          <w:tcPr>
            <w:tcW w:w="2180" w:type="dxa"/>
            <w:vAlign w:val="bottom"/>
          </w:tcPr>
          <w:p>
            <w:pPr>
              <w:jc w:val="right"/>
              <w:ind w:right="235"/>
              <w:spacing w:after="0"/>
              <w:rPr>
                <w:sz w:val="20"/>
                <w:szCs w:val="20"/>
                <w:color w:val="auto"/>
              </w:rPr>
            </w:pPr>
            <w:r>
              <w:rPr>
                <w:rFonts w:ascii="Arial" w:cs="Arial" w:eastAsia="Arial" w:hAnsi="Arial"/>
                <w:sz w:val="14"/>
                <w:szCs w:val="14"/>
                <w:b w:val="1"/>
                <w:bCs w:val="1"/>
                <w:color w:val="auto"/>
                <w:w w:val="96"/>
              </w:rPr>
              <w:t>Balance at the End of Period</w:t>
            </w:r>
          </w:p>
        </w:tc>
      </w:tr>
      <w:tr>
        <w:trPr>
          <w:trHeight w:val="229"/>
        </w:trPr>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5"/>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58,264</w:t>
            </w:r>
          </w:p>
        </w:tc>
        <w:tc>
          <w:tcPr>
            <w:tcW w:w="10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97,404</w:t>
            </w:r>
          </w:p>
        </w:tc>
        <w:tc>
          <w:tcPr>
            <w:tcW w:w="12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155,668</w:t>
            </w:r>
          </w:p>
        </w:tc>
      </w:tr>
      <w:tr>
        <w:trPr>
          <w:trHeight w:val="229"/>
        </w:trPr>
        <w:tc>
          <w:tcPr>
            <w:tcW w:w="13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80" w:type="dxa"/>
            <w:vAlign w:val="bottom"/>
          </w:tcPr>
          <w:p>
            <w:pPr>
              <w:spacing w:after="0"/>
              <w:rPr>
                <w:sz w:val="19"/>
                <w:szCs w:val="19"/>
                <w:color w:val="auto"/>
              </w:rPr>
            </w:pP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20,082</w:t>
            </w:r>
          </w:p>
        </w:tc>
        <w:tc>
          <w:tcPr>
            <w:tcW w:w="10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38,182</w:t>
            </w:r>
          </w:p>
        </w:tc>
        <w:tc>
          <w:tcPr>
            <w:tcW w:w="120" w:type="dxa"/>
            <w:vAlign w:val="bottom"/>
          </w:tcPr>
          <w:p>
            <w:pPr>
              <w:spacing w:after="0"/>
              <w:rPr>
                <w:sz w:val="19"/>
                <w:szCs w:val="19"/>
                <w:color w:val="auto"/>
              </w:rPr>
            </w:pPr>
          </w:p>
        </w:tc>
        <w:tc>
          <w:tcPr>
            <w:tcW w:w="2420" w:type="dxa"/>
            <w:vAlign w:val="bottom"/>
            <w:gridSpan w:val="2"/>
          </w:tcPr>
          <w:p>
            <w:pPr>
              <w:ind w:left="20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58,264</w:t>
            </w:r>
          </w:p>
        </w:tc>
      </w:tr>
      <w:tr>
        <w:trPr>
          <w:trHeight w:val="229"/>
        </w:trPr>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12,928</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7,154</w:t>
            </w:r>
          </w:p>
        </w:tc>
        <w:tc>
          <w:tcPr>
            <w:tcW w:w="12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20,082</w:t>
            </w: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CARES Act, among other things, includes provisions relating to refundable payroll tax credits, net operating loss carryback periods, alternative minimum tax credit refunds, modifications to the net interest deduction limitations and technical corrections to tax depreciation methods for qualified improvement property.</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CARES Act also provides for the elective deferral of the deposit and payment of the employer share of Social Security taxes for the period beginning March 27, 2020 and ending December 31, 2020. Under the CARES Act, 50% percent of the employer portion of Social Security tax is to be remitted no later than December 31, 2021, with the remaining 50% to be remitted no later than December 31, 2022. The Company has evaluated the effect of the elective deferral on its income tax positions and determined that the corresponding deduction related to the employer portion of Social Security tax is not deductible in the year ended December 31, 2020, resulting in a nominal deferred tax asset. The Company continues to evaluate the potential effects the CARES Act may have on its operations and consolidated financial statements in future periods.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Future realization of the tax benefits of existing temporary differences and carryforwards ultimately depends on the existence of sufficient taxable income within the carryforward period. As of December 31, 2021 and 2020, the Company performed an evaluation to determine whether a valuation allowance was needed. Based on the Company’s analysis, which considered all available evidence, both positive and negative, the Company determined that it is more likely than not that its net deferred tax assets will not be realized. Accordingly, the Company maintained a full valuation allowance as of December 31, 2021, 2020 and 2019. The valuation allowance increased by $97.4 million in 2021, $38.1 million in 2020 and $7.1 million in 2019 primarily due to the increase in net operating loss carryforwards, research and development tax credits, accrued compensation expenses, stock-based compensation and deferred rent expense.</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Internal Revenue Code Section 382, if a corporation undergoes an “ownership change,” the corporation’s ability to use its pre-change NOL carryforwards and other pre-change tax attributes to offset its post-change income may be limited. Generally, an ownership change occurs when certain shareholders increase their aggregated ownership by more than 50 percentage points over their lowest ownership percentage in a testing period (typically three years). The Company has not completed a study to assess whether an ownership change has occurred or whether there have been multiple ownership changes since becoming a “loss corporation” as defined in Section 382. Future changes in stock ownership, which may be outside of the Company’s control, may trigger an ownership change. In addition, future equity offerings or acquisitions that have an equity component of the purchase price could result in an ownership change. If an ownership change has occurred or does occur in the future, utilization of the NOL carryforwards or other tax attributes may be limited.</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740 addresses the determination of whether tax benefits claimed or expected to be claimed on a tax return should be recorded in the financial statements by prescribing a model for recognizing, measuring, and disclosing uncertain tax positions. Unrecognized income tax benefits represent income tax positions taken on income tax returns but not yet recognized in the financial statements.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2021, 2020 and 2019, the Company had nominal gross unrecognized tax benefits which, if recognized, would not impact the effective tax rate due to the Company’s valuation allowance position. Due to the uncertainties associated with any examinations that may arise with the relevant tax authorities, it is not possible to reasonably estimate the impact of any significant increase or decrease to the unrecognized tax benefits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beginning and ending amounts of unrecognized tax benefits for the years ended December 31, 2021, 2020 and 2019 is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6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 January 1</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70"/>
        </w:trPr>
        <w:tc>
          <w:tcPr>
            <w:tcW w:w="6360" w:type="dxa"/>
            <w:vAlign w:val="bottom"/>
          </w:tcPr>
          <w:p>
            <w:pPr>
              <w:ind w:left="240"/>
              <w:spacing w:after="0"/>
              <w:rPr>
                <w:sz w:val="20"/>
                <w:szCs w:val="20"/>
                <w:color w:val="auto"/>
              </w:rPr>
            </w:pPr>
            <w:r>
              <w:rPr>
                <w:rFonts w:ascii="Arial" w:cs="Arial" w:eastAsia="Arial" w:hAnsi="Arial"/>
                <w:sz w:val="18"/>
                <w:szCs w:val="18"/>
                <w:color w:val="auto"/>
              </w:rPr>
              <w:t>Gross increases – tax positions in current period</w:t>
            </w:r>
          </w:p>
        </w:tc>
        <w:tc>
          <w:tcPr>
            <w:tcW w:w="1060" w:type="dxa"/>
            <w:vAlign w:val="bottom"/>
          </w:tcPr>
          <w:p>
            <w:pPr>
              <w:spacing w:after="0"/>
              <w:rPr>
                <w:sz w:val="23"/>
                <w:szCs w:val="23"/>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6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 December 31</w:t>
            </w:r>
          </w:p>
        </w:tc>
        <w:tc>
          <w:tcPr>
            <w:tcW w:w="1060" w:type="dxa"/>
            <w:vAlign w:val="bottom"/>
            <w:tcBorders>
              <w:top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extent penalties and interest would be assessed on any underpayment of income tax, the Company’s policy is that such amounts would be accrued and classified as a component of income tax expense in the financial statements. As of December 31, 2021, 2020 and 2019, the Company has not accrued interest or penalties related to uncertain tax positions.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files U.S federal and multiple state income tax returns as prescribed by the tax laws of the jurisdictions in which it operates. In the normal course of business, the Company is subject to examination by federal and state jurisdictions, where applicable. There are currently no pending federal or state income tax examinations. As a result of the Company’s net operating loss carryforwards, the Company’s federal and state statutes of limitations remain open from 2016 and forward until the net operating loss carryforwards are utilized or expire prior to utilization.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shares of common stock outstanding for the period. The following table sets forth the computation of basic and diluted net loss per share attributable to common stockholders (in thousands, except for share and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(245,390)</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(32,743)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20"/>
              <w:spacing w:after="0" w:line="176" w:lineRule="exact"/>
              <w:rPr>
                <w:sz w:val="20"/>
                <w:szCs w:val="20"/>
                <w:color w:val="auto"/>
              </w:rPr>
            </w:pPr>
            <w:r>
              <w:rPr>
                <w:rFonts w:ascii="Arial" w:cs="Arial" w:eastAsia="Arial" w:hAnsi="Arial"/>
                <w:sz w:val="18"/>
                <w:szCs w:val="18"/>
                <w:color w:val="auto"/>
                <w:w w:val="97"/>
              </w:rPr>
              <w:t>Denominator for basic and diluted earnings per share-weighted-average common</w:t>
            </w: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108,077,439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5,131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shares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(loss) per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(264,056)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Merger, the Company has retroactively adjusted the weighted-average number of shares of common stock outstanding prior to the Merger by multiplying them by the conversion ratio of 123.8339 used to determine the number of shares of common stock into which they converted. The common stock issued as a result of the redeemable convertible preferred stock conversion upon closing of the Merger was included in the basic and diluted (loss) per share calculation on a prospective basis.</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Prior to the consummation of the Merger, the Company applied the two-class method to calculate its basic and diluted net loss per share of common stock, as there were outstanding Class B common stock and redeemable convertible preferred stock that were participating securities. The two-class method is an earnings allocation formula that treats a participating security as having rights to earnings that otherwise would have been available to common stockholders. As the securities were all converted into Sema4 Holdings Class A common stock upon consummation of the Merger, all outstanding Legacy Sema4 Class B common stock has been retroactively converted to the Sema4 Holdings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the outstanding shares of potentially dilutive securities that were excluded from the computation of diluted net loss per share attributable to common stockholders for the period presented because including them would have been anti-dilutive: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options and RSUs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35,519,867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32,339,971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22,491,757</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Outstanding warrants</w:t>
            </w:r>
          </w:p>
        </w:tc>
        <w:tc>
          <w:tcPr>
            <w:tcW w:w="1560" w:type="dxa"/>
            <w:vAlign w:val="bottom"/>
          </w:tcPr>
          <w:p>
            <w:pPr>
              <w:jc w:val="right"/>
              <w:spacing w:after="0"/>
              <w:rPr>
                <w:sz w:val="20"/>
                <w:szCs w:val="20"/>
                <w:color w:val="auto"/>
              </w:rPr>
            </w:pPr>
            <w:r>
              <w:rPr>
                <w:rFonts w:ascii="Arial" w:cs="Arial" w:eastAsia="Arial" w:hAnsi="Arial"/>
                <w:sz w:val="18"/>
                <w:szCs w:val="18"/>
                <w:color w:val="auto"/>
              </w:rPr>
              <w:t>21,994,972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earn-out shares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16,351,897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Outstanding earn-out RSUs</w:t>
            </w:r>
          </w:p>
        </w:tc>
        <w:tc>
          <w:tcPr>
            <w:tcW w:w="1560" w:type="dxa"/>
            <w:vAlign w:val="bottom"/>
          </w:tcPr>
          <w:p>
            <w:pPr>
              <w:jc w:val="right"/>
              <w:spacing w:after="0"/>
              <w:rPr>
                <w:sz w:val="20"/>
                <w:szCs w:val="20"/>
                <w:color w:val="auto"/>
              </w:rPr>
            </w:pPr>
            <w:r>
              <w:rPr>
                <w:rFonts w:ascii="Arial" w:cs="Arial" w:eastAsia="Arial" w:hAnsi="Arial"/>
                <w:sz w:val="18"/>
                <w:szCs w:val="18"/>
                <w:color w:val="auto"/>
              </w:rPr>
              <w:t>2,669,679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(on an if-converted basis)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157,618,388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121,298,525</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76,536,415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189,958,359</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143,790,282</w:t>
            </w:r>
          </w:p>
        </w:tc>
        <w:tc>
          <w:tcPr>
            <w:tcW w:w="0" w:type="dxa"/>
            <w:vAlign w:val="bottom"/>
          </w:tcPr>
          <w:p>
            <w:pPr>
              <w:spacing w:after="0"/>
              <w:rPr>
                <w:sz w:val="1"/>
                <w:szCs w:val="1"/>
                <w:color w:val="auto"/>
              </w:rPr>
            </w:pPr>
          </w:p>
        </w:tc>
      </w:tr>
      <w:tr>
        <w:trPr>
          <w:trHeight w:val="21"/>
        </w:trPr>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rPr>
              <w:t>15. Supplemental Financial Information</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9"/>
        </w:trPr>
        <w:tc>
          <w:tcPr>
            <w:tcW w:w="636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60" w:type="dxa"/>
            <w:vAlign w:val="bottom"/>
          </w:tcPr>
          <w:p>
            <w:pPr>
              <w:spacing w:after="0"/>
              <w:rPr>
                <w:sz w:val="20"/>
                <w:szCs w:val="20"/>
                <w:color w:val="auto"/>
              </w:rPr>
            </w:pPr>
            <w:r>
              <w:rPr>
                <w:rFonts w:ascii="Arial" w:cs="Arial" w:eastAsia="Arial" w:hAnsi="Arial"/>
                <w:sz w:val="18"/>
                <w:szCs w:val="18"/>
                <w:color w:val="auto"/>
              </w:rPr>
              <w:t>Other current liabilities consisted of the following (in thousands):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bonus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Accrued payroll</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6,834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benefits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Accrued commissions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portion of long-term debt</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other liabilities</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GeneDx Acquisition</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January 14, 2022, the Company entered into an Agreement and Plan of Merger and Reorganization (the “Merger Agreement”) with GeneDx, Inc., a New Jersey corporation (“GeneDx”) and a wholly-owned subsidiary of OPKO Health, inc, and the other parties thereto.</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Subject to the terms and conditions of the Merger Agreement, the Company agreed to pay to OPKO Health Inc., of (i) $150 million in cash at the closing of the acquisition (the “Closing”), subject to certain adjustments as provided in the Merger Agreement, (ii) 80 million shares of the Company’s Class A common stock, to be issued at the Closing and (iii) up to $150 million payable following the Closing, if certain revenue-based milestones are achieved for each of the fiscal years ending December 31, 2022 and December 31, 2023 (the “Milestone Payments”). Each Milestone Payment, if and to the extent earned under the terms of the Merger Agreement, will be satisfied through the payment and/or issuance of a combination of cash and shares of Company Class A common stock (valued at $4.86 per share based on the average of the daily volume average weighted price of Company Class A common stock over the period of 30 trading days ended January 12, 2022), with such mix to be determined in Sema4’s sole discretion. The acquisition is expected to close in the first half of 2022, subject to the receipt of the required approval by the Company’s stockholders and the satisfaction of the closing conditions set forth in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Agreements and PIPE Investment (Private Placement)</w:t>
      </w:r>
    </w:p>
    <w:p>
      <w:pPr>
        <w:spacing w:after="0" w:line="17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January 14, 2022, concurrently with the execution of the Merger Agreement, the Company entered into subscription agreements for a private placement financing to issue and sell $200 million in Class A common stock at a price of $4.00 per share to a syndicate of institutional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360" w:type="dxa"/>
            <w:vAlign w:val="bottom"/>
          </w:tcPr>
          <w:p>
            <w:pPr>
              <w:jc w:val="center"/>
              <w:ind w:right="3330"/>
              <w:spacing w:after="0"/>
              <w:rPr>
                <w:sz w:val="20"/>
                <w:szCs w:val="20"/>
                <w:color w:val="auto"/>
              </w:rPr>
            </w:pPr>
            <w:r>
              <w:rPr>
                <w:rFonts w:ascii="Arial" w:cs="Arial" w:eastAsia="Arial" w:hAnsi="Arial"/>
                <w:sz w:val="18"/>
                <w:szCs w:val="18"/>
                <w:b w:val="1"/>
                <w:bCs w:val="1"/>
                <w:color w:val="auto"/>
                <w:w w:val="99"/>
              </w:rPr>
              <w:t>GENEDX, INC. AND SUBSIDIARY</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0" w:type="dxa"/>
            <w:vAlign w:val="bottom"/>
            <w:gridSpan w:val="4"/>
          </w:tcPr>
          <w:p>
            <w:pPr>
              <w:jc w:val="center"/>
              <w:ind w:right="2310"/>
              <w:spacing w:after="0"/>
              <w:rPr>
                <w:sz w:val="20"/>
                <w:szCs w:val="20"/>
                <w:color w:val="auto"/>
              </w:rPr>
            </w:pPr>
            <w:r>
              <w:rPr>
                <w:rFonts w:ascii="Arial" w:cs="Arial" w:eastAsia="Arial" w:hAnsi="Arial"/>
                <w:sz w:val="18"/>
                <w:szCs w:val="18"/>
                <w:b w:val="1"/>
                <w:bCs w:val="1"/>
                <w:color w:val="auto"/>
              </w:rPr>
              <w:t>COMBINED CARVE OUT FINANCIAL STATEMENTS</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40" w:type="dxa"/>
            <w:vAlign w:val="bottom"/>
            <w:gridSpan w:val="3"/>
          </w:tcPr>
          <w:p>
            <w:pPr>
              <w:jc w:val="center"/>
              <w:ind w:right="2650"/>
              <w:spacing w:after="0"/>
              <w:rPr>
                <w:sz w:val="20"/>
                <w:szCs w:val="20"/>
                <w:color w:val="auto"/>
              </w:rPr>
            </w:pPr>
            <w:r>
              <w:rPr>
                <w:rFonts w:ascii="Arial" w:cs="Arial" w:eastAsia="Arial" w:hAnsi="Arial"/>
                <w:sz w:val="18"/>
                <w:szCs w:val="18"/>
                <w:b w:val="1"/>
                <w:bCs w:val="1"/>
                <w:color w:val="auto"/>
                <w:w w:val="95"/>
              </w:rPr>
              <w:t>YEARS ENDED DECEMBER 31, 2021 and 2020</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680" w:type="dxa"/>
            <w:vAlign w:val="bottom"/>
            <w:gridSpan w:val="2"/>
            <w:vMerge w:val="restart"/>
          </w:tcPr>
          <w:p>
            <w:pPr>
              <w:spacing w:after="0"/>
              <w:rPr>
                <w:rFonts w:ascii="Arial" w:cs="Arial" w:eastAsia="Arial" w:hAnsi="Arial"/>
                <w:sz w:val="18"/>
                <w:szCs w:val="18"/>
                <w:color w:val="0000FF"/>
              </w:rPr>
            </w:pPr>
            <w:hyperlink w:anchor="page215">
              <w:r>
                <w:rPr>
                  <w:rFonts w:ascii="Arial" w:cs="Arial" w:eastAsia="Arial" w:hAnsi="Arial"/>
                  <w:sz w:val="18"/>
                  <w:szCs w:val="18"/>
                  <w:color w:val="0000FF"/>
                </w:rPr>
                <w:t>Report of Independent Auditors</w:t>
              </w:r>
            </w:hyperlink>
          </w:p>
        </w:tc>
        <w:tc>
          <w:tcPr>
            <w:tcW w:w="7820" w:type="dxa"/>
            <w:vAlign w:val="bottom"/>
            <w:gridSpan w:val="5"/>
            <w:vMerge w:val="restart"/>
          </w:tcPr>
          <w:p>
            <w:pPr>
              <w:spacing w:after="0"/>
              <w:rPr>
                <w:sz w:val="24"/>
                <w:szCs w:val="24"/>
                <w:color w:val="auto"/>
              </w:rPr>
            </w:pPr>
          </w:p>
        </w:tc>
        <w:tc>
          <w:tcPr>
            <w:tcW w:w="7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2680" w:type="dxa"/>
            <w:vAlign w:val="bottom"/>
            <w:gridSpan w:val="2"/>
            <w:vMerge w:val="continue"/>
          </w:tcPr>
          <w:p>
            <w:pPr>
              <w:spacing w:after="0"/>
              <w:rPr>
                <w:sz w:val="14"/>
                <w:szCs w:val="14"/>
                <w:color w:val="auto"/>
              </w:rPr>
            </w:pPr>
          </w:p>
        </w:tc>
        <w:tc>
          <w:tcPr>
            <w:tcW w:w="7820" w:type="dxa"/>
            <w:vAlign w:val="bottom"/>
            <w:gridSpan w:val="5"/>
            <w:vMerge w:val="continue"/>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gridSpan w:val="2"/>
          </w:tcPr>
          <w:p>
            <w:pPr>
              <w:spacing w:after="0" w:line="156" w:lineRule="exact"/>
              <w:rPr>
                <w:rFonts w:ascii="Arial" w:cs="Arial" w:eastAsia="Arial" w:hAnsi="Arial"/>
                <w:sz w:val="18"/>
                <w:szCs w:val="18"/>
                <w:color w:val="0000FF"/>
                <w:w w:val="91"/>
              </w:rPr>
            </w:pPr>
            <w:r>
              <w:rPr>
                <w:rFonts w:ascii="Arial" w:cs="Arial" w:eastAsia="Arial" w:hAnsi="Arial"/>
                <w:sz w:val="18"/>
                <w:szCs w:val="18"/>
                <w:color w:val="0000FF"/>
                <w:w w:val="91"/>
              </w:rPr>
              <w:t>F-</w:t>
            </w:r>
            <w:hyperlink w:anchor="page215">
              <w:r>
                <w:rPr>
                  <w:rFonts w:ascii="Arial" w:cs="Arial" w:eastAsia="Arial" w:hAnsi="Arial"/>
                  <w:sz w:val="18"/>
                  <w:szCs w:val="18"/>
                  <w:color w:val="0000FF"/>
                  <w:w w:val="91"/>
                </w:rPr>
                <w:t>42</w:t>
              </w:r>
            </w:hyperlink>
          </w:p>
        </w:tc>
        <w:tc>
          <w:tcPr>
            <w:tcW w:w="0" w:type="dxa"/>
            <w:vAlign w:val="bottom"/>
          </w:tcPr>
          <w:p>
            <w:pPr>
              <w:spacing w:after="0"/>
              <w:rPr>
                <w:sz w:val="1"/>
                <w:szCs w:val="1"/>
                <w:color w:val="auto"/>
              </w:rPr>
            </w:pPr>
          </w:p>
        </w:tc>
      </w:tr>
      <w:tr>
        <w:trPr>
          <w:trHeight w:val="27"/>
        </w:trPr>
        <w:tc>
          <w:tcPr>
            <w:tcW w:w="2680" w:type="dxa"/>
            <w:vAlign w:val="bottom"/>
            <w:gridSpan w:val="2"/>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500" w:type="dxa"/>
            <w:vAlign w:val="bottom"/>
            <w:gridSpan w:val="7"/>
          </w:tcPr>
          <w:p>
            <w:pPr>
              <w:spacing w:after="0"/>
              <w:rPr>
                <w:rFonts w:ascii="Arial" w:cs="Arial" w:eastAsia="Arial" w:hAnsi="Arial"/>
                <w:sz w:val="18"/>
                <w:szCs w:val="18"/>
                <w:color w:val="0000FF"/>
              </w:rPr>
            </w:pPr>
            <w:hyperlink w:anchor="page217">
              <w:r>
                <w:rPr>
                  <w:rFonts w:ascii="Arial" w:cs="Arial" w:eastAsia="Arial" w:hAnsi="Arial"/>
                  <w:sz w:val="18"/>
                  <w:szCs w:val="18"/>
                  <w:color w:val="0000FF"/>
                </w:rPr>
                <w:t>Combined Carve Out Balance Sheets</w:t>
              </w:r>
            </w:hyperlink>
          </w:p>
        </w:tc>
        <w:tc>
          <w:tcPr>
            <w:tcW w:w="720" w:type="dxa"/>
            <w:vAlign w:val="bottom"/>
            <w:gridSpan w:val="3"/>
          </w:tcPr>
          <w:p>
            <w:pPr>
              <w:ind w:left="360"/>
              <w:spacing w:after="0"/>
              <w:rPr>
                <w:rFonts w:ascii="Arial" w:cs="Arial" w:eastAsia="Arial" w:hAnsi="Arial"/>
                <w:sz w:val="18"/>
                <w:szCs w:val="18"/>
                <w:color w:val="0000FF"/>
                <w:w w:val="91"/>
              </w:rPr>
            </w:pPr>
            <w:r>
              <w:rPr>
                <w:rFonts w:ascii="Arial" w:cs="Arial" w:eastAsia="Arial" w:hAnsi="Arial"/>
                <w:sz w:val="18"/>
                <w:szCs w:val="18"/>
                <w:color w:val="0000FF"/>
                <w:w w:val="91"/>
              </w:rPr>
              <w:t>F-</w:t>
            </w:r>
            <w:hyperlink w:anchor="page217">
              <w:r>
                <w:rPr>
                  <w:rFonts w:ascii="Arial" w:cs="Arial" w:eastAsia="Arial" w:hAnsi="Arial"/>
                  <w:sz w:val="18"/>
                  <w:szCs w:val="18"/>
                  <w:color w:val="0000FF"/>
                  <w:w w:val="91"/>
                </w:rPr>
                <w:t>44</w:t>
              </w:r>
            </w:hyperlink>
          </w:p>
        </w:tc>
        <w:tc>
          <w:tcPr>
            <w:tcW w:w="0" w:type="dxa"/>
            <w:vAlign w:val="bottom"/>
          </w:tcPr>
          <w:p>
            <w:pPr>
              <w:spacing w:after="0"/>
              <w:rPr>
                <w:sz w:val="1"/>
                <w:szCs w:val="1"/>
                <w:color w:val="auto"/>
              </w:rPr>
            </w:pPr>
          </w:p>
        </w:tc>
      </w:tr>
      <w:tr>
        <w:trPr>
          <w:trHeight w:val="20"/>
        </w:trPr>
        <w:tc>
          <w:tcPr>
            <w:tcW w:w="26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gridSpan w:val="6"/>
          </w:tcPr>
          <w:p>
            <w:pPr>
              <w:spacing w:after="0"/>
              <w:rPr>
                <w:rFonts w:ascii="Arial" w:cs="Arial" w:eastAsia="Arial" w:hAnsi="Arial"/>
                <w:sz w:val="18"/>
                <w:szCs w:val="18"/>
                <w:color w:val="0000FF"/>
                <w:w w:val="89"/>
              </w:rPr>
            </w:pPr>
            <w:hyperlink w:anchor="page218">
              <w:r>
                <w:rPr>
                  <w:rFonts w:ascii="Arial" w:cs="Arial" w:eastAsia="Arial" w:hAnsi="Arial"/>
                  <w:sz w:val="18"/>
                  <w:szCs w:val="18"/>
                  <w:color w:val="0000FF"/>
                  <w:w w:val="89"/>
                </w:rPr>
                <w:t>Combined Carve Out Statements of Comprehensive Loss</w:t>
              </w:r>
            </w:hyperlink>
          </w:p>
        </w:tc>
        <w:tc>
          <w:tcPr>
            <w:tcW w:w="6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gridSpan w:val="2"/>
          </w:tcPr>
          <w:p>
            <w:pPr>
              <w:spacing w:after="0"/>
              <w:rPr>
                <w:rFonts w:ascii="Arial" w:cs="Arial" w:eastAsia="Arial" w:hAnsi="Arial"/>
                <w:sz w:val="18"/>
                <w:szCs w:val="18"/>
                <w:color w:val="0000FF"/>
                <w:w w:val="91"/>
              </w:rPr>
            </w:pPr>
            <w:r>
              <w:rPr>
                <w:rFonts w:ascii="Arial" w:cs="Arial" w:eastAsia="Arial" w:hAnsi="Arial"/>
                <w:sz w:val="18"/>
                <w:szCs w:val="18"/>
                <w:color w:val="0000FF"/>
                <w:w w:val="91"/>
              </w:rPr>
              <w:t>F-</w:t>
            </w:r>
            <w:hyperlink w:anchor="page218">
              <w:r>
                <w:rPr>
                  <w:rFonts w:ascii="Arial" w:cs="Arial" w:eastAsia="Arial" w:hAnsi="Arial"/>
                  <w:sz w:val="18"/>
                  <w:szCs w:val="18"/>
                  <w:color w:val="0000FF"/>
                  <w:w w:val="91"/>
                </w:rPr>
                <w:t>45</w:t>
              </w:r>
            </w:hyperlink>
          </w:p>
        </w:tc>
        <w:tc>
          <w:tcPr>
            <w:tcW w:w="0" w:type="dxa"/>
            <w:vAlign w:val="bottom"/>
          </w:tcPr>
          <w:p>
            <w:pPr>
              <w:spacing w:after="0"/>
              <w:rPr>
                <w:sz w:val="1"/>
                <w:szCs w:val="1"/>
                <w:color w:val="auto"/>
              </w:rPr>
            </w:pPr>
          </w:p>
        </w:tc>
      </w:tr>
      <w:tr>
        <w:trPr>
          <w:trHeight w:val="20"/>
        </w:trPr>
        <w:tc>
          <w:tcPr>
            <w:tcW w:w="2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00" w:type="dxa"/>
            <w:vAlign w:val="bottom"/>
            <w:gridSpan w:val="3"/>
          </w:tcPr>
          <w:p>
            <w:pPr>
              <w:spacing w:after="0"/>
              <w:rPr>
                <w:rFonts w:ascii="Arial" w:cs="Arial" w:eastAsia="Arial" w:hAnsi="Arial"/>
                <w:sz w:val="18"/>
                <w:szCs w:val="18"/>
                <w:color w:val="0000FF"/>
                <w:w w:val="90"/>
              </w:rPr>
            </w:pPr>
            <w:hyperlink w:anchor="page219">
              <w:r>
                <w:rPr>
                  <w:rFonts w:ascii="Arial" w:cs="Arial" w:eastAsia="Arial" w:hAnsi="Arial"/>
                  <w:sz w:val="18"/>
                  <w:szCs w:val="18"/>
                  <w:color w:val="0000FF"/>
                  <w:w w:val="90"/>
                </w:rPr>
                <w:t>Combined Carve Out Statements of Equity</w:t>
              </w:r>
            </w:hyperlink>
          </w:p>
        </w:tc>
        <w:tc>
          <w:tcPr>
            <w:tcW w:w="1040" w:type="dxa"/>
            <w:vAlign w:val="bottom"/>
            <w:gridSpan w:val="3"/>
          </w:tcPr>
          <w:p>
            <w:pPr>
              <w:spacing w:after="0"/>
              <w:rPr>
                <w:sz w:val="18"/>
                <w:szCs w:val="18"/>
                <w:color w:val="auto"/>
              </w:rPr>
            </w:pPr>
          </w:p>
        </w:tc>
        <w:tc>
          <w:tcPr>
            <w:tcW w:w="6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gridSpan w:val="2"/>
          </w:tcPr>
          <w:p>
            <w:pPr>
              <w:spacing w:after="0"/>
              <w:rPr>
                <w:rFonts w:ascii="Arial" w:cs="Arial" w:eastAsia="Arial" w:hAnsi="Arial"/>
                <w:sz w:val="18"/>
                <w:szCs w:val="18"/>
                <w:color w:val="0000FF"/>
                <w:w w:val="91"/>
              </w:rPr>
            </w:pPr>
            <w:r>
              <w:rPr>
                <w:rFonts w:ascii="Arial" w:cs="Arial" w:eastAsia="Arial" w:hAnsi="Arial"/>
                <w:sz w:val="18"/>
                <w:szCs w:val="18"/>
                <w:color w:val="0000FF"/>
                <w:w w:val="91"/>
              </w:rPr>
              <w:t>F-</w:t>
            </w:r>
            <w:hyperlink w:anchor="page219">
              <w:r>
                <w:rPr>
                  <w:rFonts w:ascii="Arial" w:cs="Arial" w:eastAsia="Arial" w:hAnsi="Arial"/>
                  <w:sz w:val="18"/>
                  <w:szCs w:val="18"/>
                  <w:color w:val="0000FF"/>
                  <w:w w:val="91"/>
                </w:rPr>
                <w:t>46</w:t>
              </w:r>
            </w:hyperlink>
          </w:p>
        </w:tc>
        <w:tc>
          <w:tcPr>
            <w:tcW w:w="0" w:type="dxa"/>
            <w:vAlign w:val="bottom"/>
          </w:tcPr>
          <w:p>
            <w:pPr>
              <w:spacing w:after="0"/>
              <w:rPr>
                <w:sz w:val="1"/>
                <w:szCs w:val="1"/>
                <w:color w:val="auto"/>
              </w:rPr>
            </w:pPr>
          </w:p>
        </w:tc>
      </w:tr>
      <w:tr>
        <w:trPr>
          <w:trHeight w:val="20"/>
        </w:trPr>
        <w:tc>
          <w:tcPr>
            <w:tcW w:w="2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00" w:type="dxa"/>
            <w:vAlign w:val="bottom"/>
            <w:gridSpan w:val="7"/>
          </w:tcPr>
          <w:p>
            <w:pPr>
              <w:spacing w:after="0"/>
              <w:rPr>
                <w:rFonts w:ascii="Arial" w:cs="Arial" w:eastAsia="Arial" w:hAnsi="Arial"/>
                <w:sz w:val="18"/>
                <w:szCs w:val="18"/>
                <w:color w:val="0000FF"/>
              </w:rPr>
            </w:pPr>
            <w:hyperlink w:anchor="page220">
              <w:r>
                <w:rPr>
                  <w:rFonts w:ascii="Arial" w:cs="Arial" w:eastAsia="Arial" w:hAnsi="Arial"/>
                  <w:sz w:val="18"/>
                  <w:szCs w:val="18"/>
                  <w:color w:val="0000FF"/>
                </w:rPr>
                <w:t>Combined Carve Out Statements of Cash Flows</w:t>
              </w:r>
            </w:hyperlink>
          </w:p>
        </w:tc>
        <w:tc>
          <w:tcPr>
            <w:tcW w:w="720" w:type="dxa"/>
            <w:vAlign w:val="bottom"/>
            <w:gridSpan w:val="3"/>
          </w:tcPr>
          <w:p>
            <w:pPr>
              <w:ind w:left="360"/>
              <w:spacing w:after="0"/>
              <w:rPr>
                <w:rFonts w:ascii="Arial" w:cs="Arial" w:eastAsia="Arial" w:hAnsi="Arial"/>
                <w:sz w:val="18"/>
                <w:szCs w:val="18"/>
                <w:color w:val="0000FF"/>
                <w:w w:val="91"/>
              </w:rPr>
            </w:pPr>
            <w:r>
              <w:rPr>
                <w:rFonts w:ascii="Arial" w:cs="Arial" w:eastAsia="Arial" w:hAnsi="Arial"/>
                <w:sz w:val="18"/>
                <w:szCs w:val="18"/>
                <w:color w:val="0000FF"/>
                <w:w w:val="91"/>
              </w:rPr>
              <w:t>F-</w:t>
            </w:r>
            <w:hyperlink w:anchor="page220">
              <w:r>
                <w:rPr>
                  <w:rFonts w:ascii="Arial" w:cs="Arial" w:eastAsia="Arial" w:hAnsi="Arial"/>
                  <w:sz w:val="18"/>
                  <w:szCs w:val="18"/>
                  <w:color w:val="0000FF"/>
                  <w:w w:val="91"/>
                </w:rPr>
                <w:t>47</w:t>
              </w:r>
            </w:hyperlink>
          </w:p>
        </w:tc>
        <w:tc>
          <w:tcPr>
            <w:tcW w:w="0" w:type="dxa"/>
            <w:vAlign w:val="bottom"/>
          </w:tcPr>
          <w:p>
            <w:pPr>
              <w:spacing w:after="0"/>
              <w:rPr>
                <w:sz w:val="1"/>
                <w:szCs w:val="1"/>
                <w:color w:val="auto"/>
              </w:rPr>
            </w:pPr>
          </w:p>
        </w:tc>
      </w:tr>
      <w:tr>
        <w:trPr>
          <w:trHeight w:val="20"/>
        </w:trPr>
        <w:tc>
          <w:tcPr>
            <w:tcW w:w="346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00" w:type="dxa"/>
            <w:vAlign w:val="bottom"/>
            <w:gridSpan w:val="7"/>
          </w:tcPr>
          <w:p>
            <w:pPr>
              <w:spacing w:after="0"/>
              <w:rPr>
                <w:rFonts w:ascii="Arial" w:cs="Arial" w:eastAsia="Arial" w:hAnsi="Arial"/>
                <w:sz w:val="18"/>
                <w:szCs w:val="18"/>
                <w:color w:val="0000FF"/>
              </w:rPr>
            </w:pPr>
            <w:hyperlink w:anchor="page221">
              <w:r>
                <w:rPr>
                  <w:rFonts w:ascii="Arial" w:cs="Arial" w:eastAsia="Arial" w:hAnsi="Arial"/>
                  <w:sz w:val="18"/>
                  <w:szCs w:val="18"/>
                  <w:color w:val="0000FF"/>
                </w:rPr>
                <w:t>Notes to Combined Carve Out Financial Statements</w:t>
              </w:r>
            </w:hyperlink>
          </w:p>
        </w:tc>
        <w:tc>
          <w:tcPr>
            <w:tcW w:w="720" w:type="dxa"/>
            <w:vAlign w:val="bottom"/>
            <w:gridSpan w:val="3"/>
          </w:tcPr>
          <w:p>
            <w:pPr>
              <w:ind w:left="360"/>
              <w:spacing w:after="0"/>
              <w:rPr>
                <w:rFonts w:ascii="Arial" w:cs="Arial" w:eastAsia="Arial" w:hAnsi="Arial"/>
                <w:sz w:val="18"/>
                <w:szCs w:val="18"/>
                <w:color w:val="0000FF"/>
                <w:w w:val="91"/>
              </w:rPr>
            </w:pPr>
            <w:r>
              <w:rPr>
                <w:rFonts w:ascii="Arial" w:cs="Arial" w:eastAsia="Arial" w:hAnsi="Arial"/>
                <w:sz w:val="18"/>
                <w:szCs w:val="18"/>
                <w:color w:val="0000FF"/>
                <w:w w:val="91"/>
              </w:rPr>
              <w:t>F-</w:t>
            </w:r>
            <w:hyperlink w:anchor="page221">
              <w:r>
                <w:rPr>
                  <w:rFonts w:ascii="Arial" w:cs="Arial" w:eastAsia="Arial" w:hAnsi="Arial"/>
                  <w:sz w:val="18"/>
                  <w:szCs w:val="18"/>
                  <w:color w:val="0000FF"/>
                  <w:w w:val="91"/>
                </w:rPr>
                <w:t>48</w:t>
              </w:r>
            </w:hyperlink>
          </w:p>
        </w:tc>
        <w:tc>
          <w:tcPr>
            <w:tcW w:w="0" w:type="dxa"/>
            <w:vAlign w:val="bottom"/>
          </w:tcPr>
          <w:p>
            <w:pPr>
              <w:spacing w:after="0"/>
              <w:rPr>
                <w:sz w:val="1"/>
                <w:szCs w:val="1"/>
                <w:color w:val="auto"/>
              </w:rPr>
            </w:pPr>
          </w:p>
        </w:tc>
      </w:tr>
      <w:tr>
        <w:trPr>
          <w:trHeight w:val="20"/>
        </w:trPr>
        <w:tc>
          <w:tcPr>
            <w:tcW w:w="2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15" w:name="page216"/>
    <w:bookmarkEnd w:id="215"/>
    <w:p>
      <w:pPr>
        <w:spacing w:after="0" w:line="140"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Report of Independent Auditors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GeneDx, Inc. and Subsidiary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audited the combined carve-out financial statements of GeneDx, Inc. and subsidiary (the Company), which comprise the combined carve out balance sheets as of December 31, 2021 and 2020, and the related combined carve out statements of comprehensive loss, equity and cash flows for the years then ended, and the related notes (collectively referred to as the “combined financial statements”).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our opinion, the accompanying financial statements present fairly, in all material respects, the financial position of the Company at December 31, 2021 and 2020, and the results of its operations and its cash flows for the years then ended in accordance with accounting principles generally accepted in the United States of America.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 of Management for the Financial Statements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of material misstatement, whether due to fraud or error. 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available to be issued.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Responsibilities for the Audit of the Financial Statements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objectives are to obtain reasonable assurance about whether the financial statements as a whole are free of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In performing an audit in accordance with GAAS, we:</w:t>
      </w:r>
    </w:p>
    <w:p>
      <w:pPr>
        <w:spacing w:after="0" w:line="171"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Exercise professional judgment and maintain professional skepticism throughout the audit.</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1"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 w:lineRule="exact"/>
        <w:rPr>
          <w:rFonts w:ascii="Arial" w:cs="Arial" w:eastAsia="Arial" w:hAnsi="Arial"/>
          <w:sz w:val="16"/>
          <w:szCs w:val="16"/>
          <w:color w:val="auto"/>
        </w:rPr>
      </w:pPr>
    </w:p>
    <w:p>
      <w:pPr>
        <w:ind w:left="660" w:right="20" w:hanging="328"/>
        <w:spacing w:after="0" w:line="260"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Evaluate the appropriateness of accounting policies used and the reasonableness of significant accounting estimates made by management, as well as evaluate the overall presentation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44" w:lineRule="exact"/>
        <w:rPr>
          <w:sz w:val="20"/>
          <w:szCs w:val="20"/>
          <w:color w:val="auto"/>
        </w:rPr>
      </w:pPr>
    </w:p>
    <w:p>
      <w:pPr>
        <w:ind w:left="660" w:hanging="328"/>
        <w:spacing w:after="0" w:line="277"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Miami, FL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Inc. and Subsidiary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CARVE OUT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22,587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Investment in related companies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166,888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183,702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282,024</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Due from Parent and its subsidiaries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526,747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 AND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5,397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4,897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15,779</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23"/>
        </w:trPr>
        <w:tc>
          <w:tcPr>
            <w:tcW w:w="802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21,530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7,340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long-term liabilities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33,999</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45,011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66,541</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8"/>
                <w:szCs w:val="18"/>
                <w:color w:val="auto"/>
              </w:rPr>
              <w:t>Equity:</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Common Stock - $0.01 par value per share, 100 shares authorized; 100 shares issued and outstanding at</w:t>
            </w:r>
          </w:p>
        </w:tc>
        <w:tc>
          <w:tcPr>
            <w:tcW w:w="36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December 31, 2021 and 2020, respectively</w:t>
            </w:r>
          </w:p>
        </w:tc>
        <w:tc>
          <w:tcPr>
            <w:tcW w:w="36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660,506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622,752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(199,438)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(162,546)</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461,068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460,206</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526,747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accompanying Notes to Combined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Inc. and Subsidiary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CARVE OUT STATEMENTS OF COMPREHENSIVE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For the years ended December 31,</w:t>
            </w:r>
          </w:p>
        </w:tc>
      </w:tr>
      <w:tr>
        <w:trPr>
          <w:trHeight w:val="187"/>
        </w:trPr>
        <w:tc>
          <w:tcPr>
            <w:tcW w:w="8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95,020</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74,367</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52,439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41,583</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9,110</w:t>
            </w: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16,813</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141,873</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(49,395)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(46,853)</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expense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(49,439)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(46,940)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12,037</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(34,903)</w:t>
            </w:r>
          </w:p>
        </w:tc>
      </w:tr>
      <w:tr>
        <w:trPr>
          <w:trHeight w:val="21"/>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to Combined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40" w:type="dxa"/>
            <w:vAlign w:val="bottom"/>
            <w:gridSpan w:val="6"/>
          </w:tcPr>
          <w:p>
            <w:pPr>
              <w:jc w:val="center"/>
              <w:ind w:left="139"/>
              <w:spacing w:after="0"/>
              <w:rPr>
                <w:sz w:val="20"/>
                <w:szCs w:val="20"/>
                <w:color w:val="auto"/>
              </w:rPr>
            </w:pPr>
            <w:r>
              <w:rPr>
                <w:rFonts w:ascii="Arial" w:cs="Arial" w:eastAsia="Arial" w:hAnsi="Arial"/>
                <w:sz w:val="18"/>
                <w:szCs w:val="18"/>
                <w:b w:val="1"/>
                <w:bCs w:val="1"/>
                <w:color w:val="auto"/>
                <w:w w:val="91"/>
              </w:rPr>
              <w:t>GeneDx, Inc. and Subsidiary</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8500" w:type="dxa"/>
            <w:vAlign w:val="bottom"/>
            <w:gridSpan w:val="15"/>
          </w:tcPr>
          <w:p>
            <w:pPr>
              <w:jc w:val="center"/>
              <w:ind w:left="2670"/>
              <w:spacing w:after="0"/>
              <w:rPr>
                <w:sz w:val="20"/>
                <w:szCs w:val="20"/>
                <w:color w:val="auto"/>
              </w:rPr>
            </w:pPr>
            <w:r>
              <w:rPr>
                <w:rFonts w:ascii="Arial" w:cs="Arial" w:eastAsia="Arial" w:hAnsi="Arial"/>
                <w:sz w:val="18"/>
                <w:szCs w:val="18"/>
                <w:b w:val="1"/>
                <w:bCs w:val="1"/>
                <w:color w:val="auto"/>
              </w:rPr>
              <w:t>COMBINED CARVE OUT STATEMENTS OF EQUITY</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9"/>
          </w:tcPr>
          <w:p>
            <w:pPr>
              <w:jc w:val="center"/>
              <w:ind w:right="140"/>
              <w:spacing w:after="0"/>
              <w:rPr>
                <w:sz w:val="20"/>
                <w:szCs w:val="20"/>
                <w:color w:val="auto"/>
              </w:rPr>
            </w:pPr>
            <w:r>
              <w:rPr>
                <w:rFonts w:ascii="Arial" w:cs="Arial" w:eastAsia="Arial" w:hAnsi="Arial"/>
                <w:sz w:val="18"/>
                <w:szCs w:val="18"/>
                <w:b w:val="1"/>
                <w:bCs w:val="1"/>
                <w:color w:val="auto"/>
                <w:w w:val="88"/>
              </w:rPr>
              <w:t>(in thousands, except share data)</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7520" w:type="dxa"/>
            <w:vAlign w:val="bottom"/>
            <w:gridSpan w:val="13"/>
          </w:tcPr>
          <w:p>
            <w:pPr>
              <w:jc w:val="center"/>
              <w:ind w:left="3630"/>
              <w:spacing w:after="0"/>
              <w:rPr>
                <w:sz w:val="20"/>
                <w:szCs w:val="20"/>
                <w:color w:val="auto"/>
              </w:rPr>
            </w:pPr>
            <w:r>
              <w:rPr>
                <w:rFonts w:ascii="Arial" w:cs="Arial" w:eastAsia="Arial" w:hAnsi="Arial"/>
                <w:sz w:val="18"/>
                <w:szCs w:val="18"/>
                <w:b w:val="1"/>
                <w:bCs w:val="1"/>
                <w:color w:val="auto"/>
                <w:w w:val="89"/>
              </w:rPr>
              <w:t>For the years ended December 31, 2021 and 2020</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53"/>
        </w:trPr>
        <w:tc>
          <w:tcPr>
            <w:tcW w:w="4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center"/>
              <w:ind w:right="568"/>
              <w:spacing w:after="0"/>
              <w:rPr>
                <w:sz w:val="20"/>
                <w:szCs w:val="20"/>
                <w:color w:val="auto"/>
              </w:rPr>
            </w:pPr>
            <w:r>
              <w:rPr>
                <w:rFonts w:ascii="Arial" w:cs="Arial" w:eastAsia="Arial" w:hAnsi="Arial"/>
                <w:sz w:val="14"/>
                <w:szCs w:val="14"/>
                <w:b w:val="1"/>
                <w:bCs w:val="1"/>
                <w:color w:val="auto"/>
                <w:w w:val="91"/>
              </w:rPr>
              <w:t>Common Stock</w:t>
            </w:r>
          </w:p>
        </w:tc>
        <w:tc>
          <w:tcPr>
            <w:tcW w:w="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Additional Paid-In</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1"/>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ind w:left="420"/>
              <w:spacing w:after="0"/>
              <w:rPr>
                <w:sz w:val="20"/>
                <w:szCs w:val="20"/>
                <w:color w:val="auto"/>
              </w:rPr>
            </w:pPr>
            <w:r>
              <w:rPr>
                <w:rFonts w:ascii="Arial" w:cs="Arial" w:eastAsia="Arial" w:hAnsi="Arial"/>
                <w:sz w:val="14"/>
                <w:szCs w:val="14"/>
                <w:b w:val="1"/>
                <w:bCs w:val="1"/>
                <w:color w:val="auto"/>
                <w:w w:val="89"/>
              </w:rPr>
              <w:t>Shares</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ind w:left="400"/>
              <w:spacing w:after="0"/>
              <w:rPr>
                <w:sz w:val="20"/>
                <w:szCs w:val="20"/>
                <w:color w:val="auto"/>
              </w:rPr>
            </w:pPr>
            <w:r>
              <w:rPr>
                <w:rFonts w:ascii="Arial" w:cs="Arial" w:eastAsia="Arial" w:hAnsi="Arial"/>
                <w:sz w:val="14"/>
                <w:szCs w:val="14"/>
                <w:b w:val="1"/>
                <w:bCs w:val="1"/>
                <w:color w:val="auto"/>
              </w:rPr>
              <w:t>Dollars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Capital</w:t>
            </w: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Deficit</w:t>
            </w:r>
          </w:p>
        </w:tc>
        <w:tc>
          <w:tcPr>
            <w:tcW w:w="300" w:type="dxa"/>
            <w:vAlign w:val="bottom"/>
          </w:tcPr>
          <w:p>
            <w:pPr>
              <w:spacing w:after="0"/>
              <w:rPr>
                <w:sz w:val="17"/>
                <w:szCs w:val="17"/>
                <w:color w:val="auto"/>
              </w:rPr>
            </w:pPr>
          </w:p>
        </w:tc>
        <w:tc>
          <w:tcPr>
            <w:tcW w:w="102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224"/>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gridSpan w:val="2"/>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601,312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(127,755)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473,557</w:t>
            </w:r>
          </w:p>
        </w:tc>
      </w:tr>
      <w:tr>
        <w:trPr>
          <w:trHeight w:val="229"/>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Contributions from BioReference</w:t>
            </w:r>
          </w:p>
        </w:tc>
        <w:tc>
          <w:tcPr>
            <w:tcW w:w="1580" w:type="dxa"/>
            <w:vAlign w:val="bottom"/>
            <w:gridSpan w:val="5"/>
          </w:tcPr>
          <w:p>
            <w:pPr>
              <w:jc w:val="right"/>
              <w:ind w:right="1148"/>
              <w:spacing w:after="0"/>
              <w:rPr>
                <w:sz w:val="20"/>
                <w:szCs w:val="20"/>
                <w:color w:val="auto"/>
              </w:rPr>
            </w:pPr>
            <w:r>
              <w:rPr>
                <w:rFonts w:ascii="Arial" w:cs="Arial" w:eastAsia="Arial" w:hAnsi="Arial"/>
                <w:sz w:val="18"/>
                <w:szCs w:val="18"/>
                <w:color w:val="auto"/>
              </w:rPr>
              <w:t>—</w:t>
            </w:r>
          </w:p>
        </w:tc>
        <w:tc>
          <w:tcPr>
            <w:tcW w:w="340" w:type="dxa"/>
            <w:vAlign w:val="bottom"/>
            <w:gridSpan w:val="3"/>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21,321</w:t>
            </w:r>
          </w:p>
        </w:tc>
      </w:tr>
      <w:tr>
        <w:trPr>
          <w:trHeight w:val="230"/>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Equity-based compensation expense</w:t>
            </w:r>
          </w:p>
        </w:tc>
        <w:tc>
          <w:tcPr>
            <w:tcW w:w="1580" w:type="dxa"/>
            <w:vAlign w:val="bottom"/>
            <w:gridSpan w:val="5"/>
            <w:shd w:val="clear" w:color="auto" w:fill="CCEEFF"/>
          </w:tcPr>
          <w:p>
            <w:pPr>
              <w:jc w:val="right"/>
              <w:ind w:right="1148"/>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29"/>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Genome dissolution entries</w:t>
            </w:r>
          </w:p>
        </w:tc>
        <w:tc>
          <w:tcPr>
            <w:tcW w:w="1580" w:type="dxa"/>
            <w:vAlign w:val="bottom"/>
            <w:gridSpan w:val="5"/>
          </w:tcPr>
          <w:p>
            <w:pPr>
              <w:jc w:val="right"/>
              <w:ind w:right="1148"/>
              <w:spacing w:after="0"/>
              <w:rPr>
                <w:sz w:val="20"/>
                <w:szCs w:val="20"/>
                <w:color w:val="auto"/>
              </w:rPr>
            </w:pPr>
            <w:r>
              <w:rPr>
                <w:rFonts w:ascii="Arial" w:cs="Arial" w:eastAsia="Arial" w:hAnsi="Arial"/>
                <w:sz w:val="18"/>
                <w:szCs w:val="18"/>
                <w:color w:val="auto"/>
              </w:rPr>
              <w:t>—</w:t>
            </w:r>
          </w:p>
        </w:tc>
        <w:tc>
          <w:tcPr>
            <w:tcW w:w="340" w:type="dxa"/>
            <w:vAlign w:val="bottom"/>
            <w:gridSpan w:val="3"/>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80" w:type="dxa"/>
            <w:vAlign w:val="bottom"/>
            <w:tcBorders>
              <w:bottom w:val="single" w:sz="8" w:color="auto"/>
            </w:tcBorders>
            <w:gridSpan w:val="2"/>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(34,903)</w:t>
            </w:r>
          </w:p>
        </w:tc>
      </w:tr>
      <w:tr>
        <w:trPr>
          <w:trHeight w:val="223"/>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Balance at December 31, 2020</w:t>
            </w: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239"/>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622,752</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(162,546)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460,206</w:t>
            </w:r>
          </w:p>
        </w:tc>
      </w:tr>
      <w:tr>
        <w:trPr>
          <w:trHeight w:val="21"/>
        </w:trPr>
        <w:tc>
          <w:tcPr>
            <w:tcW w:w="4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541"/>
        </w:trPr>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center"/>
              <w:ind w:right="528"/>
              <w:spacing w:after="0"/>
              <w:rPr>
                <w:sz w:val="20"/>
                <w:szCs w:val="20"/>
                <w:color w:val="auto"/>
              </w:rPr>
            </w:pPr>
            <w:r>
              <w:rPr>
                <w:rFonts w:ascii="Arial" w:cs="Arial" w:eastAsia="Arial" w:hAnsi="Arial"/>
                <w:sz w:val="14"/>
                <w:szCs w:val="14"/>
                <w:b w:val="1"/>
                <w:bCs w:val="1"/>
                <w:color w:val="auto"/>
                <w:w w:val="91"/>
              </w:rPr>
              <w:t>Common Stock</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Additional Paid-In</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1"/>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ind w:left="440"/>
              <w:spacing w:after="0"/>
              <w:rPr>
                <w:sz w:val="20"/>
                <w:szCs w:val="20"/>
                <w:color w:val="auto"/>
              </w:rPr>
            </w:pPr>
            <w:r>
              <w:rPr>
                <w:rFonts w:ascii="Arial" w:cs="Arial" w:eastAsia="Arial" w:hAnsi="Arial"/>
                <w:sz w:val="14"/>
                <w:szCs w:val="14"/>
                <w:b w:val="1"/>
                <w:bCs w:val="1"/>
                <w:color w:val="auto"/>
                <w:w w:val="85"/>
              </w:rPr>
              <w:t>Shares</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ind w:left="420"/>
              <w:spacing w:after="0"/>
              <w:rPr>
                <w:sz w:val="20"/>
                <w:szCs w:val="20"/>
                <w:color w:val="auto"/>
              </w:rPr>
            </w:pPr>
            <w:r>
              <w:rPr>
                <w:rFonts w:ascii="Arial" w:cs="Arial" w:eastAsia="Arial" w:hAnsi="Arial"/>
                <w:sz w:val="14"/>
                <w:szCs w:val="14"/>
                <w:b w:val="1"/>
                <w:bCs w:val="1"/>
                <w:color w:val="auto"/>
              </w:rPr>
              <w:t>Dollars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Capital</w:t>
            </w: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Deficit</w:t>
            </w:r>
          </w:p>
        </w:tc>
        <w:tc>
          <w:tcPr>
            <w:tcW w:w="300" w:type="dxa"/>
            <w:vAlign w:val="bottom"/>
          </w:tcPr>
          <w:p>
            <w:pPr>
              <w:spacing w:after="0"/>
              <w:rPr>
                <w:sz w:val="17"/>
                <w:szCs w:val="17"/>
                <w:color w:val="auto"/>
              </w:rPr>
            </w:pPr>
          </w:p>
        </w:tc>
        <w:tc>
          <w:tcPr>
            <w:tcW w:w="102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224"/>
        </w:trPr>
        <w:tc>
          <w:tcPr>
            <w:tcW w:w="4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8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622,752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(162,546)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460,206</w:t>
            </w:r>
          </w:p>
        </w:tc>
      </w:tr>
      <w:tr>
        <w:trPr>
          <w:trHeight w:val="229"/>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Contributions from BioReference</w:t>
            </w:r>
          </w:p>
        </w:tc>
        <w:tc>
          <w:tcPr>
            <w:tcW w:w="1580" w:type="dxa"/>
            <w:vAlign w:val="bottom"/>
            <w:gridSpan w:val="5"/>
          </w:tcPr>
          <w:p>
            <w:pPr>
              <w:jc w:val="right"/>
              <w:ind w:right="1148"/>
              <w:spacing w:after="0"/>
              <w:rPr>
                <w:sz w:val="20"/>
                <w:szCs w:val="20"/>
                <w:color w:val="auto"/>
              </w:rPr>
            </w:pPr>
            <w:r>
              <w:rPr>
                <w:rFonts w:ascii="Arial" w:cs="Arial" w:eastAsia="Arial" w:hAnsi="Arial"/>
                <w:sz w:val="18"/>
                <w:szCs w:val="18"/>
                <w:color w:val="auto"/>
              </w:rPr>
              <w:t>—</w:t>
            </w:r>
          </w:p>
        </w:tc>
        <w:tc>
          <w:tcPr>
            <w:tcW w:w="340" w:type="dxa"/>
            <w:vAlign w:val="bottom"/>
            <w:gridSpan w:val="3"/>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35,932</w:t>
            </w:r>
          </w:p>
        </w:tc>
      </w:tr>
      <w:tr>
        <w:trPr>
          <w:trHeight w:val="230"/>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Equity-based compensation expense</w:t>
            </w:r>
          </w:p>
        </w:tc>
        <w:tc>
          <w:tcPr>
            <w:tcW w:w="1580" w:type="dxa"/>
            <w:vAlign w:val="bottom"/>
            <w:gridSpan w:val="5"/>
            <w:shd w:val="clear" w:color="auto" w:fill="CCEEFF"/>
          </w:tcPr>
          <w:p>
            <w:pPr>
              <w:jc w:val="right"/>
              <w:ind w:right="1148"/>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r>
      <w:tr>
        <w:trPr>
          <w:trHeight w:val="229"/>
        </w:trPr>
        <w:tc>
          <w:tcPr>
            <w:tcW w:w="4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(36,892)</w:t>
            </w:r>
          </w:p>
        </w:tc>
      </w:tr>
      <w:tr>
        <w:trPr>
          <w:trHeight w:val="243"/>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660,506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(199,438)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461,068</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to Combined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Inc. and Subsidiary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CARVE OUT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(36,892)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(34,903)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20,905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Dissolution of Gnome</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Equity-based compensation</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bad debts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(12,240)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sale of equipment and other assets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Non-cash lease expense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11,753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(11,863)</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(9,815)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Investment in related companies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Proceeds from the sale of property, plant, and equipment</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(9,970)</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8"/>
                <w:szCs w:val="18"/>
                <w:color w:val="auto"/>
              </w:rPr>
              <w:t>Cash flows from financing activity:</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Subsidiary financing</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 contributions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21,317</w:t>
            </w:r>
          </w:p>
        </w:tc>
        <w:tc>
          <w:tcPr>
            <w:tcW w:w="0" w:type="dxa"/>
            <w:vAlign w:val="bottom"/>
          </w:tcPr>
          <w:p>
            <w:pPr>
              <w:spacing w:after="0"/>
              <w:rPr>
                <w:sz w:val="1"/>
                <w:szCs w:val="1"/>
                <w:color w:val="auto"/>
              </w:rPr>
            </w:pPr>
          </w:p>
        </w:tc>
      </w:tr>
      <w:tr>
        <w:trPr>
          <w:trHeight w:val="256"/>
        </w:trPr>
        <w:tc>
          <w:tcPr>
            <w:tcW w:w="8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Supplemental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taxes paid, net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Purchases of property and equipment in accounts payable and accrued expenses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paid for interest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to Combined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Inc. and Subsidiary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CARVE OUT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and Organization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GeneDx, Inc., a New Jersey corporation (including its subsidiaries as described below, “GeneDx”, we, our or us), is a patient-centric health information company and leader in delivering clinical genomic answers to an ever-increasing community of patients, families and healthcare providers. With more than 20 years of experience in diagnosing rare disorders and diseases, we have pioneered panels, exome and whole genome sequencing and have developed a proprietary genomic interpretation and information services platform in support of healthcare partners and patients globally. We create, follow, and are informed by cutting-edge science and technology.</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GeneDx, Inc. is a wholly owned subsidiary of BioReference Laboratories, Inc. (“BioReference”). BioReference and its subsidiaries, including GeneDx, are wholly owned subsidiaries of OPKO Health, Inc. (“OPKO” or “Parent”). MyGeneTeam and MyGeneTeam Canada are wholly owned subsidiaries of OPKO. GeneDx, MyGeneTeam, and MyGeneTeam Canada comprise the Combined Carve Out Financial Statements and are collectively referred to as GeneDx or the “Company”. All assets and liabilities directly attributable to entities outside GeneDx have been excluded. The accompanying Combined Carve Out Financials Statements present the combined financial results of GeneDx as of and for the years ended December 31, 2021 and 2020 and are being prepared in connection with the definitive agreement between Sema4 Holdings Corp (“Sema4”) and OPKO announced in January 2022 pursuant to which Sema4 has agreed to acquire GeneDx. If Sema4 does not acquire GeneDx, OPKO has committed to support the capital requirements of GeneDx necessary to meet our obligations through March 16, 2023.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2020, we dissolved the operations of Genome Diagnostics, a wholly owned subsidiary of GeneDx.</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corporate office and laboratory, which is our only physical location, is located at 207 Perry Parkway, Gaithersburg, Maryland 20877, which is a leased space.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Impact of COVID-19</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the disease caused by SARS-CoV-2, a strain of coronavirus, COVID-19 continues to spread and severely impact the economy of the United States, we are committed to being a part of the coordinated public and private sector response to this unprecedented challenge. During the outbreak of the pandemic, the facility space and certain human resources and supplies of GeneDx were deployed to perform COVID-19 RT-PCR testing on behalf of our parent company BioReference. From 2020 through 2021, GeneDx resulted approximately 1.6 million COVID-19 RT-PCR tests. All COVID-19 testing operations of GeneDx ceased in June 2021. None of the revenue or associated costs with the COVID-19 operations run at the GeneDx facility are included in the GeneDx Combined Financial Statements.</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March 2020, in response to the outbreak of the COVID-19 pandemic, the Coronavirus Aid, Relief, and Economic Security (CARES) Act was signed into law. The CARES Act provides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 Security taxes, technical corrections from prior tax legislation for tax depreciation of certain qualified improvement property, and the creation of certain payroll tax credits associated with the retention of employees.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We have received a number of benefits under the CARES Act including, but not limited to:</w:t>
      </w:r>
    </w:p>
    <w:p>
      <w:pPr>
        <w:spacing w:after="0" w:line="171" w:lineRule="exact"/>
        <w:rPr>
          <w:sz w:val="20"/>
          <w:szCs w:val="20"/>
          <w:color w:val="auto"/>
        </w:rPr>
      </w:pPr>
    </w:p>
    <w:p>
      <w:pPr>
        <w:ind w:left="660" w:hanging="328"/>
        <w:spacing w:after="0" w:line="277"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are eligible to defer depositing the employer’s share of Social Security taxes for payments due from March 27, 2020, through December 31, 2020, interest-free and penalty-free;</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received approximately $0.3 million during the year ended December 31, 2020 from the funds that were distributed to healthcare providers for related expenses or lost revenues that are attributable to the COVID-19 pandemic;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44" w:lineRule="exact"/>
        <w:rPr>
          <w:sz w:val="20"/>
          <w:szCs w:val="20"/>
          <w:color w:val="auto"/>
        </w:rPr>
      </w:pPr>
    </w:p>
    <w:p>
      <w:pPr>
        <w:jc w:val="both"/>
        <w:ind w:left="660" w:hanging="328"/>
        <w:spacing w:after="0" w:line="263"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Clinical laboratories are provided with a one-year reprieve from the reporting requirements under the Protecting Access to Medicare Act as well as a one-year delay of reimbursement rate reductions for clinical laboratory services provided under Medicare that were scheduled to take place in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accompanying Combined Carve Out Financial Statements have been prepared in accordance with accounting principles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accepted in the United States (US GAAP).</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The accompanying Combined Carve Out Financial Statements include the accounts of GeneDx and of our wholly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MyGeneTeam and MyGeneTeam Canada and were derived from the Consolidated Financial Statements and accounting records of the Parent as if GeneDx were operated on a standalone basis during the periods presented and were prepared in accordance with US GAAP. All intercompany accounts and transactions were eliminated in consolidation.</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Combined Carve Out Statements of Operations of GeneDx reflect general corporate and operating expenses provided by both the Parent and BioReference to GeneDx, including, but not limited to, executive management, finance, legal, information technology, employee benefits administration, treasury, procurement, and other shared services. Actual costs that may have been incurred had GeneDx been a standalone company would have depended on a number of factors, including the chosen organizational structure, outsourced functions versus those performed by employees, and strategic decisions made in areas such as information technology and infrastructure.</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Combined Carve Out Balance Sheets (the “Combined Carve Out Balance Sheets”) of GeneDx include Parent and BioReference assets and liabilities that were specifically identifiable or otherwise attributable to GeneDx, including subsidiaries and affiliates in which the Parent has a controlling financial interest or is the primary beneficiary. All cash inflows and outflows obtained and used from operations were swept to BioReference’s centralized account. GeneDx reflects transfers of cash to and from BioReference’s cash management system as a component of Total Shareholder’s Equity in the Combined Carve Out Balance Sheets.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Combined Carve Out Financial Statements include GeneDx’s net assets and statement of comprehensive loss as described above. All intercompany transactions and accounts within the combined businesses of GeneDx have been eliminated.</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financial statements in conformity with US GAAP requires management to make estimates and assumptions that affect</w:t>
      </w:r>
      <w:r>
        <w:rPr>
          <w:rFonts w:ascii="Arial" w:cs="Arial" w:eastAsia="Arial" w:hAnsi="Arial"/>
          <w:sz w:val="17"/>
          <w:szCs w:val="17"/>
          <w:i w:val="1"/>
          <w:iCs w:val="1"/>
          <w:color w:val="auto"/>
        </w:rPr>
        <w:t xml:space="preserve"> </w:t>
      </w:r>
      <w:r>
        <w:rPr>
          <w:rFonts w:ascii="Arial" w:cs="Arial" w:eastAsia="Arial" w:hAnsi="Arial"/>
          <w:sz w:val="17"/>
          <w:szCs w:val="17"/>
          <w:color w:val="auto"/>
        </w:rPr>
        <w:t>the reported amounts of assets and liabilities and disclosure of contingent assets and liabilities at the date of the financial statements and the reported amounts of revenues and expenses during the reporting period. Actual results could differ significantly from these estimates.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Cash and cash equivalents include short-term, interest-bearing instruments with original maturities of 90 days or less at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of purchase. We also consider all highly liquid investments with original maturities at the date of purchase of 90 days or less as cash equivalents. These investments include money markets and bank deposits.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Inventory is valued at the lower of cost and net realizable value. Cost is determined by the first-in, first-out method. We consider such factors as</w:t>
      </w:r>
      <w:r>
        <w:rPr>
          <w:rFonts w:ascii="Arial" w:cs="Arial" w:eastAsia="Arial" w:hAnsi="Arial"/>
          <w:sz w:val="18"/>
          <w:szCs w:val="18"/>
          <w:i w:val="1"/>
          <w:iCs w:val="1"/>
          <w:color w:val="auto"/>
        </w:rPr>
        <w:t xml:space="preserve"> </w:t>
      </w:r>
      <w:r>
        <w:rPr>
          <w:rFonts w:ascii="Arial" w:cs="Arial" w:eastAsia="Arial" w:hAnsi="Arial"/>
          <w:sz w:val="18"/>
          <w:szCs w:val="18"/>
          <w:color w:val="auto"/>
        </w:rPr>
        <w:t>the amount of inventory on hand, estimated time required to sell such inventory, remaining shelf-life, quality assessments and current market conditions to determine whether inventory is stated at the lower of cost and net realizable value. Inventory consists primarily of purchased laboratory supplies, which are used in our testing laboratory. GeneDx relies on a limited number of suppliers for certain laboratory reagents, as well as sequencers and other equipment and materials that it uses in its laboratory operations. GeneDx does not have short- or long-term agreements with all of its suppliers, and its suppliers could cease supplying these materials and equipment at any time, or fail to provide it with sufficient quantities of materials or materials that meet its specifications.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Goodwill and intangible assets. </w:t>
      </w:r>
      <w:r>
        <w:rPr>
          <w:rFonts w:ascii="Arial" w:cs="Arial" w:eastAsia="Arial" w:hAnsi="Arial"/>
          <w:sz w:val="18"/>
          <w:szCs w:val="18"/>
          <w:color w:val="auto"/>
        </w:rPr>
        <w:t>Goodwill represents the difference between the purchase price and the estimated fair value of net assets acquired as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under the acquisition method of accounting. We recognized goodwill and intangible assets as a result of applying pushdown accounting in connection with OPKO’s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acquisition of BioReference in 2015. We determined the fair value of our intangible assets using the “income method.”</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Goodwill and indefinite lived intangible assets are tested at least annually as of October 1 for impairment, or when events or changes in circumstances indicate that the carrying amount of such assets may not be recoverable, by assessing qualitative factors, and performing a quantitative analysis if and when required, in determining whether it is more likely than not that its fair value exceeds the carrying value. Intangible assets are tested for impairment whenever events or changes in circumstances indicate that the carrying amount of such assets may not be recoverable.</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was $282.0 million as of both December 31, 2021 and 2020. Estimating the fair value of a reporting unit for goodwill impairment is highly sensitive to changes in projections and assumptions and changes in assumptions could potentially lead to impairment. We perform sensitivity analyses around our assumptions in order to assess the reasonableness of the assumptions and the results of our testing. Ultimately, potential changes in these assumptions may impact the estimated fair value of a reporting unit and result in an impairment if the fair value of such reporting unit is less than its carrying value.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Net intangible assets other than goodwill were $166.9 million and $183.7 million, respectively, as of December 31, 2021 and 2020.</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estimates and assumptions are reasonable and otherwise consistent with assumptions that marketplace participants would use in their estimates of fair value. However, if future results are not consistent with our estimates and assumptions, including as a result of the COVID-19 pandemic, then we may be exposed to an impairment charge, which could be material. We have one reporting segment and have reached a cumulative goodwill impairment loss of $170.6 million prior to January 1, 2019. No goodwill or intangible asset impairment was recorded for the years ended December 31, 2021 and 2020 as a result of our testing.</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amortize intangible assets with definite lives on a straight-line basis over their estimated useful lives, ranging from 3 to 20 years. We use the straight-line method of amortization as there is no reliably determinable pattern in which the economic benefits of our intangible assets are consumed or otherwise used up. Amortization expense was $16.8 million for each of the years ended December 2021 and 2020. Amortization expense from operations for our intangible assets is expected to be $16.8 million, $15.2 million, $12.3 million, $12.0 million, and $11.5 million for the years ended December 31, 2022, 2023, 2024, 2025 and 2026, respectively.</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Fair value measurements</w:t>
      </w:r>
      <w:r>
        <w:rPr>
          <w:rFonts w:ascii="Arial" w:cs="Arial" w:eastAsia="Arial" w:hAnsi="Arial"/>
          <w:sz w:val="18"/>
          <w:szCs w:val="18"/>
          <w:color w:val="auto"/>
        </w:rPr>
        <w:t>. The carrying amounts of our cash and cash equivalents, accounts receivable and accounts payable approximate their fair values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short-term maturities of these instruments and accounts. The fair value of the due to/due from Parent and its subsidiaries is not practical to estimate due to the uncertainty regarding the timing of future payments.</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Property, plant and equipment. </w:t>
      </w:r>
      <w:r>
        <w:rPr>
          <w:rFonts w:ascii="Arial" w:cs="Arial" w:eastAsia="Arial" w:hAnsi="Arial"/>
          <w:sz w:val="16"/>
          <w:szCs w:val="16"/>
          <w:color w:val="auto"/>
        </w:rPr>
        <w:t>Property, plant and equipment are recorded at cost. Depreciation is provided using the straight-line method over the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useful lives of the assets and includes amortization expense for assets capitalized under capital leases. The estimated useful lives by asset class are as follows: software - 3 years, computer equipment - 5 years, machinery, medical and other equipment - 8 years, furniture and fixtures - 12 years, leasehold improvements - the lesser of 10 years or the lease term and automobiles - lease term. Expenditures for repairs and maintenance are charged to expense as incurred. Depreciation expense was $5.1 million and $4.1 million for the years ended December 31, 2021 and 2020, respectively.</w:t>
      </w:r>
    </w:p>
    <w:p>
      <w:pPr>
        <w:spacing w:after="0" w:line="10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Impairment of long-lived assets. </w:t>
      </w:r>
      <w:r>
        <w:rPr>
          <w:rFonts w:ascii="Arial" w:cs="Arial" w:eastAsia="Arial" w:hAnsi="Arial"/>
          <w:sz w:val="17"/>
          <w:szCs w:val="17"/>
          <w:color w:val="auto"/>
        </w:rPr>
        <w:t>Long-lived assets, such as property and equipment, are reviewed for impairment whenever events or changes in</w:t>
      </w:r>
      <w:r>
        <w:rPr>
          <w:rFonts w:ascii="Arial" w:cs="Arial" w:eastAsia="Arial" w:hAnsi="Arial"/>
          <w:sz w:val="17"/>
          <w:szCs w:val="17"/>
          <w:i w:val="1"/>
          <w:iCs w:val="1"/>
          <w:color w:val="auto"/>
        </w:rPr>
        <w:t xml:space="preserve"> </w:t>
      </w:r>
      <w:r>
        <w:rPr>
          <w:rFonts w:ascii="Arial" w:cs="Arial" w:eastAsia="Arial" w:hAnsi="Arial"/>
          <w:sz w:val="17"/>
          <w:szCs w:val="17"/>
          <w:color w:val="auto"/>
        </w:rPr>
        <w:t>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then an impairment charge is recognized for the amount by which the carrying amount of the asset exceeds the fair value of the asset. No impairment charges were recorded for the years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Impairment of Equity Method Investments. </w:t>
      </w:r>
      <w:r>
        <w:rPr>
          <w:rFonts w:ascii="Arial" w:cs="Arial" w:eastAsia="Arial" w:hAnsi="Arial"/>
          <w:sz w:val="18"/>
          <w:szCs w:val="18"/>
          <w:color w:val="auto"/>
        </w:rPr>
        <w:t>Equity method investments are assessed for impairment annually or when events or circumstances suggest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carrying amount of the investment may be impaired. An impairment charge is recorded in earnings when the decline in value below the carrying amount of its equity method investment is determined to be other-than-temporary.</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Stock Compensation</w:t>
      </w:r>
      <w:r>
        <w:rPr>
          <w:rFonts w:ascii="Arial" w:cs="Arial" w:eastAsia="Arial" w:hAnsi="Arial"/>
          <w:sz w:val="16"/>
          <w:szCs w:val="16"/>
          <w:color w:val="auto"/>
        </w:rPr>
        <w:t>. OPKO grants stock options to certain employees of GeneDx and the annual contribution of non-cash employee stock compensation is</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in operating expenses in the accompanying Combined Carve Out Statements of Comprehensive Loss with a corresponding contribution to additional paid in capital. Stock compensation for the years ended December 31, 2021 and and December 31, 2020 were: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6"/>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100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8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taxes are determined as if we filed tax returns on a standalone basis utilizing the Separate Return Method. We are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federal income tax return filed by OPKO.</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Income taxes are accounted for under the asset-and-liability method. Deferred tax assets and liabilities are recognized for the future tax consequences attributable to differences between the financial statement carrying amounts of existing assets and liabilities and the respective tax bases and for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We periodically evaluate the realizability of our net deferred tax assets. Our tax accruals are analyzed periodically and adjustments are made as events occur to warrant such adjustment. Valuation allowances on certain U.S. deferred tax assets and non-U.S. deferred tax assets may be established because realization of these tax benefits does not meet the more-likely-than-not threshold.</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recognize revenue when a customer obtains control of promised goods or services in accordance with Accounting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Codification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The amount of revenue that is recorded reflects the consideration that we expect to receive in exchange for those goods or services. We apply the following five-step model in order to determine this amount: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w:t>
      </w:r>
    </w:p>
    <w:p>
      <w:pPr>
        <w:spacing w:after="0" w:line="1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apply the five-step model to contracts when it is probable that we will collect the consideration we are entitled to in exchange for the goods or services we transfer to the customer. At contract inception, once the contract is determined to be within the scope of Topic 606, we review the contract to determine which performance obligations we must deliver and which of these performance obligations are distinct. We recognize as revenue the amount of the transaction price that is allocated to the respective performance obligation when the performance obligation is satisfied or as it is satisfied.</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for laboratory services is recognized at the time test results are reported, which approximates when services are provided and the performance obligations are satisfied. Services are provided to patients covered by various third-party payer programs, including various managed care organizations, as well as the Medicare and Medicaid programs. For the years ended December 31, 2021 and 2020, approximately 8.6% and 6.2%, respectively, of our revenues were derived directly from the Medicare and Medicaid programs. Billings for services under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party payer programs are included in revenue net of allowances for contractual discounts, allowances for differences between the amounts billed and estimated program payment amounts and implicit price concessions provided to uninsured patients which are all elements of variable consideration.</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complexities and ambiguities of billing, reimbursement regulations and claims processing, as well as issues unique to Medicare and Medicaid programs, require us to estimate the potential for retroactive adjustments in the recognition of revenue in the period the related services are rendered. Adjustments to the estimated payment amounts are recorded upon settlement as an adjustment to revenue.</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Concentration of credit risk and allowance for doubtful accounts</w:t>
      </w:r>
      <w:r>
        <w:rPr>
          <w:rFonts w:ascii="Arial" w:cs="Arial" w:eastAsia="Arial" w:hAnsi="Arial"/>
          <w:sz w:val="17"/>
          <w:szCs w:val="17"/>
          <w:color w:val="auto"/>
        </w:rPr>
        <w:t>. Financial instruments that potentially subject us to concentrations of credit risk consist</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of accounts receivable. Substantially all of our accounts receivable are with either companies in the health care industry or patients. However, credit risk is limited due to the number of our clients as well as their distribution across many different geographic regions.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have receivables due from federal and state governmental agencies, we do not believe that such receivables represent a credit risk because the related health care programs are funded by federal and state governments, and payment is primarily dependent upon submitting appropriate documentation. As of December 31, 2021 and 2020, receivable balances (net of explicit price concessions) from Medicare and Medicaid were 3.7% and 6.9%, respectively, of our Accounts receivable, net.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portion of our accounts receivable due from individual patients comprises the largest portion of credit risk. As of December 31, 2021 and 2020, receivables due from patients represented approximately 2.0% and 3.0%, respectively, of our Accounts receivable, net.</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assess the collectability of accounts receivable balances by considering factors such as historical collection experience, customer credit worthiness, the age of accounts receivable balances, regulatory changes and current economic conditions and trends that may affect a customer’s ability to pay. Actual results could differ from those estimates. Our reported net loss is directly affected by our estimate of the collectability of accounts receivable.</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Due to/from Parent and its subsidiaries. </w:t>
      </w:r>
      <w:r>
        <w:rPr>
          <w:rFonts w:ascii="Arial" w:cs="Arial" w:eastAsia="Arial" w:hAnsi="Arial"/>
          <w:sz w:val="18"/>
          <w:szCs w:val="18"/>
          <w:color w:val="auto"/>
        </w:rPr>
        <w:t>Due to/from Parent and its subsidiaries primarily represents operations between GeneDx and subsidiaries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Parent. The Company uses a centralized approach to cash management and financing of its operations. The fair value of the due from/to Parent and its subsidiaries is not practical to estimate due to the uncertainty regarding the timing of future payments.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Shipping and handling costs. </w:t>
      </w:r>
      <w:r>
        <w:rPr>
          <w:rFonts w:ascii="Arial" w:cs="Arial" w:eastAsia="Arial" w:hAnsi="Arial"/>
          <w:sz w:val="18"/>
          <w:szCs w:val="18"/>
          <w:color w:val="auto"/>
        </w:rPr>
        <w:t>We do not charge customers for shipping and handling costs. Shipping and handling costs are classified as Cost of revenues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Combined Carve Out Statements of Comprehensive Loss.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June 2016, the FASB issued ASU No. 2016-13, “Financial Instruments - Credit Losses (Topic 326): Measurement of Credit Losses on Financial Instruments,” which amends the impairment model by requiring entities to use a forward-looking approach based on expected losses rather than incurred losses to estimate credit losses on certain types of financial instruments, including trade receivables. This may result in the earlier recognition of allowances for losses. The ASU is effective for public entities for fiscal years beginning after December 15, 2019, with early adoption permitted. The adoption of ASU 2016-13 on January 1, 2020, did not have a significant impact on our Combined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accounting pronouncements.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August 2020, the FASB issued ASU No. 2020-06, “Debt – Debt with Conversion and Other Options (Subtopic 470-20) and Derivatives and Hedging – Contracts in Entity’s Own Equity (Subtopic 815-40).” ASU 2020-06 will simplify the accounting for convertible instruments by reducing the number of accounting models for convertible debt instruments and convertible preferred stock. The ASU is effective for public entities for fiscal years beginning after December 15, 2021, with early adoption permitted. We are currently evaluating the impact of this new guidance on our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Cost Allocations from BioReference</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historical costs and expenses reflected in our Combined Carve Out Financial Statements include an allocation for certain corporate and shared service functions provided by BioReference, including, but not limited to accounting, legal, human resources, information technology and other shared services. These expenses have been allocated to us on the basis of direct usage when identifiable, with the remainder allocated based on estimates to reasonably reflect the historical utilization of these services.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believes the assumptions underlying our Combined Carve Out Financial Statements, including the assumptions regarding the allocation of general corporate expenses from BioReference, are reasonable. Nevertheless, our Combined Carve Out Financial Statements may not include all of the actual expenses that would have been incurred had we operated as a standalone company during the periods presented and may not reflect our combined results of operations, financial position and cash flows had we operated as a standalone company during the periods presented. Actual costs that would have been incurred if we had operated as a standalone company would have depended on multiple factors, including organizational structure and strategic decisions made in various areas.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2020, GeneDx announced that it had entered into an operating agreement with Pediatrix Medical Group (“Pediatrix”), a provider of maternal-fetal, and pediatric medical and surgical subspecialty physician services, to offer genomic sequencing to support clinical diagnosis in neonatal intensive care units staffed by Pediatrix’s affiliated neonatologists (the “Operating Agreement”). The offering had planned to include whole exome and whole genome sequencing and genomic support services under the brand Detect Genomix (the “Joint Venture”).</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initial capital investment in the Joint Venture was $245,000, for which we received a 49% ownership interest the Joint Venture. Beyong the initial investment, we have not made any other investments in or loans in the Joint Venture through December 31, 2021.</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determine the primary beneficiary of the Joint Venture, we evaluated our investment to identify if we had the power to direct the activities that most significantly impact the economic performance of the Joint Venture. Based on the capital structure, governing documents and overall business operations of the Joint Venture, we determined that, while a variable interest entity (VIE), we do not have the power to direct the activities that most significantly impact the Joint Venture’s economic performance. We determined, however, that we can significantly influence control of the Joint Venture through our board representation and voting power. Therefore, we have the ability to exercise significant influence over the Joint Venture’s operations and account for our investment the Joint Venture under the equity method.</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2022, GeneDx and Pediatrix reached a mutual agreement to withdraw as members of the Joint Venture, release each party’s restrictions and obligations under the Operating Agreement, cooperate to effect the winding down and dissolution of the Joint Venture, and effect other customary release and discharges related to the Joint Venture. We determined an other-than-temporary impairment on our equity method investment as a result of the termination and adjusted the carrying value of the investment as of December 31, 2021 to our recovery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proportionate share of cash on hand at the Joint Venture was returned to GeneDx in February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Composition of Certain Combined </w:t>
      </w:r>
      <w:r>
        <w:rPr>
          <w:rFonts w:ascii="Arial" w:cs="Arial" w:eastAsia="Arial" w:hAnsi="Arial"/>
          <w:sz w:val="18"/>
          <w:szCs w:val="18"/>
          <w:color w:val="auto"/>
        </w:rPr>
        <w:t>Carve Out</w:t>
      </w:r>
      <w:r>
        <w:rPr>
          <w:rFonts w:ascii="Arial" w:cs="Arial" w:eastAsia="Arial" w:hAnsi="Arial"/>
          <w:sz w:val="18"/>
          <w:szCs w:val="18"/>
          <w:b w:val="1"/>
          <w:bCs w:val="1"/>
          <w:color w:val="auto"/>
        </w:rPr>
        <w:t xml:space="preserve"> Financial Statement Captions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Prepaid supplies, insurance and maintenance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3,422</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Taxes recoverable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receivables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Machinery, medical and other equipment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32,232</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11,215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Furniture and fixtures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Software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(24,044)</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20,171</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Intangible assets, net: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Customer relationships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237,725</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237,725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36,100</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Covenants not to compete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Less: accumulated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(110,337)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(93,523)</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166,888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183,702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Employee benefits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8,341</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7,021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8,758</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long-term liabilities: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Social Security employer deferral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Shareholder’s Equity</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authorized capital stock consists of 100 shares of common stock, $0.01 par value per share. As of December 31, 2021 and 2020, all shares of our common stock were issued and outstanding and held by BioReference.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 Guarantee</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November 5, 2015, BioReference and certain of its subsidiaries, including GeneDx, entered into a credit agreement with JPMorgan Chase Bank, N.A. (“CB”), as lender and administrative agent, which was amended and restated on August 30, 2021 (the “A&amp;R Credit Agreement”). The A&amp;R Credit Agreement provides for a $75.0 million secured revolving credit facility and includes a $20.0 million sub-facility for swingline loans and a $20.0 million sub-facility for the issuance of letters of credit. The A&amp;R Credit Agreement matures on August 30, 2024 and is guaranteed by all of BioReference and its domestic subsidiaries including GeneDx. The A&amp;R Credit Agreement is also secured by substantially all assets of BioReference and its domestic subsidiaries, including GeneDx. Availability under the A&amp;R Credit Agreement is based on a borrowing base composed of BioReference’s eligible accounts receivables, which includes GeneDx, as specified therein. As of December 31, 2021, there was no outstanding balance and as of December 31, 2020, $7.1 million was outstanding under the A&amp;R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BioReference’s option, borrowings under the A&amp;R Credit Agreement (other than swingline loans) will bear interest at (i) the CB floating rate (defined as the higher of (a) the prime rate and (b) the LIBOR rate (adjusted for statutory reserve requirements for Eurocurrency liabilities) for an interest period of one month plus 2.50%) plus an applicable margin of 0.75% or (ii) the LIBOR rate (adjusted for statutory reserve requirements for Eurocurrency liabilities) plus an applicable margin of 1.75%. Swingline loans will bear interest at the CB floating rate plus the applicable margin. The A&amp;R Credit Agreement also calls for other customary fees and charges, including an unused commitment fee of 0.375% if the average quarterly availability is 50% or more of the revolving commitment, or 0.25% if the average quarterly availability is less than or equal to 50% of the revolving commitments.</w:t>
      </w:r>
    </w:p>
    <w:p>
      <w:pPr>
        <w:spacing w:after="0" w:line="110" w:lineRule="exact"/>
        <w:rPr>
          <w:sz w:val="20"/>
          <w:szCs w:val="20"/>
          <w:color w:val="auto"/>
        </w:rPr>
      </w:pPr>
    </w:p>
    <w:p>
      <w:pPr>
        <w:ind w:right="2100"/>
        <w:spacing w:after="0" w:line="438" w:lineRule="auto"/>
        <w:rPr>
          <w:sz w:val="20"/>
          <w:szCs w:val="20"/>
          <w:color w:val="auto"/>
        </w:rPr>
      </w:pPr>
      <w:r>
        <w:rPr>
          <w:rFonts w:ascii="Arial" w:cs="Arial" w:eastAsia="Arial" w:hAnsi="Arial"/>
          <w:sz w:val="18"/>
          <w:szCs w:val="18"/>
          <w:color w:val="auto"/>
        </w:rPr>
        <w:t xml:space="preserve">As of December 31, 2021, $64.8 million remained available to BioReference for borrowing under the A&amp;R Credit Agreement. </w:t>
      </w:r>
      <w:r>
        <w:rPr>
          <w:rFonts w:ascii="Arial" w:cs="Arial" w:eastAsia="Arial" w:hAnsi="Arial"/>
          <w:sz w:val="18"/>
          <w:szCs w:val="18"/>
          <w:b w:val="1"/>
          <w:bCs w:val="1"/>
          <w:color w:val="auto"/>
        </w:rPr>
        <w:t>Note 9 Income Taxes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Carve Out Financial Statements and related disclosures apply the Separate Return Method and recognize the current and deferred income tax consequences that result from our activities during the current and preceding periods pursuant to the provisions of Accounting Standards Codification Topic 740, Income Taxes (ASC 740), as if we were a separate taxpayer rather than a member of OPKO’s consolidated income tax return. In 2021 and 2020, the difference between our separate company income tax benefit and cash flows attributable to income taxes have been recognized as capital contributions from BioReference.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operate and are required to file tax returns in the United States and Canada, as well as with various U.S. states.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 benefit (expense):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center"/>
              <w:ind w:left="515"/>
              <w:spacing w:after="0"/>
              <w:rPr>
                <w:sz w:val="20"/>
                <w:szCs w:val="20"/>
                <w:color w:val="auto"/>
              </w:rPr>
            </w:pPr>
            <w:r>
              <w:rPr>
                <w:rFonts w:ascii="Arial" w:cs="Arial" w:eastAsia="Arial" w:hAnsi="Arial"/>
                <w:sz w:val="14"/>
                <w:szCs w:val="14"/>
                <w:b w:val="1"/>
                <w:bCs w:val="1"/>
                <w:color w:val="auto"/>
                <w:w w:val="91"/>
              </w:rPr>
              <w:t>For the years ended</w:t>
            </w:r>
          </w:p>
        </w:tc>
        <w:tc>
          <w:tcPr>
            <w:tcW w:w="96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495"/>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tcBorders>
              <w:bottom w:val="single" w:sz="8" w:color="auto"/>
            </w:tcBorders>
          </w:tcPr>
          <w:p>
            <w:pPr>
              <w:spacing w:after="0"/>
              <w:rPr>
                <w:sz w:val="16"/>
                <w:szCs w:val="16"/>
                <w:color w:val="auto"/>
              </w:rPr>
            </w:pPr>
          </w:p>
        </w:tc>
      </w:tr>
      <w:tr>
        <w:trPr>
          <w:trHeight w:val="145"/>
        </w:trPr>
        <w:tc>
          <w:tcPr>
            <w:tcW w:w="20" w:type="dxa"/>
            <w:vAlign w:val="bottom"/>
          </w:tcPr>
          <w:p>
            <w:pPr>
              <w:spacing w:after="0"/>
              <w:rPr>
                <w:sz w:val="12"/>
                <w:szCs w:val="12"/>
                <w:color w:val="auto"/>
              </w:rPr>
            </w:pPr>
          </w:p>
        </w:tc>
        <w:tc>
          <w:tcPr>
            <w:tcW w:w="800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2"/>
                <w:szCs w:val="12"/>
                <w:color w:val="auto"/>
              </w:rPr>
            </w:pPr>
          </w:p>
        </w:tc>
        <w:tc>
          <w:tcPr>
            <w:tcW w:w="1200" w:type="dxa"/>
            <w:vAlign w:val="bottom"/>
          </w:tcPr>
          <w:p>
            <w:pPr>
              <w:jc w:val="right"/>
              <w:ind w:right="555"/>
              <w:spacing w:after="0" w:line="145"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jc w:val="right"/>
              <w:ind w:right="552"/>
              <w:spacing w:after="0" w:line="145" w:lineRule="exact"/>
              <w:rPr>
                <w:sz w:val="20"/>
                <w:szCs w:val="20"/>
                <w:color w:val="auto"/>
              </w:rPr>
            </w:pPr>
            <w:r>
              <w:rPr>
                <w:rFonts w:ascii="Arial" w:cs="Arial" w:eastAsia="Arial" w:hAnsi="Arial"/>
                <w:sz w:val="14"/>
                <w:szCs w:val="14"/>
                <w:b w:val="1"/>
                <w:bCs w:val="1"/>
                <w:color w:val="auto"/>
                <w:w w:val="96"/>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23"/>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29"/>
        </w:trPr>
        <w:tc>
          <w:tcPr>
            <w:tcW w:w="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9,838</w:t>
            </w:r>
          </w:p>
        </w:tc>
      </w:tr>
      <w:tr>
        <w:trPr>
          <w:trHeight w:val="230"/>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w:t>
            </w:r>
          </w:p>
        </w:tc>
      </w:tr>
      <w:tr>
        <w:trPr>
          <w:trHeight w:val="223"/>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12,240</w:t>
            </w:r>
          </w:p>
        </w:tc>
      </w:tr>
      <w:tr>
        <w:trPr>
          <w:trHeight w:val="223"/>
        </w:trPr>
        <w:tc>
          <w:tcPr>
            <w:tcW w:w="20" w:type="dxa"/>
            <w:vAlign w:val="bottom"/>
          </w:tcPr>
          <w:p>
            <w:pPr>
              <w:spacing w:after="0"/>
              <w:rPr>
                <w:sz w:val="19"/>
                <w:szCs w:val="19"/>
                <w:color w:val="auto"/>
              </w:rPr>
            </w:pPr>
          </w:p>
        </w:tc>
        <w:tc>
          <w:tcPr>
            <w:tcW w:w="8000" w:type="dxa"/>
            <w:vAlign w:val="bottom"/>
            <w:gridSpan w:val="2"/>
          </w:tcPr>
          <w:p>
            <w:pPr>
              <w:ind w:left="240"/>
              <w:spacing w:after="0"/>
              <w:rPr>
                <w:sz w:val="20"/>
                <w:szCs w:val="20"/>
                <w:color w:val="auto"/>
              </w:rPr>
            </w:pPr>
            <w:r>
              <w:rPr>
                <w:rFonts w:ascii="Arial" w:cs="Arial" w:eastAsia="Arial" w:hAnsi="Arial"/>
                <w:sz w:val="18"/>
                <w:szCs w:val="18"/>
                <w:color w:val="auto"/>
              </w:rPr>
              <w:t>Total income tax benefit, net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12,547</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12,037</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 assets and liabilities as of December 31, 2021 and 2020 consist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For the year ended December 31,</w:t>
            </w:r>
          </w:p>
        </w:tc>
      </w:tr>
      <w:tr>
        <w:trPr>
          <w:trHeight w:val="148"/>
        </w:trPr>
        <w:tc>
          <w:tcPr>
            <w:tcW w:w="20" w:type="dxa"/>
            <w:vAlign w:val="bottom"/>
          </w:tcPr>
          <w:p>
            <w:pPr>
              <w:spacing w:after="0"/>
              <w:rPr>
                <w:sz w:val="12"/>
                <w:szCs w:val="12"/>
                <w:color w:val="auto"/>
              </w:rPr>
            </w:pPr>
          </w:p>
        </w:tc>
        <w:tc>
          <w:tcPr>
            <w:tcW w:w="8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1220" w:type="dxa"/>
            <w:vAlign w:val="bottom"/>
          </w:tcPr>
          <w:p>
            <w:pPr>
              <w:jc w:val="right"/>
              <w:ind w:right="552"/>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51"/>
              <w:spacing w:after="0" w:line="149" w:lineRule="exact"/>
              <w:rPr>
                <w:sz w:val="20"/>
                <w:szCs w:val="20"/>
                <w:color w:val="auto"/>
              </w:rPr>
            </w:pPr>
            <w:r>
              <w:rPr>
                <w:rFonts w:ascii="Arial" w:cs="Arial" w:eastAsia="Arial" w:hAnsi="Arial"/>
                <w:sz w:val="14"/>
                <w:szCs w:val="14"/>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Accruals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 options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229"/>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Lease liability</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1,819</w:t>
            </w: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Federal net operating losses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6,433</w:t>
            </w:r>
          </w:p>
        </w:tc>
      </w:tr>
      <w:tr>
        <w:trPr>
          <w:trHeight w:val="229"/>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State net operating losses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1,576</w:t>
            </w: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23"/>
        </w:trPr>
        <w:tc>
          <w:tcPr>
            <w:tcW w:w="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Total deferred income tax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21,801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11,721</w:t>
            </w: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(41,327)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(45,319)</w:t>
            </w: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Fixed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r>
      <w:tr>
        <w:trPr>
          <w:trHeight w:val="230"/>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Lease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(1,699)</w:t>
            </w: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23"/>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Deferred income tax liabilities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(48,411)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deferred income tax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2021, we had tax-effected federal and state net operating loss carryforwards of approximately $14.2 million and $3.4 million respectively, which expire in varying amounts and various dates through 2041 unless indefinite in nature. While the Company on a separate return method has net operating losses, these net operating losses have been absorbed by OPKO. As of each reporting date, we evaluated the realization of our U.S. and Canadian deferred tax assets and have determined that all deferred tax assets will more likely than not be realized and no valuation allowance is required. We file federal income tax returns in the U.S. and Canada, as well as with various U.S. states. We are subject to routine tax audits in all jurisdictions for which we file tax returns. Tax audits by their very nature are often complex and can require several years to complete.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 Federal: Under the tax statute of limitations applicable to the Internal Revenue Code, we are no longer subject to U.S. federal income tax examinations by the Internal Revenue Service for tax years before 2018.</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State: Under the statutes of limitation applicable to most state income tax laws, we are no longer subject to state income tax examinations by tax authorities for years before 2017 in states in which we have filed income tax returns. Certain states may take the position that we are subject to income tax in such states even though we have not filed income tax returns in such states and, depending on the varying state income tax statutes and administrative practices, the statutes of limitations in such states may extend to years before 2017.</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Foreign: Under the statutes of limitations applicable to our operations in Canada, we are generally no longer subject to tax examination for years before 2018 in jurisdictions where we have filed income tax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Tax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elements contributing to the difference between the federal statutory tax rate and the effective tax rate are as follows:</w:t>
      </w:r>
    </w:p>
    <w:p>
      <w:pPr>
        <w:spacing w:after="0" w:line="193"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For the years ended</w:t>
      </w:r>
    </w:p>
    <w:p>
      <w:pPr>
        <w:jc w:val="center"/>
        <w:ind w:left="776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78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rate</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62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30"/>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Rate change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Permanent differences</w:t>
            </w: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refunds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30"/>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62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25.4 %</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25.7 %</w:t>
            </w: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2017, the 2017 Tax Cuts and Jobs Act (the “Tax Act”) was enacted into law and the new legislation contained several key tax provisions, including a reduction of the corporate income tax rate from 35% to 21% effective January 1, 2018. We were required to recognize the effect of the tax law changes in the period of enactment, such as remeasuring our U.S. deferred tax assets and liabilities, as well as reassessing the net realizability of our deferred tax assets and liabilities.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enactment of the Tax Act, we regularly determined the undistributed earnings in Canada to be indefinitely reinvested outside the United States. Our intent is to permanently reinvest these funds outside the U.S. and our current plans do not demonstrate a need to repatriate the cash to fund U.S. operations. However, if these funds were repatriated, we would be required to accrue and pay applicable U.S. taxes (if any) and withholding taxes payable to foreign tax authorities.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Dr. Roger Medel, a director of OPKO as of December 18, 2020, is the former Chief Executive Officer of Pediatrix. Dr. Medel continues to serve on the board of Pediatrix.</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Employee Benefit Plans</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Effective January 1, 2017, employees of GeneDx were eligible for participation in the OPKO Health Savings and Retirement Plan (the “Plan”). The Plan permits employees to contribute up to 100% of qualified pre-tax annual compensation up to annual statutory limitations. The discretionary company match for employee contributions to the Plan is 100% up to the first 4% of the participant’s earnings contributed to the Plan. Our matching contributions to our plans, including our predecessor plans, was $1.9 million for the year ended December 31, 2021 and $1.7 million for the year ended December 31,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11, 2019, GeneDx received a letter from the Centers for Medicare and Medicaid Services (“CMS”), notifying GeneDx of CMS’s determination to suspend Medicare payments to GeneDx, which suspension became effective on September 27, 2019. CMS advised that it suspended payments due to possible overpayments to GeneDx in connection with reimbursement claims for genetic testing services based on a diagnosis of family history of cancer, which testing CMS has alleged is not covered by Medicare under the applicable provisions of the Social Security Act on the basis that such testing is not reasonable and necessary for the diagnosis or treatment of illness or injury. CMS lifted the suspension on February 3, 2020 and issued an extrapolated overpayment finding of approximately $576,332, which GeneDx paid.</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2018, GeneDx received two document request letters from Cigna’s Special Investigations Unit in connection with claims submitted for laboratory services performed on Cigna members by GeneDx. Cigna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records and other documentation for 100 individual members for which GeneDx had submitted claims. The parties negotiated a final settlement agreement in January 2021 that included a $500,000 payment from GeneDx to Cigna without any admission of error or liability and a mutual release of any and all claims prior to the execution of the settlement agreement.</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accrue a liability for legal contingencies when we believe that it is both probable that a liability has been incurred and that we can reasonably estimate the amount of the loss. We review established accruals and adjust them to reflect ongoing negotiations, settlements, rulings, advice of legal counsel and other relevant information. To the extent new information is obtained and our views on the probable outcomes of claims, suits, assessments, investigations or legal proceedings change, changes in our accrued liabilities would be recorded in the period in which such determination is made. For the matters referenced in the paragraph below, the amount of liability is not probable, or the amount cannot be reasonably estimated; and, therefore, accruals have not been made. In addition, in accordance with the relevant authoritative guidance, for matters which the likelihood of material loss is at least reasonably possible, we provide disclosure of the possible loss or range of loss; however, if a reasonable estimate cannot be made, we will provide disclosure to that effect.</w:t>
      </w:r>
    </w:p>
    <w:p>
      <w:pPr>
        <w:spacing w:after="0" w:line="13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From time to time, we may receive inquiries, document requests, Civil Investigative Demands (“CIDs”) or subpoenas from the Department of Justice, the Office of Inspector General and Office for Civil Rights (“OCR”) of the Department of Health and Human Services, the Centers for Medicare and Medicaid Services, various payors and fiscal intermediaries, and other state and federal regulators regarding investigations, audits and reviews. In addition to the matters discussed in this note, we are currently responding to CIDs, subpoenas or document requests for various matters relating to our laboratory operations. Some pending or threatened proceedings against us may involve potentially substantial amounts as well as the possibility of civil, criminal, or administrative fines, penalties, or other sanctions, which could be material. Settlements of suits involving the types of issues that we routinely confront may require monetary payments as well as corporate integrity agreements. Additionally, qui tam or “whistleblower” actions initiated under the civil False Claims Act may be pending but placed under seal by the court to comply with the False Claims Act’s requirements for filing such suits. Also, from time to time, we may detect issues of non-compliance with federal healthcare laws pertaining to claims submission and reimbursement practices and/or financial relationships with physicians, among other things. We may avail ourselves of various mechanisms to address these issues, including participation in voluntary disclosure protocols. Participating in voluntary disclosure protocols can have the potential for significant settlement obligations or even enforcement action. The Company generally has cooperated, and intends to continue to cooperate, with appropriate regulatory authorities as and when investigations, audits and inquiries arise.</w:t>
      </w:r>
    </w:p>
    <w:p>
      <w:pPr>
        <w:spacing w:after="0" w:line="1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 party to other litigation in the ordinary course of business. While we cannot predict the ultimate outcome of legal matters, we accrue a liability for legal contingencies when we believe that it is both probable that a liability has been incurred and that we can reasonably estimate the amount of the loss. It is reasonably possible the ultimate liability could exceed amounts currently estimated and we review established accruals and adjust them to reflect ongoing negotiations, settlements, rulings, advice of legal counsel and other relevant information. To the extent new information is obtained and our views on the probable outcomes of claims, suits, assessments, investigations or legal proceedings change, changes in our accrued liabilities would be recorded in the period in which such determination is made. Because of the high degree of judgment involved in establishing loss estimates, the ultimate outcome of such matters could be material to our business, financial condition, results of operations, and cash flows.</w:t>
      </w:r>
    </w:p>
    <w:p>
      <w:pPr>
        <w:spacing w:after="0" w:line="1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employment agreements with certain executives that provide for compensation and certain other benefits and for severance payments under certain circumstances. During the years ended December 31, 2021 and 2020, we recognized $0.3 million and $0.2 million, respectively, of severance costs pursuant to employment agreements with former executives as a component of selling, general and administrative expense.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31, 2021, we were committed to make future purchases for inventory and other items in 2022 that occur in the ordinary course of business under various purchase arrangements with fixed purchase provisions aggregating $14.5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maintain medical malpractice insurance coverage at a level in excess of historical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Revenue Recognition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for laboratory services is recognized at the time test results are reported, which approximates when services are provided, and the performance obligations are satisfied. Services are provided to patients covered by various third-party payor programs including various managed care organizations, as well as Medicare and Medicaid programs. Billings for services are included in revenue net of allowances for explicit price concessions, and implicit price concessions provided to uninsured patients which are all elements of variable consideration.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descriptions of our payors for laboratory services: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Healthcare Insurers. </w:t>
      </w:r>
      <w:r>
        <w:rPr>
          <w:rFonts w:ascii="Arial" w:cs="Arial" w:eastAsia="Arial" w:hAnsi="Arial"/>
          <w:sz w:val="17"/>
          <w:szCs w:val="17"/>
          <w:color w:val="auto"/>
        </w:rPr>
        <w:t>Reimbursements from healthcare insurers are based on negotiated fee-for-service schedules. Revenues consist of amounts billed, net</w:t>
      </w:r>
      <w:r>
        <w:rPr>
          <w:rFonts w:ascii="Arial" w:cs="Arial" w:eastAsia="Arial" w:hAnsi="Arial"/>
          <w:sz w:val="17"/>
          <w:szCs w:val="17"/>
          <w:i w:val="1"/>
          <w:iCs w:val="1"/>
          <w:color w:val="auto"/>
        </w:rPr>
        <w:t xml:space="preserve"> </w:t>
      </w:r>
      <w:r>
        <w:rPr>
          <w:rFonts w:ascii="Arial" w:cs="Arial" w:eastAsia="Arial" w:hAnsi="Arial"/>
          <w:sz w:val="17"/>
          <w:szCs w:val="17"/>
          <w:color w:val="auto"/>
        </w:rPr>
        <w:t>of explicit price concessions and implicit price concessions for differences between amounts billed and the estimated consideration we expect to receive from such payors, which considers historical denial and collection experience and the terms of our contractual arrangements. Adjustments to the allowances, based on actual receipts from the third-party payors, are recorded upon settlement.</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Government Payors. </w:t>
      </w:r>
      <w:r>
        <w:rPr>
          <w:rFonts w:ascii="Arial" w:cs="Arial" w:eastAsia="Arial" w:hAnsi="Arial"/>
          <w:sz w:val="16"/>
          <w:szCs w:val="16"/>
          <w:color w:val="auto"/>
        </w:rPr>
        <w:t>Reimbursements from government payors are based on fee-for-service schedules set by governmental authorities, including traditional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Medicare and Medicaid. Revenues consist of amounts billed, net of explicit price concessions and implicit price concessions for differences between amounts billed and the estimated consideration we expect to receive from such payors, which considers historical denial and collection experience and the terms of our contractual arrangements. Adjustments to the allowances, based on actual receipts from the government payors, are recorded upon settlement.</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Client Payors. </w:t>
      </w:r>
      <w:r>
        <w:rPr>
          <w:rFonts w:ascii="Arial" w:cs="Arial" w:eastAsia="Arial" w:hAnsi="Arial"/>
          <w:sz w:val="18"/>
          <w:szCs w:val="18"/>
          <w:color w:val="auto"/>
        </w:rPr>
        <w:t>Client payors include physicians, hospitals, employers, and other institutions for which services are performed on a wholesale basis and are</w:t>
      </w:r>
      <w:r>
        <w:rPr>
          <w:rFonts w:ascii="Arial" w:cs="Arial" w:eastAsia="Arial" w:hAnsi="Arial"/>
          <w:sz w:val="18"/>
          <w:szCs w:val="18"/>
          <w:i w:val="1"/>
          <w:iCs w:val="1"/>
          <w:color w:val="auto"/>
        </w:rPr>
        <w:t xml:space="preserve"> </w:t>
      </w:r>
      <w:r>
        <w:rPr>
          <w:rFonts w:ascii="Arial" w:cs="Arial" w:eastAsia="Arial" w:hAnsi="Arial"/>
          <w:sz w:val="18"/>
          <w:szCs w:val="18"/>
          <w:color w:val="auto"/>
        </w:rPr>
        <w:t>billed and recognized as revenue based on negotiated fee schedules.</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Patients. </w:t>
      </w:r>
      <w:r>
        <w:rPr>
          <w:rFonts w:ascii="Arial" w:cs="Arial" w:eastAsia="Arial" w:hAnsi="Arial"/>
          <w:sz w:val="16"/>
          <w:szCs w:val="16"/>
          <w:color w:val="auto"/>
        </w:rPr>
        <w:t>Uninsured patients are billed based on established patient fee schedules or fees negotiated with physicians on behalf of their patients. Insured</w:t>
      </w:r>
      <w:r>
        <w:rPr>
          <w:rFonts w:ascii="Arial" w:cs="Arial" w:eastAsia="Arial" w:hAnsi="Arial"/>
          <w:sz w:val="16"/>
          <w:szCs w:val="16"/>
          <w:i w:val="1"/>
          <w:iCs w:val="1"/>
          <w:color w:val="auto"/>
        </w:rPr>
        <w:t xml:space="preserve"> </w:t>
      </w:r>
      <w:r>
        <w:rPr>
          <w:rFonts w:ascii="Arial" w:cs="Arial" w:eastAsia="Arial" w:hAnsi="Arial"/>
          <w:sz w:val="16"/>
          <w:szCs w:val="16"/>
          <w:color w:val="auto"/>
        </w:rPr>
        <w:t>patients (including amounts for coinsurance and deductible responsibilities) are billed based on fees negotiated with healthcare insurers. Collection of billings from patients is subject to credit risk and ability of the patients to pay. Revenues consist of amounts billed net of discounts provided to uninsured patients in accordance with our policies and implicit price concessions. Implicit price concessions represent differences between amounts billed and the estimated consideration that we expect to receive from patients, which considers historical collection experience and other factors including current market conditions. Adjustments to the estimated allowances, based on actual receipts from the patients, are recorded upon settlement.</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complexities and ambiguities of billing, reimbursement regulations and claims processing, as well as issues unique to Medicare and Medicaid programs, require us to estimate the potential for retroactive adjustments as an element of variable consideration in the recognition of revenue in the period the related services are rendered. Actual amounts are adjusted for the period in which those adjustments become known. For the years ended December 31, 2021 and 2020, revenue reductions due to changes in estimates of implicit price concessions for performance obligations satisfied in prior periods of $4.2 million and $5.0 million, respectively, were recognized.</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Third-party payors, including government programs, may decide to deny payment or recoup payments for testing they contend were improperly billed or not medically necessary, against their coverage determinations, or for which they believe they have otherwise overpaid (including as a result of their own error), and we may be required to refund payments already received. Our revenues may be subject to retroactive adjustment as a result of these factors among others, including without limitation, differing interpretations of billing and coding guidance and changes by government agencies and payors in interpretations, requirements, and “conditions of participation” in various programs. We have processed requests for recoupment from third-party payors in the ordinary course of our business, and it is likely that we will continue to do so in the future. If a third-party payer denies payment for testing or recoups money from us in a later period, reimbursement revenue for our testing could decline.</w:t>
      </w:r>
    </w:p>
    <w:p>
      <w:pPr>
        <w:spacing w:after="0" w:line="12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an integral part of our billing compliance program, we periodically assess our billing and coding practices, respond to payor audits on a routine basis, and investigate reported failures or suspected failures to comply with federal and state healthcare reimbursement requirements, as well as overpayment claims which may arise from time to time without fault on the part of the Company. We may have an obligation to reimburse Medicare, Medicaid,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third-party payors for overpayments regardless of fault. We have periodically identified and reported overpayments, reimbursed payors for overpayments and taken appropriate corrective action.</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Settlements with third-party payors for retroactive adjustments due to audits, reviews or investigations are also considered variable consideration and are included in the determination of the estimated transaction price for providing services. These settlements are estimated based on the terms of the payment agreement with the payor, correspondence from the payor and our historical settlement activity, including an assessment of the probability a significant reversal of cumulative revenue recognized will occur when the uncertainty is subsequently resolved. Estimated settlements are adjusted in future periods as adjustments become known (that is, new information becomes available), or as years are settled or are no longer subject to such audits, reviews, and investigations. As of December 31, 2021 and 2020, we had liabilities of $0.0 million and $1.5 million, respectively, within Accrued expenses related to reimbursements for payor overpayments.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Revenue by payor for the years ended December 31, 2021 and 2020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 insurers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35,314</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Government payors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9,687</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Client payors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47,326</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Patients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95,020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Leases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an operating lease for office space and laboratory operations. We determine if a contract contains a lease at inception or modification of a contract. Our lease does not provide an implicit interest rate, and we therefore use our incremental borrowing rate as the discount rate when measuring operating lease liability. The incremental borrowing rate represents an estimate of the interest rate we would incur, calculated at the Parent level, at lease commencement to borrow an amount equal to the lease payments on a collateralized basis over the term of the lease within a particular currency environment. We used the incremental borrowing rate as of January 1, 2019 for this operating lease. We factored into our determination of the lease payments any rental escalation, renewal options, and/or termination options as appropriate. Variable lease payment amounts that cannot be determined at the commencement of the lease are not included in the right-to-use assets or liabilities.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elected the use of permitted practical expedients of not recording leases on our Combined Balance Sheet when the leases have terms of 12 months or less, and we elected not to separate nonlease components from lease components and instead account for each separate lease component and the nonlease components associated with that lease component as a single lease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lease balances within the Combined Balance Sheet as of 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Classification on the Balance Sheet</w:t>
            </w: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2020</w:t>
            </w:r>
          </w:p>
        </w:tc>
      </w:tr>
      <w:tr>
        <w:trPr>
          <w:trHeight w:val="215"/>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37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Operating lease right-of-use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5,789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6,858</w:t>
            </w: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Current</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Current maturities of operating leases</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Long-term</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Operating lease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9,936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7,340</w:t>
            </w:r>
          </w:p>
        </w:tc>
      </w:tr>
      <w:tr>
        <w:trPr>
          <w:trHeight w:val="256"/>
        </w:trPr>
        <w:tc>
          <w:tcPr>
            <w:tcW w:w="428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ind w:left="800"/>
              <w:spacing w:after="0"/>
              <w:rPr>
                <w:sz w:val="20"/>
                <w:szCs w:val="20"/>
                <w:color w:val="auto"/>
              </w:rPr>
            </w:pPr>
            <w:r>
              <w:rPr>
                <w:rFonts w:ascii="Arial" w:cs="Arial" w:eastAsia="Arial" w:hAnsi="Arial"/>
                <w:sz w:val="18"/>
                <w:szCs w:val="18"/>
                <w:color w:val="auto"/>
              </w:rPr>
              <w:t>10 years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 years</w:t>
            </w: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7.2 %</w:t>
            </w:r>
          </w:p>
        </w:tc>
      </w:tr>
    </w:tbl>
    <w:p>
      <w:pPr>
        <w:spacing w:after="0" w:line="24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 reconciles the undiscounted future minimum lease payments (displayed by year and in the aggregate) under noncancelable operating leases with terms of more than one year to the total operating lease liabilities recognized on our Combined Balance Sheet as of December 31, 2021: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w:t>
            </w:r>
          </w:p>
        </w:tc>
        <w:tc>
          <w:tcPr>
            <w:tcW w:w="220" w:type="dxa"/>
            <w:vAlign w:val="bottom"/>
          </w:tcPr>
          <w:p>
            <w:pPr>
              <w:spacing w:after="0"/>
              <w:rPr>
                <w:sz w:val="16"/>
                <w:szCs w:val="16"/>
                <w:color w:val="auto"/>
              </w:rPr>
            </w:pPr>
          </w:p>
        </w:tc>
        <w:tc>
          <w:tcPr>
            <w:tcW w:w="1340" w:type="dxa"/>
            <w:vAlign w:val="bottom"/>
          </w:tcPr>
          <w:p>
            <w:pPr>
              <w:jc w:val="right"/>
              <w:ind w:right="252"/>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1,048</w:t>
            </w:r>
          </w:p>
        </w:tc>
      </w:tr>
      <w:tr>
        <w:trPr>
          <w:trHeight w:val="229"/>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1,715</w:t>
            </w:r>
          </w:p>
        </w:tc>
      </w:tr>
      <w:tr>
        <w:trPr>
          <w:trHeight w:val="229"/>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9,116</w:t>
            </w:r>
          </w:p>
        </w:tc>
      </w:tr>
      <w:tr>
        <w:trPr>
          <w:trHeight w:val="223"/>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undiscounted future minimum lease payments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14,915</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Difference between lease payments and discounted lease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w:t>
            </w: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9,936</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minimum lease payments above include tenant improvement payments of $2.0 million and $0.6 million for the years ended 2022 and 2023, respectively. We conduct certain of our operations under operating lease agreements. Rent expense under operating leases was approximately $1.3 million for the year ended December 31, 2021 and $0.9 million for the year ended December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For the years ended December 31,</w:t>
            </w:r>
          </w:p>
        </w:tc>
        <w:tc>
          <w:tcPr>
            <w:tcW w:w="460" w:type="dxa"/>
            <w:vAlign w:val="bottom"/>
            <w:tcBorders>
              <w:bottom w:val="single" w:sz="8" w:color="auto"/>
            </w:tcBorders>
          </w:tcPr>
          <w:p>
            <w:pPr>
              <w:spacing w:after="0"/>
              <w:rPr>
                <w:sz w:val="16"/>
                <w:szCs w:val="16"/>
                <w:color w:val="auto"/>
              </w:rPr>
            </w:pPr>
          </w:p>
        </w:tc>
      </w:tr>
      <w:tr>
        <w:trPr>
          <w:trHeight w:val="18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out flows from operating leases</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r>
      <w:tr>
        <w:trPr>
          <w:trHeight w:val="20"/>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Selected Quarterly Financial Data (Unaudited)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For the 2021 Quarters Ended</w:t>
            </w:r>
          </w:p>
        </w:tc>
        <w:tc>
          <w:tcPr>
            <w:tcW w:w="1480" w:type="dxa"/>
            <w:vAlign w:val="bottom"/>
            <w:tcBorders>
              <w:bottom w:val="single" w:sz="8" w:color="auto"/>
            </w:tcBorders>
          </w:tcPr>
          <w:p>
            <w:pPr>
              <w:spacing w:after="0"/>
              <w:rPr>
                <w:sz w:val="16"/>
                <w:szCs w:val="16"/>
                <w:color w:val="auto"/>
              </w:rPr>
            </w:pPr>
          </w:p>
        </w:tc>
      </w:tr>
      <w:tr>
        <w:trPr>
          <w:trHeight w:val="186"/>
        </w:trPr>
        <w:tc>
          <w:tcPr>
            <w:tcW w:w="51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Pr>
          <w:p>
            <w:pPr>
              <w:ind w:left="420"/>
              <w:spacing w:after="0"/>
              <w:rPr>
                <w:sz w:val="20"/>
                <w:szCs w:val="20"/>
                <w:color w:val="auto"/>
              </w:rPr>
            </w:pPr>
            <w:r>
              <w:rPr>
                <w:rFonts w:ascii="Arial" w:cs="Arial" w:eastAsia="Arial" w:hAnsi="Arial"/>
                <w:sz w:val="14"/>
                <w:szCs w:val="14"/>
                <w:b w:val="1"/>
                <w:bCs w:val="1"/>
                <w:color w:val="auto"/>
              </w:rPr>
              <w:t>March 31</w:t>
            </w:r>
          </w:p>
        </w:tc>
        <w:tc>
          <w:tcPr>
            <w:tcW w:w="1420" w:type="dxa"/>
            <w:vAlign w:val="bottom"/>
          </w:tcPr>
          <w:p>
            <w:pPr>
              <w:ind w:left="500"/>
              <w:spacing w:after="0"/>
              <w:rPr>
                <w:sz w:val="20"/>
                <w:szCs w:val="20"/>
                <w:color w:val="auto"/>
              </w:rPr>
            </w:pPr>
            <w:r>
              <w:rPr>
                <w:rFonts w:ascii="Arial" w:cs="Arial" w:eastAsia="Arial" w:hAnsi="Arial"/>
                <w:sz w:val="14"/>
                <w:szCs w:val="14"/>
                <w:b w:val="1"/>
                <w:bCs w:val="1"/>
                <w:color w:val="auto"/>
              </w:rPr>
              <w:t>June 30</w:t>
            </w:r>
          </w:p>
        </w:tc>
        <w:tc>
          <w:tcPr>
            <w:tcW w:w="1640" w:type="dxa"/>
            <w:vAlign w:val="bottom"/>
          </w:tcPr>
          <w:p>
            <w:pPr>
              <w:ind w:left="440"/>
              <w:spacing w:after="0"/>
              <w:rPr>
                <w:sz w:val="20"/>
                <w:szCs w:val="20"/>
                <w:color w:val="auto"/>
              </w:rPr>
            </w:pPr>
            <w:r>
              <w:rPr>
                <w:rFonts w:ascii="Arial" w:cs="Arial" w:eastAsia="Arial" w:hAnsi="Arial"/>
                <w:sz w:val="14"/>
                <w:szCs w:val="14"/>
                <w:b w:val="1"/>
                <w:bCs w:val="1"/>
                <w:color w:val="auto"/>
              </w:rPr>
              <w:t>September 30</w:t>
            </w:r>
          </w:p>
        </w:tc>
        <w:tc>
          <w:tcPr>
            <w:tcW w:w="1480" w:type="dxa"/>
            <w:vAlign w:val="bottom"/>
          </w:tcPr>
          <w:p>
            <w:pPr>
              <w:ind w:left="360"/>
              <w:spacing w:after="0"/>
              <w:rPr>
                <w:sz w:val="20"/>
                <w:szCs w:val="20"/>
                <w:color w:val="auto"/>
              </w:rPr>
            </w:pPr>
            <w:r>
              <w:rPr>
                <w:rFonts w:ascii="Arial" w:cs="Arial" w:eastAsia="Arial" w:hAnsi="Arial"/>
                <w:sz w:val="14"/>
                <w:szCs w:val="14"/>
                <w:b w:val="1"/>
                <w:bCs w:val="1"/>
                <w:color w:val="auto"/>
              </w:rPr>
              <w:t>December 31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33,098</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Total costs and expenses,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46,582</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(13,484)</w:t>
            </w:r>
          </w:p>
        </w:tc>
      </w:tr>
      <w:tr>
        <w:trPr>
          <w:trHeight w:val="453"/>
        </w:trPr>
        <w:tc>
          <w:tcPr>
            <w:tcW w:w="5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For the 2020 Quarters Ended</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88"/>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24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w:t>
            </w: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20,265</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Total costs and expenses,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31,065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34,903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29,080</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reviewed all subsequent events and transactions that occurred after the date of our December 31, 2021 Combined Carve Out Balance Sheet date up through March 15, 2022, which is the date that the Combined Financial Statements were available to be issued, noting no items that required adjustment or disclosures in the Combined Carve Out Financial Statements, except for, the January 2022 announcement by Sema4 Holdings Corp. (“Sema4”) and OPKO that they had signed a definitive agreement pursuant to which Sema4 has agreed to acquire GeneDx, subject to the satisfaction of customary closing conditions (the “GeneDx Transaction”). The GeneDx Transaction is expected to close in the second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4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an estimate of the expenses that Sema4 Holdings Corp. (the “Registrant”) may incur in connection with the securities being registered hereby (all of which are to be paid by the Registrant).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3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32,508.41</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Legal fees and expenses</w:t>
            </w:r>
          </w:p>
        </w:tc>
        <w:tc>
          <w:tcPr>
            <w:tcW w:w="3280" w:type="dxa"/>
            <w:vAlign w:val="bottom"/>
          </w:tcPr>
          <w:p>
            <w:pPr>
              <w:spacing w:after="0"/>
              <w:rPr>
                <w:sz w:val="19"/>
                <w:szCs w:val="19"/>
                <w:color w:val="auto"/>
              </w:rPr>
            </w:pPr>
          </w:p>
        </w:tc>
        <w:tc>
          <w:tcPr>
            <w:tcW w:w="1560" w:type="dxa"/>
            <w:vAlign w:val="bottom"/>
          </w:tcPr>
          <w:p>
            <w:pPr>
              <w:jc w:val="right"/>
              <w:ind w:right="1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fees and expenses</w:t>
            </w:r>
          </w:p>
        </w:tc>
        <w:tc>
          <w:tcPr>
            <w:tcW w:w="3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Financial printing and miscellaneous expenses</w:t>
            </w:r>
          </w:p>
        </w:tc>
        <w:tc>
          <w:tcPr>
            <w:tcW w:w="3280" w:type="dxa"/>
            <w:vAlign w:val="bottom"/>
          </w:tcPr>
          <w:p>
            <w:pPr>
              <w:spacing w:after="0"/>
              <w:rPr>
                <w:sz w:val="19"/>
                <w:szCs w:val="19"/>
                <w:color w:val="auto"/>
              </w:rPr>
            </w:pPr>
          </w:p>
        </w:tc>
        <w:tc>
          <w:tcPr>
            <w:tcW w:w="1560" w:type="dxa"/>
            <w:vAlign w:val="bottom"/>
          </w:tcPr>
          <w:p>
            <w:pPr>
              <w:jc w:val="right"/>
              <w:ind w:right="1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32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400" w:type="dxa"/>
            <w:vAlign w:val="bottom"/>
            <w:vMerge w:val="continue"/>
          </w:tcPr>
          <w:p>
            <w:pPr>
              <w:spacing w:after="0"/>
              <w:rPr>
                <w:sz w:val="18"/>
                <w:szCs w:val="18"/>
                <w:color w:val="auto"/>
              </w:rPr>
            </w:pPr>
          </w:p>
        </w:tc>
        <w:tc>
          <w:tcPr>
            <w:tcW w:w="3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right="20" w:hanging="332"/>
        <w:spacing w:after="0" w:line="246" w:lineRule="auto"/>
        <w:tabs>
          <w:tab w:leader="none" w:pos="333" w:val="left"/>
        </w:tabs>
        <w:numPr>
          <w:ilvl w:val="0"/>
          <w:numId w:val="111"/>
        </w:numPr>
        <w:rPr>
          <w:rFonts w:ascii="Arial" w:cs="Arial" w:eastAsia="Arial" w:hAnsi="Arial"/>
          <w:sz w:val="17"/>
          <w:szCs w:val="17"/>
          <w:color w:val="auto"/>
          <w:vertAlign w:val="superscript"/>
        </w:rPr>
      </w:pPr>
      <w:r>
        <w:rPr>
          <w:rFonts w:ascii="Arial" w:cs="Arial" w:eastAsia="Arial" w:hAnsi="Arial"/>
          <w:sz w:val="13"/>
          <w:szCs w:val="13"/>
          <w:color w:val="auto"/>
        </w:rPr>
        <w:t>Except for the Securities and Exchange Commission (“SEC”) registration fee, estimated expenses are not presently known. The foregoing sets forth the general categories of expenses (other than underwriting discounts and commissions) that we anticipate we will incur in connection with the offering of securities under this Registration Statement on Form S-1. To the extent required, any applicable prospectus supplement will set forth the estimated aggregate amount of expenses payable in respect of any offering of securities under the registration statement.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(the “Securities Act”).</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permitted by the Delaware General Corporation Law, the Registrant’s amended and restated certificate of incorporation, as amended (the “Certificate of Incorporation”), contains provisions that eliminate the personal liability of its directors for monetary damages for any breach of fiduciary duties as a director, except liability for the following:</w:t>
      </w:r>
    </w:p>
    <w:p>
      <w:pPr>
        <w:spacing w:after="0" w:line="130" w:lineRule="exact"/>
        <w:rPr>
          <w:sz w:val="20"/>
          <w:szCs w:val="20"/>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its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under Section 174 of the Delaware General Corporation Law (regarding unlawful dividends and stock purchases);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permitted by the Delaware General Corporation Law, the Registrant’s restated bylaws (the “Bylaws”) provide that:</w:t>
      </w:r>
    </w:p>
    <w:p>
      <w:pPr>
        <w:spacing w:after="0" w:line="171" w:lineRule="exact"/>
        <w:rPr>
          <w:sz w:val="20"/>
          <w:szCs w:val="20"/>
          <w:color w:val="auto"/>
        </w:rPr>
      </w:pPr>
    </w:p>
    <w:p>
      <w:pPr>
        <w:ind w:left="660" w:hanging="328"/>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officers to the fullest extent permitted by the Delaware General Corporation Law, subject to very limited exceptions;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officers in connection with a legal proceeding to the fullest extent permitted by the Delaware General Corporation Law, subject to limited exceptions;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rights conferred in the bylaws are not exclusive.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Registrant has entered into indemnification agreements with its directors and executive officers, which provide for indemnification and advancements by the Registrant of certain expenses and costs under certain circumstances. At present, there is no pending litigation or proceeding involving a director or executive officer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970280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Registrant for which indemnification is sought. The indemnification provisions in the Registrant’s Certificate of Incorporation, Bylaws and the indemnification agreements entered into between the Registrant and each of its directors and executive officers may be sufficiently broad to permit indemnification of the Registrant’s directors and executive officers for liabilities arising under the Securities Act.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has directors’ and officers’ liability insurance for securities matters.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Since January 1, 2020, the Registrant has issued and sold the following unregistered securities:</w:t>
      </w:r>
    </w:p>
    <w:p>
      <w:pPr>
        <w:spacing w:after="0" w:line="171" w:lineRule="exact"/>
        <w:rPr>
          <w:sz w:val="20"/>
          <w:szCs w:val="20"/>
          <w:color w:val="auto"/>
        </w:rPr>
      </w:pPr>
    </w:p>
    <w:p>
      <w:pPr>
        <w:jc w:val="both"/>
        <w:ind w:firstLine="8"/>
        <w:spacing w:after="0" w:line="311" w:lineRule="auto"/>
        <w:tabs>
          <w:tab w:leader="none" w:pos="314" w:val="left"/>
        </w:tabs>
        <w:numPr>
          <w:ilvl w:val="0"/>
          <w:numId w:val="114"/>
        </w:numPr>
        <w:rPr>
          <w:rFonts w:ascii="Arial" w:cs="Arial" w:eastAsia="Arial" w:hAnsi="Arial"/>
          <w:sz w:val="16"/>
          <w:szCs w:val="16"/>
          <w:color w:val="auto"/>
        </w:rPr>
      </w:pPr>
      <w:r>
        <w:rPr>
          <w:rFonts w:ascii="Arial" w:cs="Arial" w:eastAsia="Arial" w:hAnsi="Arial"/>
          <w:sz w:val="16"/>
          <w:szCs w:val="16"/>
          <w:color w:val="auto"/>
        </w:rPr>
        <w:t>On July 16, 2020, CMLS Holdings LLC, the Registrant’s sponsor (the “Former Sponsor”), purchased an aggregate of 10,062,500 shares of Class B common stock of the Registrant (the “Founder Shares”) for a total purchase price of $25,000, or approximately $0.002 per share. Such securities were issued in connection with the Registrant’s organization pursuant to the exemption from registration contained in Section 4(a)(2) of the Securities Act.</w:t>
      </w:r>
    </w:p>
    <w:p>
      <w:pPr>
        <w:spacing w:after="0" w:line="94" w:lineRule="exact"/>
        <w:rPr>
          <w:rFonts w:ascii="Arial" w:cs="Arial" w:eastAsia="Arial" w:hAnsi="Arial"/>
          <w:sz w:val="16"/>
          <w:szCs w:val="16"/>
          <w:color w:val="auto"/>
        </w:rPr>
      </w:pPr>
    </w:p>
    <w:p>
      <w:pPr>
        <w:ind w:firstLine="8"/>
        <w:spacing w:after="0" w:line="277" w:lineRule="auto"/>
        <w:tabs>
          <w:tab w:leader="none" w:pos="32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C-LSH LLC (an entity affiliated with Eli Casdin) and M-LSH LLC (an entity affiliated with Keith Meister) are the managing members of the Former Sponsor. The Former Sponsor is an accredited investor for purposes of Rule 501 of Regulation D.</w:t>
      </w:r>
    </w:p>
    <w:p>
      <w:pPr>
        <w:spacing w:after="0" w:line="116" w:lineRule="exact"/>
        <w:rPr>
          <w:rFonts w:ascii="Arial" w:cs="Arial" w:eastAsia="Arial" w:hAnsi="Arial"/>
          <w:sz w:val="18"/>
          <w:szCs w:val="18"/>
          <w:color w:val="auto"/>
        </w:rPr>
      </w:pPr>
    </w:p>
    <w:p>
      <w:pPr>
        <w:jc w:val="both"/>
        <w:ind w:firstLine="8"/>
        <w:spacing w:after="0" w:line="259" w:lineRule="auto"/>
        <w:tabs>
          <w:tab w:leader="none" w:pos="31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of the equity holders in the Former Sponsor is an accredited investor under Rule 501 of Regulation D. The sole business of the Former Sponsor was to act as the Registrant’s sponsor in connection with the Registrant’s initial public offering (the “IPO”). The limited liability company agreement of the Former Sponsor provides that its membership interests may only be transferred to the Registrant’s officers or directors or other persons affiliated with the Former Sponsor, or in connection with estate planning transfers.</w:t>
      </w:r>
    </w:p>
    <w:p>
      <w:pPr>
        <w:spacing w:after="0" w:line="132" w:lineRule="exact"/>
        <w:rPr>
          <w:rFonts w:ascii="Arial" w:cs="Arial" w:eastAsia="Arial" w:hAnsi="Arial"/>
          <w:sz w:val="18"/>
          <w:szCs w:val="18"/>
          <w:color w:val="auto"/>
        </w:rPr>
      </w:pPr>
    </w:p>
    <w:p>
      <w:pPr>
        <w:ind w:right="20" w:firstLine="8"/>
        <w:spacing w:after="0" w:line="277" w:lineRule="auto"/>
        <w:tabs>
          <w:tab w:leader="none" w:pos="32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On September 1, 2020, the Registrant effected a 1:1.1 stock split of its Class B common stock, resulting there being an aggregate of 11,068,750 Founder Shares outstanding.</w:t>
      </w:r>
    </w:p>
    <w:p>
      <w:pPr>
        <w:spacing w:after="0" w:line="116" w:lineRule="exact"/>
        <w:rPr>
          <w:rFonts w:ascii="Arial" w:cs="Arial" w:eastAsia="Arial" w:hAnsi="Arial"/>
          <w:sz w:val="18"/>
          <w:szCs w:val="18"/>
          <w:color w:val="auto"/>
        </w:rPr>
      </w:pPr>
    </w:p>
    <w:p>
      <w:pPr>
        <w:jc w:val="both"/>
        <w:ind w:firstLine="8"/>
        <w:spacing w:after="0" w:line="259" w:lineRule="auto"/>
        <w:tabs>
          <w:tab w:leader="none" w:pos="31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On September 4, 2020, pursuant to a written agreement, the Former Sponsor and Munib Islam and Emily Leproust purchased from the Registrant in a private sale an aggregate of 7,236,667 warrants (the “Private Placement Warrants”) at a purchase price of $1.50 per Private Placement Warrant generating gross proceeds to the Registrant of $10,855,000. This issuance was made pursuant to the exemption from registration contained in Section 4(a)(2) of the Securities Act.</w:t>
      </w:r>
    </w:p>
    <w:p>
      <w:pPr>
        <w:spacing w:after="0" w:line="132" w:lineRule="exact"/>
        <w:rPr>
          <w:rFonts w:ascii="Arial" w:cs="Arial" w:eastAsia="Arial" w:hAnsi="Arial"/>
          <w:sz w:val="18"/>
          <w:szCs w:val="18"/>
          <w:color w:val="auto"/>
        </w:rPr>
      </w:pPr>
    </w:p>
    <w:p>
      <w:pPr>
        <w:jc w:val="both"/>
        <w:ind w:firstLine="8"/>
        <w:spacing w:after="0" w:line="272" w:lineRule="auto"/>
        <w:tabs>
          <w:tab w:leader="none" w:pos="321" w:val="left"/>
        </w:tabs>
        <w:numPr>
          <w:ilvl w:val="0"/>
          <w:numId w:val="114"/>
        </w:numPr>
        <w:rPr>
          <w:rFonts w:ascii="Arial" w:cs="Arial" w:eastAsia="Arial" w:hAnsi="Arial"/>
          <w:sz w:val="17"/>
          <w:szCs w:val="17"/>
          <w:color w:val="auto"/>
        </w:rPr>
      </w:pPr>
      <w:r>
        <w:rPr>
          <w:rFonts w:ascii="Arial" w:cs="Arial" w:eastAsia="Arial" w:hAnsi="Arial"/>
          <w:sz w:val="17"/>
          <w:szCs w:val="17"/>
          <w:color w:val="auto"/>
        </w:rPr>
        <w:t>On July 22, 2021 (the “Closing Date”), the Registrant consummated its initial business combination (the “Business Combination”) with Mount Sinai Genomics, Inc. d/b/a Sema4 (“Sema4”) pursuant to an Agreement and Plan of Merger, dated February 9, 2021, among the Registrant, S-IV Sub, Inc., a wholly-owned subsidiary of the Registrant (“Merger Sub”), and Sema4 (as amended, the “Prior Merger Agreement”). In addition, on the Closing Date, pursuant to subscription agreements entered into on February 9, 2021 (collectively, the “Merger Subscription Agreements”), certain investors agreed to subscribe for an aggregate of 35,000,000 newly-issued shares of Class A common stock at a purchase price of $10.00 per share for an aggregate purchase price of $350,000,000 (the “Prior PIPE Investment”). Additionally, 11,068,750 Founder Shares automatically converted to shares of Class A common stock as of the closing of the Business Combination.</w:t>
      </w:r>
    </w:p>
    <w:p>
      <w:pPr>
        <w:spacing w:after="0" w:line="123" w:lineRule="exact"/>
        <w:rPr>
          <w:rFonts w:ascii="Arial" w:cs="Arial" w:eastAsia="Arial" w:hAnsi="Arial"/>
          <w:sz w:val="17"/>
          <w:szCs w:val="17"/>
          <w:color w:val="auto"/>
        </w:rPr>
      </w:pPr>
    </w:p>
    <w:p>
      <w:pPr>
        <w:jc w:val="both"/>
        <w:ind w:firstLine="8"/>
        <w:spacing w:after="0" w:line="272" w:lineRule="auto"/>
        <w:tabs>
          <w:tab w:leader="none" w:pos="32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Registrant issued the shares of Class A common stock pursuant to the Business Combination and the Prior PIPE Investment under Section 4(a)(2) of the Securities Act and/or Rule 506 of Regulation D promulgated under the Securities Act, as a transaction by an issuer not involving a public offering. The Registrant issued the shares of Class A common stock in connection with the conversion of the Founder Shares under Section 3(a)(9) of the Securities Act, as an exchange with its existing security holders exclusively where no commission or other remuneration was paid or given directly or indirectly for soliciting such exchange. The investors in the Prior PIPE Investment represented their intentions to acquire the shares for investment only and not with a view to or for sale in connection with any distribution, and appropriate restrictive legends were affixed to the certificates representing all of the shares issued in the Business Combination and the Prior PIPE Investment and in connection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966470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conversion of the Founder Shares (or reflected in restricted book entry with the Registrant’s transfer agent). The parties also had adequate access, through business or other relationships, to information about the Registrant.</w:t>
      </w:r>
    </w:p>
    <w:p>
      <w:pPr>
        <w:spacing w:after="0" w:line="116" w:lineRule="exact"/>
        <w:rPr>
          <w:sz w:val="20"/>
          <w:szCs w:val="20"/>
          <w:color w:val="auto"/>
        </w:rPr>
      </w:pPr>
    </w:p>
    <w:p>
      <w:pPr>
        <w:jc w:val="both"/>
        <w:ind w:firstLine="8"/>
        <w:spacing w:after="0" w:line="286" w:lineRule="auto"/>
        <w:tabs>
          <w:tab w:leader="none" w:pos="324" w:val="left"/>
        </w:tabs>
        <w:numPr>
          <w:ilvl w:val="0"/>
          <w:numId w:val="115"/>
        </w:numPr>
        <w:rPr>
          <w:rFonts w:ascii="Arial" w:cs="Arial" w:eastAsia="Arial" w:hAnsi="Arial"/>
          <w:sz w:val="16"/>
          <w:szCs w:val="16"/>
          <w:color w:val="auto"/>
        </w:rPr>
      </w:pPr>
      <w:r>
        <w:rPr>
          <w:rFonts w:ascii="Arial" w:cs="Arial" w:eastAsia="Arial" w:hAnsi="Arial"/>
          <w:sz w:val="16"/>
          <w:szCs w:val="16"/>
          <w:color w:val="auto"/>
        </w:rPr>
        <w:t>On January 14, 2022, the Registrant entered into an Agreement and Plan of Merger and Reorganization (the “Acquisition Merger Agreement”), with GeneDx, Inc., a New Jersey corporation (“GeneDx”) and a wholly-owned subsidiary of OPKO Health, Inc. (“OPKO”), GeneDx Holding 2, Inc., OPKO and other parties thereto, to acquire 100% of GeneDx from OPKO (the “Acquisition”). Subject to the terms and conditions of the Acquisition Merger Agreement, the Registrant paid consideration to OPKO for the Acquisition of GeneDx of 80 million shares of the Registrant’s Class A common stock, among other consideration, upon the closing of the Acquisition on April 29, 2022. In addition, on January 14, 2022, certain investors agreed to subscribe (the “Acquisition Subscription Agreements”) for an aggregate of 50,000,000 newly-issued shares of Class A common stock at a purchase price of $4.04 per share for an aggregate purchase price of $4.00 per share for an aggregate gross purchase price of $200 million (the “PIPE Investment”). The PIPE Investment closed on April 29, 2022, substantially concurrently with the closing of the Acquisition. The shares of Registrant’s Class A common stock issued pursuant to the Acquisition Merger Agreement and the Acquisition Subscription Agreements and the transactions contemplated thereby were issued in reliance on the exemption from registration requirements thereof provided by Section 4(a)(2) of the Securities Act and/or Regulation D promulgated thereunder as a transaction by an issuer not involving a public offering. OPKO and the investors in the PIPE Investment represented their respective intentions to acquire the shares for investment only and not with a view to or for sale in connection with any distribution, and appropriate restrictive legends were affixed to the certificates representing all of the shares issued in the Acquisition and the PIPE Investment (or reflected in restricted book entry with the Registrant’s transfer agent). The parties also had adequate access, through business or other relationships, to information about the Registrant.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75"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4"/>
          </w:tcPr>
          <w:p>
            <w:pPr>
              <w:ind w:left="540"/>
              <w:spacing w:after="0"/>
              <w:rPr>
                <w:sz w:val="20"/>
                <w:szCs w:val="20"/>
                <w:color w:val="auto"/>
              </w:rPr>
            </w:pPr>
            <w:r>
              <w:rPr>
                <w:rFonts w:ascii="Arial" w:cs="Arial" w:eastAsia="Arial" w:hAnsi="Arial"/>
                <w:sz w:val="14"/>
                <w:szCs w:val="14"/>
                <w:b w:val="1"/>
                <w:bCs w:val="1"/>
                <w:color w:val="auto"/>
              </w:rPr>
              <w:t>Incorporated by Reference</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0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14"/>
            <w:vMerge w:val="restart"/>
          </w:tcPr>
          <w:p>
            <w:pPr>
              <w:ind w:left="260"/>
              <w:spacing w:after="0"/>
              <w:rPr>
                <w:sz w:val="20"/>
                <w:szCs w:val="20"/>
                <w:color w:val="auto"/>
              </w:rPr>
            </w:pPr>
            <w:r>
              <w:rPr>
                <w:rFonts w:ascii="Arial" w:cs="Arial" w:eastAsia="Arial" w:hAnsi="Arial"/>
                <w:sz w:val="14"/>
                <w:szCs w:val="14"/>
                <w:b w:val="1"/>
                <w:bCs w:val="1"/>
                <w:color w:val="auto"/>
              </w:rPr>
              <w:t>Description</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Form</w:t>
            </w: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Filing Date</w:t>
            </w:r>
          </w:p>
        </w:tc>
        <w:tc>
          <w:tcPr>
            <w:tcW w:w="13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0" w:type="dxa"/>
            <w:vAlign w:val="bottom"/>
            <w:gridSpan w:val="14"/>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9"/>
              </w:rPr>
              <w:t>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16"/>
          </w:tcPr>
          <w:p>
            <w:pPr>
              <w:spacing w:after="0" w:line="196" w:lineRule="exact"/>
              <w:rPr>
                <w:rFonts w:ascii="Arial" w:cs="Arial" w:eastAsia="Arial" w:hAnsi="Arial"/>
                <w:sz w:val="18"/>
                <w:szCs w:val="18"/>
                <w:color w:val="0000FF"/>
                <w:w w:val="97"/>
              </w:rPr>
            </w:pPr>
            <w:hyperlink r:id="rId274">
              <w:r>
                <w:rPr>
                  <w:rFonts w:ascii="Arial" w:cs="Arial" w:eastAsia="Arial" w:hAnsi="Arial"/>
                  <w:sz w:val="18"/>
                  <w:szCs w:val="18"/>
                  <w:color w:val="0000FF"/>
                  <w:w w:val="97"/>
                </w:rPr>
                <w:t>Agreement and Plan of Merger, dated February 9, 2021, by</w:t>
              </w:r>
            </w:hyperlink>
          </w:p>
        </w:tc>
        <w:tc>
          <w:tcPr>
            <w:tcW w:w="14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8"/>
              </w:rPr>
              <w:t>DEFM14A</w:t>
            </w:r>
          </w:p>
        </w:tc>
        <w:tc>
          <w:tcPr>
            <w:tcW w:w="142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6"/>
              </w:rPr>
              <w:t>Annex A</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0"/>
              </w:rPr>
              <w:t>07/02/2021</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88"/>
              </w:rPr>
            </w:pPr>
            <w:hyperlink r:id="rId274">
              <w:r>
                <w:rPr>
                  <w:rFonts w:ascii="Arial" w:cs="Arial" w:eastAsia="Arial" w:hAnsi="Arial"/>
                  <w:sz w:val="18"/>
                  <w:szCs w:val="18"/>
                  <w:color w:val="0000FF"/>
                  <w:w w:val="88"/>
                </w:rPr>
                <w:t>and among CMLS, Merger Sub and Legacy Sema4, as</w:t>
              </w:r>
            </w:hyperlink>
          </w:p>
        </w:tc>
        <w:tc>
          <w:tcPr>
            <w:tcW w:w="320" w:type="dxa"/>
            <w:vAlign w:val="bottom"/>
            <w:tcBorders>
              <w:top w:val="single" w:sz="8" w:color="0000FF"/>
            </w:tcBorders>
          </w:tcPr>
          <w:p>
            <w:pPr>
              <w:spacing w:after="0"/>
              <w:rPr>
                <w:sz w:val="17"/>
                <w:szCs w:val="17"/>
                <w:color w:val="auto"/>
              </w:rPr>
            </w:pPr>
          </w:p>
        </w:tc>
        <w:tc>
          <w:tcPr>
            <w:tcW w:w="400" w:type="dxa"/>
            <w:vAlign w:val="bottom"/>
            <w:gridSpan w:val="7"/>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16"/>
          </w:tcPr>
          <w:p>
            <w:pPr>
              <w:spacing w:after="0" w:line="196" w:lineRule="exact"/>
              <w:rPr>
                <w:rFonts w:ascii="Arial" w:cs="Arial" w:eastAsia="Arial" w:hAnsi="Arial"/>
                <w:sz w:val="18"/>
                <w:szCs w:val="18"/>
                <w:color w:val="0000FF"/>
                <w:w w:val="97"/>
              </w:rPr>
            </w:pPr>
            <w:hyperlink r:id="rId274">
              <w:r>
                <w:rPr>
                  <w:rFonts w:ascii="Arial" w:cs="Arial" w:eastAsia="Arial" w:hAnsi="Arial"/>
                  <w:sz w:val="18"/>
                  <w:szCs w:val="18"/>
                  <w:color w:val="0000FF"/>
                  <w:w w:val="97"/>
                </w:rPr>
                <w:t>amended by Amendment to Agreement and Plan of Merger</w:t>
              </w:r>
            </w:hyperlink>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274">
              <w:r>
                <w:rPr>
                  <w:rFonts w:ascii="Arial" w:cs="Arial" w:eastAsia="Arial" w:hAnsi="Arial"/>
                  <w:sz w:val="18"/>
                  <w:szCs w:val="18"/>
                  <w:color w:val="0000FF"/>
                </w:rPr>
                <w:t>dated May 3, 2021</w:t>
              </w:r>
            </w:hyperlink>
          </w:p>
        </w:tc>
        <w:tc>
          <w:tcPr>
            <w:tcW w:w="380" w:type="dxa"/>
            <w:vAlign w:val="bottom"/>
            <w:gridSpan w:val="6"/>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tcPr>
          <w:p>
            <w:pPr>
              <w:jc w:val="center"/>
              <w:spacing w:after="0"/>
              <w:rPr>
                <w:sz w:val="20"/>
                <w:szCs w:val="20"/>
                <w:color w:val="auto"/>
              </w:rPr>
            </w:pPr>
            <w:r>
              <w:rPr>
                <w:rFonts w:ascii="Arial" w:cs="Arial" w:eastAsia="Arial" w:hAnsi="Arial"/>
                <w:sz w:val="18"/>
                <w:szCs w:val="18"/>
                <w:color w:val="auto"/>
                <w:w w:val="99"/>
              </w:rPr>
              <w:t>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16"/>
          </w:tcPr>
          <w:p>
            <w:pPr>
              <w:spacing w:after="0"/>
              <w:rPr>
                <w:rFonts w:ascii="Arial" w:cs="Arial" w:eastAsia="Arial" w:hAnsi="Arial"/>
                <w:sz w:val="18"/>
                <w:szCs w:val="18"/>
                <w:color w:val="0000FF"/>
                <w:w w:val="95"/>
              </w:rPr>
            </w:pPr>
            <w:hyperlink r:id="rId275">
              <w:r>
                <w:rPr>
                  <w:rFonts w:ascii="Arial" w:cs="Arial" w:eastAsia="Arial" w:hAnsi="Arial"/>
                  <w:sz w:val="18"/>
                  <w:szCs w:val="18"/>
                  <w:color w:val="0000FF"/>
                  <w:w w:val="95"/>
                </w:rPr>
                <w:t>Agreement and Plan of Merger and Reorganization, dated as</w:t>
              </w:r>
            </w:hyperlink>
          </w:p>
        </w:tc>
        <w:tc>
          <w:tcPr>
            <w:tcW w:w="14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01/18/2022</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275">
              <w:r>
                <w:rPr>
                  <w:rFonts w:ascii="Arial" w:cs="Arial" w:eastAsia="Arial" w:hAnsi="Arial"/>
                  <w:sz w:val="18"/>
                  <w:szCs w:val="18"/>
                  <w:color w:val="0000FF"/>
                  <w:w w:val="90"/>
                </w:rPr>
                <w:t>of January 14, 2022, by and among, Orion Merger Sub I, Inc.,</w:t>
              </w:r>
            </w:hyperlink>
          </w:p>
        </w:tc>
        <w:tc>
          <w:tcPr>
            <w:tcW w:w="180" w:type="dxa"/>
            <w:vAlign w:val="bottom"/>
            <w:gridSpan w:val="4"/>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16"/>
          </w:tcPr>
          <w:p>
            <w:pPr>
              <w:spacing w:after="0" w:line="196" w:lineRule="exact"/>
              <w:rPr>
                <w:rFonts w:ascii="Arial" w:cs="Arial" w:eastAsia="Arial" w:hAnsi="Arial"/>
                <w:sz w:val="18"/>
                <w:szCs w:val="18"/>
                <w:color w:val="0000FF"/>
                <w:w w:val="96"/>
              </w:rPr>
            </w:pPr>
            <w:hyperlink r:id="rId275">
              <w:r>
                <w:rPr>
                  <w:rFonts w:ascii="Arial" w:cs="Arial" w:eastAsia="Arial" w:hAnsi="Arial"/>
                  <w:sz w:val="18"/>
                  <w:szCs w:val="18"/>
                  <w:color w:val="0000FF"/>
                  <w:w w:val="96"/>
                </w:rPr>
                <w:t>Orion Merger Sub II, LLC, GeneDx, Inc., GeneDx Holding 2,</w:t>
              </w:r>
            </w:hyperlink>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275">
              <w:r>
                <w:rPr>
                  <w:rFonts w:ascii="Arial" w:cs="Arial" w:eastAsia="Arial" w:hAnsi="Arial"/>
                  <w:sz w:val="18"/>
                  <w:szCs w:val="18"/>
                  <w:color w:val="0000FF"/>
                  <w:w w:val="91"/>
                </w:rPr>
                <w:t>Inc. and OPKO Health, Inc.</w:t>
              </w:r>
            </w:hyperlink>
          </w:p>
        </w:tc>
        <w:tc>
          <w:tcPr>
            <w:tcW w:w="2460" w:type="dxa"/>
            <w:vAlign w:val="bottom"/>
            <w:tcBorders>
              <w:top w:val="single" w:sz="8" w:color="0000FF"/>
            </w:tcBorders>
            <w:gridSpan w:val="9"/>
          </w:tcPr>
          <w:p>
            <w:pPr>
              <w:spacing w:after="0"/>
              <w:rPr>
                <w:sz w:val="17"/>
                <w:szCs w:val="17"/>
                <w:color w:val="auto"/>
              </w:rPr>
            </w:pPr>
          </w:p>
        </w:tc>
        <w:tc>
          <w:tcPr>
            <w:tcW w:w="180" w:type="dxa"/>
            <w:vAlign w:val="bottom"/>
            <w:gridSpan w:val="4"/>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tcPr>
          <w:p>
            <w:pPr>
              <w:jc w:val="center"/>
              <w:spacing w:after="0"/>
              <w:rPr>
                <w:sz w:val="20"/>
                <w:szCs w:val="20"/>
                <w:color w:val="auto"/>
              </w:rPr>
            </w:pPr>
            <w:r>
              <w:rPr>
                <w:rFonts w:ascii="Arial" w:cs="Arial" w:eastAsia="Arial" w:hAnsi="Arial"/>
                <w:sz w:val="18"/>
                <w:szCs w:val="18"/>
                <w:color w:val="auto"/>
                <w:w w:val="99"/>
              </w:rPr>
              <w:t>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tcBorders>
              <w:bottom w:val="single" w:sz="8" w:color="0000FF"/>
            </w:tcBorders>
            <w:gridSpan w:val="14"/>
          </w:tcPr>
          <w:p>
            <w:pPr>
              <w:spacing w:after="0"/>
              <w:rPr>
                <w:rFonts w:ascii="Arial" w:cs="Arial" w:eastAsia="Arial" w:hAnsi="Arial"/>
                <w:sz w:val="18"/>
                <w:szCs w:val="18"/>
                <w:color w:val="0000FF"/>
              </w:rPr>
            </w:pPr>
            <w:hyperlink r:id="rId276">
              <w:r>
                <w:rPr>
                  <w:rFonts w:ascii="Arial" w:cs="Arial" w:eastAsia="Arial" w:hAnsi="Arial"/>
                  <w:sz w:val="18"/>
                  <w:szCs w:val="18"/>
                  <w:color w:val="0000FF"/>
                </w:rPr>
                <w:t>Amendment  to  Agreement  and  Plan  of  Merger  and</w:t>
              </w:r>
            </w:hyperlink>
          </w:p>
        </w:tc>
        <w:tc>
          <w:tcPr>
            <w:tcW w:w="120" w:type="dxa"/>
            <w:vAlign w:val="bottom"/>
            <w:gridSpan w:val="2"/>
          </w:tcPr>
          <w:p>
            <w:pPr>
              <w:spacing w:after="0"/>
              <w:rPr>
                <w:sz w:val="24"/>
                <w:szCs w:val="24"/>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05/02/2022</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16"/>
          </w:tcPr>
          <w:p>
            <w:pPr>
              <w:spacing w:after="0" w:line="196" w:lineRule="exact"/>
              <w:rPr>
                <w:rFonts w:ascii="Arial" w:cs="Arial" w:eastAsia="Arial" w:hAnsi="Arial"/>
                <w:sz w:val="18"/>
                <w:szCs w:val="18"/>
                <w:color w:val="0000FF"/>
                <w:w w:val="99"/>
              </w:rPr>
            </w:pPr>
            <w:hyperlink r:id="rId276">
              <w:r>
                <w:rPr>
                  <w:rFonts w:ascii="Arial" w:cs="Arial" w:eastAsia="Arial" w:hAnsi="Arial"/>
                  <w:sz w:val="18"/>
                  <w:szCs w:val="18"/>
                  <w:color w:val="0000FF"/>
                  <w:w w:val="99"/>
                </w:rPr>
                <w:t>Reorganization, dated as of April 29, 2022, by and among,</w:t>
              </w:r>
            </w:hyperlink>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r:id="rId276">
              <w:r>
                <w:rPr>
                  <w:rFonts w:ascii="Arial" w:cs="Arial" w:eastAsia="Arial" w:hAnsi="Arial"/>
                  <w:sz w:val="18"/>
                  <w:szCs w:val="18"/>
                  <w:color w:val="0000FF"/>
                  <w:w w:val="92"/>
                </w:rPr>
                <w:t>Orion Merger Sub I, Inc., Orion Merger Sub II, LLC, GeneDx,</w:t>
              </w:r>
            </w:hyperlink>
          </w:p>
        </w:tc>
        <w:tc>
          <w:tcPr>
            <w:tcW w:w="12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276">
              <w:r>
                <w:rPr>
                  <w:rFonts w:ascii="Arial" w:cs="Arial" w:eastAsia="Arial" w:hAnsi="Arial"/>
                  <w:sz w:val="18"/>
                  <w:szCs w:val="18"/>
                  <w:color w:val="0000FF"/>
                  <w:w w:val="91"/>
                </w:rPr>
                <w:t>Inc., GeneDx Holding 2, Inc. and OPKO Health, Inc.</w:t>
              </w:r>
            </w:hyperlink>
          </w:p>
        </w:tc>
        <w:tc>
          <w:tcPr>
            <w:tcW w:w="820" w:type="dxa"/>
            <w:vAlign w:val="bottom"/>
            <w:gridSpan w:val="10"/>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tcPr>
          <w:p>
            <w:pPr>
              <w:jc w:val="center"/>
              <w:spacing w:after="0"/>
              <w:rPr>
                <w:sz w:val="20"/>
                <w:szCs w:val="20"/>
                <w:color w:val="auto"/>
              </w:rPr>
            </w:pPr>
            <w:r>
              <w:rPr>
                <w:rFonts w:ascii="Arial" w:cs="Arial" w:eastAsia="Arial" w:hAnsi="Arial"/>
                <w:sz w:val="18"/>
                <w:szCs w:val="18"/>
                <w:color w:val="auto"/>
                <w:w w:val="99"/>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16"/>
          </w:tcPr>
          <w:p>
            <w:pPr>
              <w:spacing w:after="0"/>
              <w:rPr>
                <w:rFonts w:ascii="Arial" w:cs="Arial" w:eastAsia="Arial" w:hAnsi="Arial"/>
                <w:sz w:val="18"/>
                <w:szCs w:val="18"/>
                <w:color w:val="0000FF"/>
                <w:w w:val="98"/>
              </w:rPr>
            </w:pPr>
            <w:hyperlink r:id="rId277">
              <w:r>
                <w:rPr>
                  <w:rFonts w:ascii="Arial" w:cs="Arial" w:eastAsia="Arial" w:hAnsi="Arial"/>
                  <w:sz w:val="18"/>
                  <w:szCs w:val="18"/>
                  <w:color w:val="0000FF"/>
                  <w:w w:val="98"/>
                </w:rPr>
                <w:t>Third Amended and Restated Certificate of Incorporation of</w:t>
              </w:r>
            </w:hyperlink>
          </w:p>
        </w:tc>
        <w:tc>
          <w:tcPr>
            <w:tcW w:w="14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07/28/2021</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277">
              <w:r>
                <w:rPr>
                  <w:rFonts w:ascii="Arial" w:cs="Arial" w:eastAsia="Arial" w:hAnsi="Arial"/>
                  <w:sz w:val="18"/>
                  <w:szCs w:val="18"/>
                  <w:color w:val="0000FF"/>
                  <w:w w:val="89"/>
                </w:rPr>
                <w:t>Sema4 Holdings Corp.</w:t>
              </w:r>
            </w:hyperlink>
          </w:p>
        </w:tc>
        <w:tc>
          <w:tcPr>
            <w:tcW w:w="2700" w:type="dxa"/>
            <w:vAlign w:val="bottom"/>
            <w:tcBorders>
              <w:top w:val="single" w:sz="8" w:color="0000FF"/>
            </w:tcBorders>
            <w:gridSpan w:val="9"/>
          </w:tcPr>
          <w:p>
            <w:pPr>
              <w:spacing w:after="0"/>
              <w:rPr>
                <w:sz w:val="17"/>
                <w:szCs w:val="17"/>
                <w:color w:val="auto"/>
              </w:rPr>
            </w:pPr>
          </w:p>
        </w:tc>
        <w:tc>
          <w:tcPr>
            <w:tcW w:w="300" w:type="dxa"/>
            <w:vAlign w:val="bottom"/>
            <w:gridSpan w:val="5"/>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tcPr>
          <w:p>
            <w:pPr>
              <w:jc w:val="center"/>
              <w:spacing w:after="0"/>
              <w:rPr>
                <w:sz w:val="20"/>
                <w:szCs w:val="20"/>
                <w:color w:val="auto"/>
              </w:rPr>
            </w:pPr>
            <w:r>
              <w:rPr>
                <w:rFonts w:ascii="Arial" w:cs="Arial" w:eastAsia="Arial" w:hAnsi="Arial"/>
                <w:sz w:val="18"/>
                <w:szCs w:val="18"/>
                <w:color w:val="auto"/>
                <w:w w:val="99"/>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tcBorders>
              <w:bottom w:val="single" w:sz="8" w:color="0000FF"/>
            </w:tcBorders>
            <w:gridSpan w:val="14"/>
          </w:tcPr>
          <w:p>
            <w:pPr>
              <w:spacing w:after="0"/>
              <w:rPr>
                <w:rFonts w:ascii="Arial" w:cs="Arial" w:eastAsia="Arial" w:hAnsi="Arial"/>
                <w:sz w:val="18"/>
                <w:szCs w:val="18"/>
                <w:color w:val="0000FF"/>
                <w:w w:val="91"/>
              </w:rPr>
            </w:pPr>
            <w:hyperlink r:id="rId278">
              <w:r>
                <w:rPr>
                  <w:rFonts w:ascii="Arial" w:cs="Arial" w:eastAsia="Arial" w:hAnsi="Arial"/>
                  <w:sz w:val="18"/>
                  <w:szCs w:val="18"/>
                  <w:color w:val="0000FF"/>
                  <w:w w:val="91"/>
                </w:rPr>
                <w:t>Certificate of Amendment to the Third Amended and Restated</w:t>
              </w:r>
            </w:hyperlink>
          </w:p>
        </w:tc>
        <w:tc>
          <w:tcPr>
            <w:tcW w:w="120" w:type="dxa"/>
            <w:vAlign w:val="bottom"/>
            <w:gridSpan w:val="2"/>
          </w:tcPr>
          <w:p>
            <w:pPr>
              <w:spacing w:after="0"/>
              <w:rPr>
                <w:sz w:val="24"/>
                <w:szCs w:val="24"/>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05/02/2022</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6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278">
              <w:r>
                <w:rPr>
                  <w:rFonts w:ascii="Arial" w:cs="Arial" w:eastAsia="Arial" w:hAnsi="Arial"/>
                  <w:sz w:val="18"/>
                  <w:szCs w:val="18"/>
                  <w:color w:val="0000FF"/>
                  <w:w w:val="92"/>
                </w:rPr>
                <w:t>Certificate of Incorporation of Sema4 Holdings Corp.</w:t>
              </w:r>
            </w:hyperlink>
          </w:p>
        </w:tc>
        <w:tc>
          <w:tcPr>
            <w:tcW w:w="780" w:type="dxa"/>
            <w:vAlign w:val="bottom"/>
            <w:gridSpan w:val="9"/>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tcPr>
          <w:p>
            <w:pPr>
              <w:jc w:val="center"/>
              <w:spacing w:after="0"/>
              <w:rPr>
                <w:sz w:val="20"/>
                <w:szCs w:val="20"/>
                <w:color w:val="auto"/>
              </w:rPr>
            </w:pPr>
            <w:r>
              <w:rPr>
                <w:rFonts w:ascii="Arial" w:cs="Arial" w:eastAsia="Arial" w:hAnsi="Arial"/>
                <w:sz w:val="18"/>
                <w:szCs w:val="18"/>
                <w:color w:val="auto"/>
                <w:w w:val="99"/>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16"/>
          </w:tcPr>
          <w:p>
            <w:pPr>
              <w:spacing w:after="0"/>
              <w:rPr>
                <w:rFonts w:ascii="Arial" w:cs="Arial" w:eastAsia="Arial" w:hAnsi="Arial"/>
                <w:sz w:val="18"/>
                <w:szCs w:val="18"/>
                <w:color w:val="0000FF"/>
              </w:rPr>
            </w:pPr>
            <w:hyperlink r:id="rId279">
              <w:r>
                <w:rPr>
                  <w:rFonts w:ascii="Arial" w:cs="Arial" w:eastAsia="Arial" w:hAnsi="Arial"/>
                  <w:sz w:val="18"/>
                  <w:szCs w:val="18"/>
                  <w:color w:val="0000FF"/>
                </w:rPr>
                <w:t>Restated Bylaws of Sema4 Holdings Corp.</w:t>
              </w:r>
            </w:hyperlink>
          </w:p>
        </w:tc>
        <w:tc>
          <w:tcPr>
            <w:tcW w:w="14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07/28/2021</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40" w:type="dxa"/>
            <w:vAlign w:val="bottom"/>
          </w:tcPr>
          <w:p>
            <w:pPr>
              <w:jc w:val="center"/>
              <w:spacing w:after="0"/>
              <w:rPr>
                <w:sz w:val="20"/>
                <w:szCs w:val="20"/>
                <w:color w:val="auto"/>
              </w:rPr>
            </w:pPr>
            <w:r>
              <w:rPr>
                <w:rFonts w:ascii="Arial" w:cs="Arial" w:eastAsia="Arial" w:hAnsi="Arial"/>
                <w:sz w:val="18"/>
                <w:szCs w:val="18"/>
                <w:color w:val="auto"/>
                <w:w w:val="99"/>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80" w:type="dxa"/>
            <w:vAlign w:val="bottom"/>
            <w:tcBorders>
              <w:top w:val="single" w:sz="8" w:color="0000FF"/>
            </w:tcBorders>
            <w:gridSpan w:val="5"/>
          </w:tcPr>
          <w:p>
            <w:pPr>
              <w:spacing w:after="0"/>
              <w:rPr>
                <w:rFonts w:ascii="Arial" w:cs="Arial" w:eastAsia="Arial" w:hAnsi="Arial"/>
                <w:sz w:val="18"/>
                <w:szCs w:val="18"/>
                <w:color w:val="0000FF"/>
              </w:rPr>
            </w:pPr>
            <w:hyperlink r:id="rId280">
              <w:r>
                <w:rPr>
                  <w:rFonts w:ascii="Arial" w:cs="Arial" w:eastAsia="Arial" w:hAnsi="Arial"/>
                  <w:sz w:val="18"/>
                  <w:szCs w:val="18"/>
                  <w:color w:val="0000FF"/>
                </w:rPr>
                <w:t>Specimen Warrant Certificate</w:t>
              </w:r>
            </w:hyperlink>
          </w:p>
        </w:tc>
        <w:tc>
          <w:tcPr>
            <w:tcW w:w="1560" w:type="dxa"/>
            <w:vAlign w:val="bottom"/>
            <w:gridSpan w:val="11"/>
          </w:tcPr>
          <w:p>
            <w:pPr>
              <w:spacing w:after="0"/>
              <w:rPr>
                <w:sz w:val="24"/>
                <w:szCs w:val="2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08/24/2020</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5"/>
        </w:trPr>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4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9"/>
              </w:rPr>
              <w:t>4.2*</w:t>
            </w:r>
          </w:p>
        </w:tc>
        <w:tc>
          <w:tcPr>
            <w:tcW w:w="4480" w:type="dxa"/>
            <w:vAlign w:val="bottom"/>
            <w:gridSpan w:val="35"/>
          </w:tcPr>
          <w:p>
            <w:pPr>
              <w:spacing w:after="0"/>
              <w:rPr>
                <w:rFonts w:ascii="Arial" w:cs="Arial" w:eastAsia="Arial" w:hAnsi="Arial"/>
                <w:sz w:val="18"/>
                <w:szCs w:val="18"/>
                <w:color w:val="0000FF"/>
                <w:w w:val="93"/>
              </w:rPr>
            </w:pPr>
            <w:hyperlink r:id="rId283">
              <w:r>
                <w:rPr>
                  <w:rFonts w:ascii="Arial" w:cs="Arial" w:eastAsia="Arial" w:hAnsi="Arial"/>
                  <w:sz w:val="18"/>
                  <w:szCs w:val="18"/>
                  <w:color w:val="0000FF"/>
                  <w:w w:val="93"/>
                </w:rPr>
                <w:t>Warrant Agreement, dated as of September 1, 2020, by and</w:t>
              </w:r>
            </w:hyperlink>
          </w:p>
        </w:tc>
      </w:tr>
      <w:tr>
        <w:trPr>
          <w:trHeight w:val="196"/>
        </w:trPr>
        <w:tc>
          <w:tcPr>
            <w:tcW w:w="880" w:type="dxa"/>
            <w:vAlign w:val="bottom"/>
          </w:tcPr>
          <w:p>
            <w:pPr>
              <w:spacing w:after="0"/>
              <w:rPr>
                <w:sz w:val="17"/>
                <w:szCs w:val="17"/>
                <w:color w:val="auto"/>
              </w:rPr>
            </w:pPr>
          </w:p>
        </w:tc>
        <w:tc>
          <w:tcPr>
            <w:tcW w:w="398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1"/>
              </w:rPr>
            </w:pPr>
            <w:hyperlink r:id="rId283">
              <w:r>
                <w:rPr>
                  <w:rFonts w:ascii="Arial" w:cs="Arial" w:eastAsia="Arial" w:hAnsi="Arial"/>
                  <w:sz w:val="18"/>
                  <w:szCs w:val="18"/>
                  <w:color w:val="0000FF"/>
                  <w:w w:val="91"/>
                </w:rPr>
                <w:t>between CM Life Sciences, Inc. and Continental Stock</w:t>
              </w:r>
            </w:hyperlink>
          </w:p>
        </w:tc>
        <w:tc>
          <w:tcPr>
            <w:tcW w:w="280" w:type="dxa"/>
            <w:vAlign w:val="bottom"/>
            <w:tcBorders>
              <w:top w:val="single" w:sz="8" w:color="0000FF"/>
            </w:tcBorders>
            <w:gridSpan w:val="10"/>
          </w:tcPr>
          <w:p>
            <w:pPr>
              <w:spacing w:after="0"/>
              <w:rPr>
                <w:sz w:val="17"/>
                <w:szCs w:val="17"/>
                <w:color w:val="auto"/>
              </w:rPr>
            </w:pPr>
          </w:p>
        </w:tc>
        <w:tc>
          <w:tcPr>
            <w:tcW w:w="220" w:type="dxa"/>
            <w:vAlign w:val="bottom"/>
            <w:gridSpan w:val="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220" w:type="dxa"/>
            <w:vAlign w:val="bottom"/>
            <w:tcBorders>
              <w:bottom w:val="single" w:sz="8" w:color="0000FF"/>
            </w:tcBorders>
            <w:gridSpan w:val="16"/>
          </w:tcPr>
          <w:p>
            <w:pPr>
              <w:spacing w:after="0" w:line="196" w:lineRule="exact"/>
              <w:rPr>
                <w:rFonts w:ascii="Arial" w:cs="Arial" w:eastAsia="Arial" w:hAnsi="Arial"/>
                <w:sz w:val="18"/>
                <w:szCs w:val="18"/>
                <w:color w:val="0000FF"/>
                <w:w w:val="89"/>
              </w:rPr>
            </w:pPr>
            <w:hyperlink r:id="rId283">
              <w:r>
                <w:rPr>
                  <w:rFonts w:ascii="Arial" w:cs="Arial" w:eastAsia="Arial" w:hAnsi="Arial"/>
                  <w:sz w:val="18"/>
                  <w:szCs w:val="18"/>
                  <w:color w:val="0000FF"/>
                  <w:w w:val="89"/>
                </w:rPr>
                <w:t>Transfer &amp; Trust Company, as warrant agent</w:t>
              </w:r>
            </w:hyperlink>
          </w:p>
        </w:tc>
        <w:tc>
          <w:tcPr>
            <w:tcW w:w="1260" w:type="dxa"/>
            <w:vAlign w:val="bottom"/>
            <w:gridSpan w:val="19"/>
          </w:tcPr>
          <w:p>
            <w:pPr>
              <w:spacing w:after="0"/>
              <w:rPr>
                <w:sz w:val="17"/>
                <w:szCs w:val="17"/>
                <w:color w:val="auto"/>
              </w:rPr>
            </w:pPr>
          </w:p>
        </w:tc>
      </w:tr>
      <w:tr>
        <w:trPr>
          <w:trHeight w:val="412"/>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5"/>
              </w:rPr>
              <w:t>5.1</w:t>
            </w:r>
          </w:p>
        </w:tc>
        <w:tc>
          <w:tcPr>
            <w:tcW w:w="2860" w:type="dxa"/>
            <w:vAlign w:val="bottom"/>
            <w:tcBorders>
              <w:bottom w:val="single" w:sz="8" w:color="0000FF"/>
            </w:tcBorders>
            <w:gridSpan w:val="13"/>
          </w:tcPr>
          <w:p>
            <w:pPr>
              <w:spacing w:after="0"/>
              <w:rPr>
                <w:rFonts w:ascii="Arial" w:cs="Arial" w:eastAsia="Arial" w:hAnsi="Arial"/>
                <w:sz w:val="18"/>
                <w:szCs w:val="18"/>
                <w:color w:val="0000FF"/>
                <w:w w:val="93"/>
              </w:rPr>
            </w:pPr>
            <w:hyperlink w:anchor="page248">
              <w:r>
                <w:rPr>
                  <w:rFonts w:ascii="Arial" w:cs="Arial" w:eastAsia="Arial" w:hAnsi="Arial"/>
                  <w:sz w:val="18"/>
                  <w:szCs w:val="18"/>
                  <w:color w:val="0000FF"/>
                  <w:w w:val="93"/>
                </w:rPr>
                <w:t>Legal Opinion of Fenwick &amp; West LLP</w:t>
              </w:r>
            </w:hyperlink>
          </w:p>
        </w:tc>
        <w:tc>
          <w:tcPr>
            <w:tcW w:w="1620" w:type="dxa"/>
            <w:vAlign w:val="bottom"/>
            <w:gridSpan w:val="22"/>
          </w:tcPr>
          <w:p>
            <w:pPr>
              <w:spacing w:after="0"/>
              <w:rPr>
                <w:sz w:val="24"/>
                <w:szCs w:val="24"/>
                <w:color w:val="auto"/>
              </w:rPr>
            </w:pPr>
          </w:p>
        </w:tc>
      </w:tr>
      <w:tr>
        <w:trPr>
          <w:trHeight w:val="412"/>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2"/>
              </w:rPr>
              <w:t>10.1*#</w:t>
            </w:r>
          </w:p>
        </w:tc>
        <w:tc>
          <w:tcPr>
            <w:tcW w:w="4480" w:type="dxa"/>
            <w:vAlign w:val="bottom"/>
            <w:gridSpan w:val="35"/>
          </w:tcPr>
          <w:p>
            <w:pPr>
              <w:spacing w:after="0"/>
              <w:rPr>
                <w:rFonts w:ascii="Arial" w:cs="Arial" w:eastAsia="Arial" w:hAnsi="Arial"/>
                <w:sz w:val="18"/>
                <w:szCs w:val="18"/>
                <w:color w:val="0000FF"/>
                <w:w w:val="99"/>
              </w:rPr>
            </w:pPr>
            <w:hyperlink r:id="rId284">
              <w:r>
                <w:rPr>
                  <w:rFonts w:ascii="Arial" w:cs="Arial" w:eastAsia="Arial" w:hAnsi="Arial"/>
                  <w:sz w:val="18"/>
                  <w:szCs w:val="18"/>
                  <w:color w:val="0000FF"/>
                  <w:w w:val="99"/>
                </w:rPr>
                <w:t>Form of Director and Officer Indemnification Agreement.</w:t>
              </w:r>
            </w:hyperlink>
          </w:p>
        </w:tc>
      </w:tr>
      <w:tr>
        <w:trPr>
          <w:trHeight w:val="20"/>
        </w:trPr>
        <w:tc>
          <w:tcPr>
            <w:tcW w:w="8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5"/>
              </w:rPr>
              <w:t>10.2*</w:t>
            </w:r>
          </w:p>
        </w:tc>
        <w:tc>
          <w:tcPr>
            <w:tcW w:w="4480" w:type="dxa"/>
            <w:vAlign w:val="bottom"/>
            <w:tcBorders>
              <w:bottom w:val="single" w:sz="8" w:color="0000FF"/>
            </w:tcBorders>
            <w:gridSpan w:val="35"/>
          </w:tcPr>
          <w:p>
            <w:pPr>
              <w:spacing w:after="0"/>
              <w:rPr>
                <w:rFonts w:ascii="Arial" w:cs="Arial" w:eastAsia="Arial" w:hAnsi="Arial"/>
                <w:sz w:val="18"/>
                <w:szCs w:val="18"/>
                <w:color w:val="0000FF"/>
                <w:w w:val="89"/>
              </w:rPr>
            </w:pPr>
            <w:hyperlink r:id="rId285">
              <w:r>
                <w:rPr>
                  <w:rFonts w:ascii="Arial" w:cs="Arial" w:eastAsia="Arial" w:hAnsi="Arial"/>
                  <w:sz w:val="18"/>
                  <w:szCs w:val="18"/>
                  <w:color w:val="0000FF"/>
                  <w:w w:val="89"/>
                </w:rPr>
                <w:t>Subscription Agreement, dated as of February 9, 2021, by and</w:t>
              </w:r>
            </w:hyperlink>
          </w:p>
        </w:tc>
      </w:tr>
      <w:tr>
        <w:trPr>
          <w:trHeight w:val="196"/>
        </w:trPr>
        <w:tc>
          <w:tcPr>
            <w:tcW w:w="880" w:type="dxa"/>
            <w:vAlign w:val="bottom"/>
          </w:tcPr>
          <w:p>
            <w:pPr>
              <w:spacing w:after="0"/>
              <w:rPr>
                <w:sz w:val="17"/>
                <w:szCs w:val="17"/>
                <w:color w:val="auto"/>
              </w:rPr>
            </w:pPr>
          </w:p>
        </w:tc>
        <w:tc>
          <w:tcPr>
            <w:tcW w:w="3940" w:type="dxa"/>
            <w:vAlign w:val="bottom"/>
            <w:tcBorders>
              <w:bottom w:val="single" w:sz="8" w:color="0000FF"/>
            </w:tcBorders>
            <w:gridSpan w:val="19"/>
          </w:tcPr>
          <w:p>
            <w:pPr>
              <w:spacing w:after="0" w:line="196" w:lineRule="exact"/>
              <w:rPr>
                <w:rFonts w:ascii="Arial" w:cs="Arial" w:eastAsia="Arial" w:hAnsi="Arial"/>
                <w:sz w:val="18"/>
                <w:szCs w:val="18"/>
                <w:color w:val="0000FF"/>
                <w:w w:val="89"/>
              </w:rPr>
            </w:pPr>
            <w:hyperlink r:id="rId285">
              <w:r>
                <w:rPr>
                  <w:rFonts w:ascii="Arial" w:cs="Arial" w:eastAsia="Arial" w:hAnsi="Arial"/>
                  <w:sz w:val="18"/>
                  <w:szCs w:val="18"/>
                  <w:color w:val="0000FF"/>
                  <w:w w:val="89"/>
                </w:rPr>
                <w:t>among the Company and the subscriber parties thereto</w:t>
              </w:r>
            </w:hyperlink>
          </w:p>
        </w:tc>
        <w:tc>
          <w:tcPr>
            <w:tcW w:w="540" w:type="dxa"/>
            <w:vAlign w:val="bottom"/>
            <w:gridSpan w:val="16"/>
          </w:tcPr>
          <w:p>
            <w:pPr>
              <w:spacing w:after="0"/>
              <w:rPr>
                <w:sz w:val="17"/>
                <w:szCs w:val="17"/>
                <w:color w:val="auto"/>
              </w:rPr>
            </w:pPr>
          </w:p>
        </w:tc>
      </w:tr>
      <w:tr>
        <w:trPr>
          <w:trHeight w:val="412"/>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5"/>
              </w:rPr>
              <w:t>10.3*</w:t>
            </w:r>
          </w:p>
        </w:tc>
        <w:tc>
          <w:tcPr>
            <w:tcW w:w="4440" w:type="dxa"/>
            <w:vAlign w:val="bottom"/>
            <w:tcBorders>
              <w:bottom w:val="single" w:sz="8" w:color="0000FF"/>
            </w:tcBorders>
            <w:gridSpan w:val="34"/>
          </w:tcPr>
          <w:p>
            <w:pPr>
              <w:spacing w:after="0"/>
              <w:rPr>
                <w:rFonts w:ascii="Arial" w:cs="Arial" w:eastAsia="Arial" w:hAnsi="Arial"/>
                <w:sz w:val="18"/>
                <w:szCs w:val="18"/>
                <w:color w:val="0000FF"/>
                <w:w w:val="89"/>
              </w:rPr>
            </w:pPr>
            <w:hyperlink r:id="rId286">
              <w:r>
                <w:rPr>
                  <w:rFonts w:ascii="Arial" w:cs="Arial" w:eastAsia="Arial" w:hAnsi="Arial"/>
                  <w:sz w:val="18"/>
                  <w:szCs w:val="18"/>
                  <w:color w:val="0000FF"/>
                  <w:w w:val="89"/>
                </w:rPr>
                <w:t>Amended and Restated Registration Rights Agreement, dated</w:t>
              </w:r>
            </w:hyperlink>
          </w:p>
        </w:tc>
        <w:tc>
          <w:tcPr>
            <w:tcW w:w="4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060" w:type="dxa"/>
            <w:vAlign w:val="bottom"/>
            <w:tcBorders>
              <w:bottom w:val="single" w:sz="8" w:color="0000FF"/>
            </w:tcBorders>
            <w:gridSpan w:val="24"/>
          </w:tcPr>
          <w:p>
            <w:pPr>
              <w:spacing w:after="0" w:line="196" w:lineRule="exact"/>
              <w:rPr>
                <w:rFonts w:ascii="Arial" w:cs="Arial" w:eastAsia="Arial" w:hAnsi="Arial"/>
                <w:sz w:val="18"/>
                <w:szCs w:val="18"/>
                <w:color w:val="0000FF"/>
                <w:w w:val="89"/>
              </w:rPr>
            </w:pPr>
            <w:hyperlink r:id="rId286">
              <w:r>
                <w:rPr>
                  <w:rFonts w:ascii="Arial" w:cs="Arial" w:eastAsia="Arial" w:hAnsi="Arial"/>
                  <w:sz w:val="18"/>
                  <w:szCs w:val="18"/>
                  <w:color w:val="0000FF"/>
                  <w:w w:val="89"/>
                </w:rPr>
                <w:t>as of July 22, 2021, by and among the Company, certain</w:t>
              </w:r>
            </w:hyperlink>
          </w:p>
        </w:tc>
        <w:tc>
          <w:tcPr>
            <w:tcW w:w="420" w:type="dxa"/>
            <w:vAlign w:val="bottom"/>
            <w:gridSpan w:val="11"/>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418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286">
              <w:r>
                <w:rPr>
                  <w:rFonts w:ascii="Arial" w:cs="Arial" w:eastAsia="Arial" w:hAnsi="Arial"/>
                  <w:sz w:val="18"/>
                  <w:szCs w:val="18"/>
                  <w:color w:val="0000FF"/>
                  <w:w w:val="90"/>
                </w:rPr>
                <w:t>equity holders of the Company named therein and certain</w:t>
              </w:r>
            </w:hyperlink>
          </w:p>
        </w:tc>
        <w:tc>
          <w:tcPr>
            <w:tcW w:w="300" w:type="dxa"/>
            <w:vAlign w:val="bottom"/>
            <w:gridSpan w:val="7"/>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4480" w:type="dxa"/>
            <w:vAlign w:val="bottom"/>
            <w:gridSpan w:val="35"/>
          </w:tcPr>
          <w:p>
            <w:pPr>
              <w:spacing w:after="0" w:line="196" w:lineRule="exact"/>
              <w:rPr>
                <w:rFonts w:ascii="Arial" w:cs="Arial" w:eastAsia="Arial" w:hAnsi="Arial"/>
                <w:sz w:val="18"/>
                <w:szCs w:val="18"/>
                <w:color w:val="0000FF"/>
              </w:rPr>
            </w:pPr>
            <w:hyperlink r:id="rId286">
              <w:r>
                <w:rPr>
                  <w:rFonts w:ascii="Arial" w:cs="Arial" w:eastAsia="Arial" w:hAnsi="Arial"/>
                  <w:sz w:val="18"/>
                  <w:szCs w:val="18"/>
                  <w:color w:val="0000FF"/>
                </w:rPr>
                <w:t>equity holders of Sema4 named therein</w:t>
              </w:r>
            </w:hyperlink>
          </w:p>
        </w:tc>
      </w:tr>
      <w:tr>
        <w:trPr>
          <w:trHeight w:val="20"/>
        </w:trPr>
        <w:tc>
          <w:tcPr>
            <w:tcW w:w="8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5"/>
              </w:rPr>
              <w:t>10.4*</w:t>
            </w:r>
          </w:p>
        </w:tc>
        <w:tc>
          <w:tcPr>
            <w:tcW w:w="4480" w:type="dxa"/>
            <w:vAlign w:val="bottom"/>
            <w:gridSpan w:val="35"/>
          </w:tcPr>
          <w:p>
            <w:pPr>
              <w:spacing w:after="0"/>
              <w:rPr>
                <w:rFonts w:ascii="Arial" w:cs="Arial" w:eastAsia="Arial" w:hAnsi="Arial"/>
                <w:sz w:val="18"/>
                <w:szCs w:val="18"/>
                <w:color w:val="0000FF"/>
                <w:w w:val="97"/>
              </w:rPr>
            </w:pPr>
            <w:hyperlink r:id="rId287">
              <w:r>
                <w:rPr>
                  <w:rFonts w:ascii="Arial" w:cs="Arial" w:eastAsia="Arial" w:hAnsi="Arial"/>
                  <w:sz w:val="18"/>
                  <w:szCs w:val="18"/>
                  <w:color w:val="0000FF"/>
                  <w:w w:val="97"/>
                </w:rPr>
                <w:t>Lockup Agreement, dated as of February 9, 2021, by and</w:t>
              </w:r>
            </w:hyperlink>
          </w:p>
        </w:tc>
      </w:tr>
      <w:tr>
        <w:trPr>
          <w:trHeight w:val="20"/>
        </w:trPr>
        <w:tc>
          <w:tcPr>
            <w:tcW w:w="8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220" w:type="dxa"/>
            <w:vAlign w:val="bottom"/>
            <w:tcBorders>
              <w:bottom w:val="single" w:sz="8" w:color="0000FF"/>
            </w:tcBorders>
            <w:gridSpan w:val="30"/>
          </w:tcPr>
          <w:p>
            <w:pPr>
              <w:spacing w:after="0" w:line="196" w:lineRule="exact"/>
              <w:rPr>
                <w:rFonts w:ascii="Arial" w:cs="Arial" w:eastAsia="Arial" w:hAnsi="Arial"/>
                <w:sz w:val="18"/>
                <w:szCs w:val="18"/>
                <w:color w:val="0000FF"/>
                <w:w w:val="90"/>
              </w:rPr>
            </w:pPr>
            <w:hyperlink r:id="rId287">
              <w:r>
                <w:rPr>
                  <w:rFonts w:ascii="Arial" w:cs="Arial" w:eastAsia="Arial" w:hAnsi="Arial"/>
                  <w:sz w:val="18"/>
                  <w:szCs w:val="18"/>
                  <w:color w:val="0000FF"/>
                  <w:w w:val="90"/>
                </w:rPr>
                <w:t>among the Company and the stockholder parties identified</w:t>
              </w:r>
            </w:hyperlink>
          </w:p>
        </w:tc>
        <w:tc>
          <w:tcPr>
            <w:tcW w:w="260" w:type="dxa"/>
            <w:vAlign w:val="bottom"/>
            <w:gridSpan w:val="5"/>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4480" w:type="dxa"/>
            <w:vAlign w:val="bottom"/>
            <w:gridSpan w:val="35"/>
          </w:tcPr>
          <w:p>
            <w:pPr>
              <w:spacing w:after="0" w:line="196" w:lineRule="exact"/>
              <w:rPr>
                <w:rFonts w:ascii="Arial" w:cs="Arial" w:eastAsia="Arial" w:hAnsi="Arial"/>
                <w:sz w:val="18"/>
                <w:szCs w:val="18"/>
                <w:color w:val="0000FF"/>
              </w:rPr>
            </w:pPr>
            <w:hyperlink r:id="rId287">
              <w:r>
                <w:rPr>
                  <w:rFonts w:ascii="Arial" w:cs="Arial" w:eastAsia="Arial" w:hAnsi="Arial"/>
                  <w:sz w:val="18"/>
                  <w:szCs w:val="18"/>
                  <w:color w:val="0000FF"/>
                </w:rPr>
                <w:t>therein</w:t>
              </w:r>
            </w:hyperlink>
          </w:p>
        </w:tc>
      </w:tr>
      <w:tr>
        <w:trPr>
          <w:trHeight w:val="20"/>
        </w:trPr>
        <w:tc>
          <w:tcPr>
            <w:tcW w:w="8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2"/>
              </w:rPr>
              <w:t>10.5*#</w:t>
            </w:r>
          </w:p>
        </w:tc>
        <w:tc>
          <w:tcPr>
            <w:tcW w:w="4120" w:type="dxa"/>
            <w:vAlign w:val="bottom"/>
            <w:tcBorders>
              <w:bottom w:val="single" w:sz="8" w:color="0000FF"/>
            </w:tcBorders>
            <w:gridSpan w:val="26"/>
          </w:tcPr>
          <w:p>
            <w:pPr>
              <w:spacing w:after="0"/>
              <w:rPr>
                <w:rFonts w:ascii="Arial" w:cs="Arial" w:eastAsia="Arial" w:hAnsi="Arial"/>
                <w:sz w:val="18"/>
                <w:szCs w:val="18"/>
                <w:color w:val="0000FF"/>
                <w:w w:val="91"/>
              </w:rPr>
            </w:pPr>
            <w:hyperlink r:id="rId288">
              <w:r>
                <w:rPr>
                  <w:rFonts w:ascii="Arial" w:cs="Arial" w:eastAsia="Arial" w:hAnsi="Arial"/>
                  <w:sz w:val="18"/>
                  <w:szCs w:val="18"/>
                  <w:color w:val="0000FF"/>
                  <w:w w:val="91"/>
                </w:rPr>
                <w:t>Form of Stock Option Agreement under the 2021 Equity</w:t>
              </w:r>
            </w:hyperlink>
          </w:p>
        </w:tc>
        <w:tc>
          <w:tcPr>
            <w:tcW w:w="360" w:type="dxa"/>
            <w:vAlign w:val="bottom"/>
            <w:gridSpan w:val="9"/>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4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288">
              <w:r>
                <w:rPr>
                  <w:rFonts w:ascii="Arial" w:cs="Arial" w:eastAsia="Arial" w:hAnsi="Arial"/>
                  <w:sz w:val="18"/>
                  <w:szCs w:val="18"/>
                  <w:color w:val="0000FF"/>
                  <w:w w:val="90"/>
                </w:rPr>
                <w:t>Incentive Plan</w:t>
              </w:r>
            </w:hyperlink>
          </w:p>
        </w:tc>
        <w:tc>
          <w:tcPr>
            <w:tcW w:w="3440" w:type="dxa"/>
            <w:vAlign w:val="bottom"/>
            <w:gridSpan w:val="30"/>
          </w:tcPr>
          <w:p>
            <w:pPr>
              <w:spacing w:after="0"/>
              <w:rPr>
                <w:sz w:val="17"/>
                <w:szCs w:val="17"/>
                <w:color w:val="auto"/>
              </w:rPr>
            </w:pPr>
          </w:p>
        </w:tc>
      </w:tr>
      <w:tr>
        <w:trPr>
          <w:trHeight w:val="412"/>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2"/>
              </w:rPr>
              <w:t>10.6*#</w:t>
            </w:r>
          </w:p>
        </w:tc>
        <w:tc>
          <w:tcPr>
            <w:tcW w:w="4200" w:type="dxa"/>
            <w:vAlign w:val="bottom"/>
            <w:tcBorders>
              <w:bottom w:val="single" w:sz="8" w:color="0000FF"/>
            </w:tcBorders>
            <w:gridSpan w:val="29"/>
          </w:tcPr>
          <w:p>
            <w:pPr>
              <w:spacing w:after="0"/>
              <w:rPr>
                <w:rFonts w:ascii="Arial" w:cs="Arial" w:eastAsia="Arial" w:hAnsi="Arial"/>
                <w:sz w:val="18"/>
                <w:szCs w:val="18"/>
                <w:color w:val="0000FF"/>
                <w:w w:val="91"/>
              </w:rPr>
            </w:pPr>
            <w:hyperlink r:id="rId289">
              <w:r>
                <w:rPr>
                  <w:rFonts w:ascii="Arial" w:cs="Arial" w:eastAsia="Arial" w:hAnsi="Arial"/>
                  <w:sz w:val="18"/>
                  <w:szCs w:val="18"/>
                  <w:color w:val="0000FF"/>
                  <w:w w:val="91"/>
                </w:rPr>
                <w:t>Form of RSU Agreement under the 2021 Equity Incentive</w:t>
              </w:r>
            </w:hyperlink>
          </w:p>
        </w:tc>
        <w:tc>
          <w:tcPr>
            <w:tcW w:w="280" w:type="dxa"/>
            <w:vAlign w:val="bottom"/>
            <w:gridSpan w:val="6"/>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480" w:type="dxa"/>
            <w:vAlign w:val="bottom"/>
            <w:gridSpan w:val="35"/>
          </w:tcPr>
          <w:p>
            <w:pPr>
              <w:spacing w:after="0" w:line="196" w:lineRule="exact"/>
              <w:rPr>
                <w:rFonts w:ascii="Arial" w:cs="Arial" w:eastAsia="Arial" w:hAnsi="Arial"/>
                <w:sz w:val="18"/>
                <w:szCs w:val="18"/>
                <w:color w:val="0000FF"/>
              </w:rPr>
            </w:pPr>
            <w:hyperlink r:id="rId289">
              <w:r>
                <w:rPr>
                  <w:rFonts w:ascii="Arial" w:cs="Arial" w:eastAsia="Arial" w:hAnsi="Arial"/>
                  <w:sz w:val="18"/>
                  <w:szCs w:val="18"/>
                  <w:color w:val="0000FF"/>
                </w:rPr>
                <w:t>Plan</w:t>
              </w:r>
            </w:hyperlink>
          </w:p>
        </w:tc>
      </w:tr>
      <w:tr>
        <w:trPr>
          <w:trHeight w:val="20"/>
        </w:trPr>
        <w:tc>
          <w:tcPr>
            <w:tcW w:w="8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2"/>
              </w:rPr>
              <w:t>10.7*#</w:t>
            </w:r>
          </w:p>
        </w:tc>
        <w:tc>
          <w:tcPr>
            <w:tcW w:w="4480" w:type="dxa"/>
            <w:vAlign w:val="bottom"/>
            <w:gridSpan w:val="35"/>
          </w:tcPr>
          <w:p>
            <w:pPr>
              <w:spacing w:after="0"/>
              <w:rPr>
                <w:rFonts w:ascii="Arial" w:cs="Arial" w:eastAsia="Arial" w:hAnsi="Arial"/>
                <w:sz w:val="18"/>
                <w:szCs w:val="18"/>
                <w:color w:val="0000FF"/>
              </w:rPr>
            </w:pPr>
            <w:hyperlink r:id="rId290">
              <w:r>
                <w:rPr>
                  <w:rFonts w:ascii="Arial" w:cs="Arial" w:eastAsia="Arial" w:hAnsi="Arial"/>
                  <w:sz w:val="18"/>
                  <w:szCs w:val="18"/>
                  <w:color w:val="0000FF"/>
                </w:rPr>
                <w:t>Form of Earn-Out RSU Agreement</w:t>
              </w:r>
            </w:hyperlink>
          </w:p>
        </w:tc>
      </w:tr>
      <w:tr>
        <w:trPr>
          <w:trHeight w:val="412"/>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2"/>
              </w:rPr>
              <w:t>10.8*#</w:t>
            </w:r>
          </w:p>
        </w:tc>
        <w:tc>
          <w:tcPr>
            <w:tcW w:w="2540" w:type="dxa"/>
            <w:vAlign w:val="bottom"/>
            <w:tcBorders>
              <w:top w:val="single" w:sz="8" w:color="0000FF"/>
            </w:tcBorders>
            <w:gridSpan w:val="9"/>
          </w:tcPr>
          <w:p>
            <w:pPr>
              <w:spacing w:after="0"/>
              <w:rPr>
                <w:rFonts w:ascii="Arial" w:cs="Arial" w:eastAsia="Arial" w:hAnsi="Arial"/>
                <w:sz w:val="18"/>
                <w:szCs w:val="18"/>
                <w:color w:val="0000FF"/>
              </w:rPr>
            </w:pPr>
            <w:hyperlink r:id="rId291">
              <w:r>
                <w:rPr>
                  <w:rFonts w:ascii="Arial" w:cs="Arial" w:eastAsia="Arial" w:hAnsi="Arial"/>
                  <w:sz w:val="18"/>
                  <w:szCs w:val="18"/>
                  <w:color w:val="0000FF"/>
                </w:rPr>
                <w:t>2021 Equity Incentive Plan</w:t>
              </w:r>
            </w:hyperlink>
          </w:p>
        </w:tc>
        <w:tc>
          <w:tcPr>
            <w:tcW w:w="1940" w:type="dxa"/>
            <w:vAlign w:val="bottom"/>
            <w:gridSpan w:val="26"/>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2"/>
              </w:rPr>
              <w:t>10.9*#</w:t>
            </w:r>
          </w:p>
        </w:tc>
        <w:tc>
          <w:tcPr>
            <w:tcW w:w="2660" w:type="dxa"/>
            <w:vAlign w:val="bottom"/>
            <w:tcBorders>
              <w:bottom w:val="single" w:sz="8" w:color="0000FF"/>
            </w:tcBorders>
            <w:gridSpan w:val="10"/>
          </w:tcPr>
          <w:p>
            <w:pPr>
              <w:spacing w:after="0"/>
              <w:rPr>
                <w:rFonts w:ascii="Arial" w:cs="Arial" w:eastAsia="Arial" w:hAnsi="Arial"/>
                <w:sz w:val="18"/>
                <w:szCs w:val="18"/>
                <w:color w:val="0000FF"/>
                <w:w w:val="88"/>
              </w:rPr>
            </w:pPr>
            <w:hyperlink r:id="rId292">
              <w:r>
                <w:rPr>
                  <w:rFonts w:ascii="Arial" w:cs="Arial" w:eastAsia="Arial" w:hAnsi="Arial"/>
                  <w:sz w:val="18"/>
                  <w:szCs w:val="18"/>
                  <w:color w:val="0000FF"/>
                  <w:w w:val="88"/>
                </w:rPr>
                <w:t>2021 Employee Stock Purchase Plan</w:t>
              </w:r>
            </w:hyperlink>
          </w:p>
        </w:tc>
        <w:tc>
          <w:tcPr>
            <w:tcW w:w="1820" w:type="dxa"/>
            <w:vAlign w:val="bottom"/>
            <w:gridSpan w:val="25"/>
          </w:tcPr>
          <w:p>
            <w:pPr>
              <w:spacing w:after="0"/>
              <w:rPr>
                <w:sz w:val="24"/>
                <w:szCs w:val="24"/>
                <w:color w:val="auto"/>
              </w:rPr>
            </w:pPr>
          </w:p>
        </w:tc>
      </w:tr>
      <w:tr>
        <w:trPr>
          <w:trHeight w:val="412"/>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6"/>
              </w:rPr>
              <w:t>10.10*#</w:t>
            </w:r>
          </w:p>
        </w:tc>
        <w:tc>
          <w:tcPr>
            <w:tcW w:w="4040" w:type="dxa"/>
            <w:vAlign w:val="bottom"/>
            <w:tcBorders>
              <w:bottom w:val="single" w:sz="8" w:color="0000FF"/>
            </w:tcBorders>
            <w:gridSpan w:val="23"/>
          </w:tcPr>
          <w:p>
            <w:pPr>
              <w:spacing w:after="0"/>
              <w:rPr>
                <w:rFonts w:ascii="Arial" w:cs="Arial" w:eastAsia="Arial" w:hAnsi="Arial"/>
                <w:sz w:val="18"/>
                <w:szCs w:val="18"/>
                <w:color w:val="0000FF"/>
                <w:w w:val="90"/>
              </w:rPr>
            </w:pPr>
            <w:hyperlink r:id="rId293">
              <w:r>
                <w:rPr>
                  <w:rFonts w:ascii="Arial" w:cs="Arial" w:eastAsia="Arial" w:hAnsi="Arial"/>
                  <w:sz w:val="18"/>
                  <w:szCs w:val="18"/>
                  <w:color w:val="0000FF"/>
                  <w:w w:val="90"/>
                </w:rPr>
                <w:t>Amended and Restated Employment Agreement of Eric</w:t>
              </w:r>
            </w:hyperlink>
          </w:p>
        </w:tc>
        <w:tc>
          <w:tcPr>
            <w:tcW w:w="440" w:type="dxa"/>
            <w:vAlign w:val="bottom"/>
            <w:gridSpan w:val="1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480" w:type="dxa"/>
            <w:vAlign w:val="bottom"/>
            <w:gridSpan w:val="35"/>
          </w:tcPr>
          <w:p>
            <w:pPr>
              <w:spacing w:after="0" w:line="196" w:lineRule="exact"/>
              <w:rPr>
                <w:rFonts w:ascii="Arial" w:cs="Arial" w:eastAsia="Arial" w:hAnsi="Arial"/>
                <w:sz w:val="18"/>
                <w:szCs w:val="18"/>
                <w:color w:val="0000FF"/>
              </w:rPr>
            </w:pPr>
            <w:hyperlink r:id="rId293">
              <w:r>
                <w:rPr>
                  <w:rFonts w:ascii="Arial" w:cs="Arial" w:eastAsia="Arial" w:hAnsi="Arial"/>
                  <w:sz w:val="18"/>
                  <w:szCs w:val="18"/>
                  <w:color w:val="0000FF"/>
                </w:rPr>
                <w:t>Schadt.</w:t>
              </w:r>
            </w:hyperlink>
          </w:p>
        </w:tc>
      </w:tr>
      <w:tr>
        <w:trPr>
          <w:trHeight w:val="20"/>
        </w:trPr>
        <w:tc>
          <w:tcPr>
            <w:tcW w:w="88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0"/>
              </w:rPr>
              <w:t>10.11*#</w:t>
            </w:r>
          </w:p>
        </w:tc>
        <w:tc>
          <w:tcPr>
            <w:tcW w:w="4480" w:type="dxa"/>
            <w:vAlign w:val="bottom"/>
            <w:gridSpan w:val="35"/>
          </w:tcPr>
          <w:p>
            <w:pPr>
              <w:spacing w:after="0"/>
              <w:rPr>
                <w:rFonts w:ascii="Arial" w:cs="Arial" w:eastAsia="Arial" w:hAnsi="Arial"/>
                <w:sz w:val="18"/>
                <w:szCs w:val="18"/>
                <w:color w:val="0000FF"/>
              </w:rPr>
            </w:pPr>
            <w:hyperlink r:id="rId294">
              <w:r>
                <w:rPr>
                  <w:rFonts w:ascii="Arial" w:cs="Arial" w:eastAsia="Arial" w:hAnsi="Arial"/>
                  <w:sz w:val="18"/>
                  <w:szCs w:val="18"/>
                  <w:color w:val="0000FF"/>
                </w:rPr>
                <w:t>Employment Agreement of Isaac Ro.</w:t>
              </w:r>
            </w:hyperlink>
          </w:p>
        </w:tc>
      </w:tr>
      <w:tr>
        <w:trPr>
          <w:trHeight w:val="20"/>
        </w:trPr>
        <w:tc>
          <w:tcPr>
            <w:tcW w:w="880" w:type="dxa"/>
            <w:vAlign w:val="bottom"/>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6"/>
              </w:rPr>
              <w:t>10.12*#</w:t>
            </w:r>
          </w:p>
        </w:tc>
        <w:tc>
          <w:tcPr>
            <w:tcW w:w="4480" w:type="dxa"/>
            <w:vAlign w:val="bottom"/>
            <w:gridSpan w:val="35"/>
          </w:tcPr>
          <w:p>
            <w:pPr>
              <w:spacing w:after="0"/>
              <w:rPr>
                <w:rFonts w:ascii="Arial" w:cs="Arial" w:eastAsia="Arial" w:hAnsi="Arial"/>
                <w:sz w:val="18"/>
                <w:szCs w:val="18"/>
                <w:color w:val="0000FF"/>
              </w:rPr>
            </w:pPr>
            <w:hyperlink r:id="rId295">
              <w:r>
                <w:rPr>
                  <w:rFonts w:ascii="Arial" w:cs="Arial" w:eastAsia="Arial" w:hAnsi="Arial"/>
                  <w:sz w:val="18"/>
                  <w:szCs w:val="18"/>
                  <w:color w:val="0000FF"/>
                </w:rPr>
                <w:t>Employment Agreement of Dan Clark.</w:t>
              </w:r>
            </w:hyperlink>
          </w:p>
        </w:tc>
      </w:tr>
      <w:tr>
        <w:trPr>
          <w:trHeight w:val="20"/>
        </w:trPr>
        <w:tc>
          <w:tcPr>
            <w:tcW w:w="880" w:type="dxa"/>
            <w:vAlign w:val="bottom"/>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6"/>
              </w:rPr>
              <w:t>10.13*#</w:t>
            </w:r>
          </w:p>
        </w:tc>
        <w:tc>
          <w:tcPr>
            <w:tcW w:w="3020" w:type="dxa"/>
            <w:vAlign w:val="bottom"/>
            <w:tcBorders>
              <w:bottom w:val="single" w:sz="8" w:color="0000FF"/>
            </w:tcBorders>
            <w:gridSpan w:val="15"/>
          </w:tcPr>
          <w:p>
            <w:pPr>
              <w:spacing w:after="0"/>
              <w:rPr>
                <w:rFonts w:ascii="Arial" w:cs="Arial" w:eastAsia="Arial" w:hAnsi="Arial"/>
                <w:sz w:val="18"/>
                <w:szCs w:val="18"/>
                <w:color w:val="0000FF"/>
                <w:w w:val="91"/>
              </w:rPr>
            </w:pPr>
            <w:hyperlink r:id="rId296">
              <w:r>
                <w:rPr>
                  <w:rFonts w:ascii="Arial" w:cs="Arial" w:eastAsia="Arial" w:hAnsi="Arial"/>
                  <w:sz w:val="18"/>
                  <w:szCs w:val="18"/>
                  <w:color w:val="0000FF"/>
                  <w:w w:val="91"/>
                </w:rPr>
                <w:t>Employment Agreement of James Coffin.</w:t>
              </w:r>
            </w:hyperlink>
          </w:p>
        </w:tc>
        <w:tc>
          <w:tcPr>
            <w:tcW w:w="1460" w:type="dxa"/>
            <w:vAlign w:val="bottom"/>
            <w:gridSpan w:val="20"/>
          </w:tcPr>
          <w:p>
            <w:pPr>
              <w:spacing w:after="0"/>
              <w:rPr>
                <w:sz w:val="24"/>
                <w:szCs w:val="24"/>
                <w:color w:val="auto"/>
              </w:rPr>
            </w:pPr>
          </w:p>
        </w:tc>
      </w:tr>
      <w:tr>
        <w:trPr>
          <w:trHeight w:val="412"/>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6"/>
              </w:rPr>
              <w:t>10.14*#</w:t>
            </w:r>
          </w:p>
        </w:tc>
        <w:tc>
          <w:tcPr>
            <w:tcW w:w="4480" w:type="dxa"/>
            <w:vAlign w:val="bottom"/>
            <w:gridSpan w:val="35"/>
          </w:tcPr>
          <w:p>
            <w:pPr>
              <w:spacing w:after="0"/>
              <w:rPr>
                <w:rFonts w:ascii="Arial" w:cs="Arial" w:eastAsia="Arial" w:hAnsi="Arial"/>
                <w:sz w:val="18"/>
                <w:szCs w:val="18"/>
                <w:color w:val="0000FF"/>
              </w:rPr>
            </w:pPr>
            <w:hyperlink r:id="rId297">
              <w:r>
                <w:rPr>
                  <w:rFonts w:ascii="Arial" w:cs="Arial" w:eastAsia="Arial" w:hAnsi="Arial"/>
                  <w:sz w:val="18"/>
                  <w:szCs w:val="18"/>
                  <w:color w:val="0000FF"/>
                </w:rPr>
                <w:t>Employment Agreement of Anthony Prentice.</w:t>
              </w:r>
            </w:hyperlink>
          </w:p>
        </w:tc>
      </w:tr>
      <w:tr>
        <w:trPr>
          <w:trHeight w:val="412"/>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6"/>
              </w:rPr>
              <w:t>10.15*#</w:t>
            </w:r>
          </w:p>
        </w:tc>
        <w:tc>
          <w:tcPr>
            <w:tcW w:w="3320" w:type="dxa"/>
            <w:vAlign w:val="bottom"/>
            <w:tcBorders>
              <w:top w:val="single" w:sz="8" w:color="0000FF"/>
            </w:tcBorders>
            <w:gridSpan w:val="17"/>
          </w:tcPr>
          <w:p>
            <w:pPr>
              <w:spacing w:after="0"/>
              <w:rPr>
                <w:rFonts w:ascii="Arial" w:cs="Arial" w:eastAsia="Arial" w:hAnsi="Arial"/>
                <w:sz w:val="18"/>
                <w:szCs w:val="18"/>
                <w:color w:val="0000FF"/>
                <w:w w:val="99"/>
              </w:rPr>
            </w:pPr>
            <w:hyperlink r:id="rId298">
              <w:r>
                <w:rPr>
                  <w:rFonts w:ascii="Arial" w:cs="Arial" w:eastAsia="Arial" w:hAnsi="Arial"/>
                  <w:sz w:val="18"/>
                  <w:szCs w:val="18"/>
                  <w:color w:val="0000FF"/>
                  <w:w w:val="99"/>
                </w:rPr>
                <w:t>Employment Agreement of Kareem Saad.</w:t>
              </w:r>
            </w:hyperlink>
          </w:p>
        </w:tc>
        <w:tc>
          <w:tcPr>
            <w:tcW w:w="1160" w:type="dxa"/>
            <w:vAlign w:val="bottom"/>
            <w:gridSpan w:val="18"/>
          </w:tcPr>
          <w:p>
            <w:pPr>
              <w:spacing w:after="0"/>
              <w:rPr>
                <w:sz w:val="24"/>
                <w:szCs w:val="24"/>
                <w:color w:val="auto"/>
              </w:rPr>
            </w:pPr>
          </w:p>
        </w:tc>
      </w:tr>
      <w:tr>
        <w:trPr>
          <w:trHeight w:val="412"/>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6"/>
              </w:rPr>
              <w:t>10.16*#</w:t>
            </w:r>
          </w:p>
        </w:tc>
        <w:tc>
          <w:tcPr>
            <w:tcW w:w="3020" w:type="dxa"/>
            <w:vAlign w:val="bottom"/>
            <w:tcBorders>
              <w:top w:val="single" w:sz="8" w:color="0000FF"/>
            </w:tcBorders>
            <w:gridSpan w:val="15"/>
          </w:tcPr>
          <w:p>
            <w:pPr>
              <w:spacing w:after="0"/>
              <w:rPr>
                <w:rFonts w:ascii="Arial" w:cs="Arial" w:eastAsia="Arial" w:hAnsi="Arial"/>
                <w:sz w:val="18"/>
                <w:szCs w:val="18"/>
                <w:color w:val="0000FF"/>
                <w:w w:val="93"/>
              </w:rPr>
            </w:pPr>
            <w:hyperlink r:id="rId299">
              <w:r>
                <w:rPr>
                  <w:rFonts w:ascii="Arial" w:cs="Arial" w:eastAsia="Arial" w:hAnsi="Arial"/>
                  <w:sz w:val="18"/>
                  <w:szCs w:val="18"/>
                  <w:color w:val="0000FF"/>
                  <w:w w:val="93"/>
                </w:rPr>
                <w:t>Employment Agreement of Karen White.</w:t>
              </w:r>
            </w:hyperlink>
          </w:p>
        </w:tc>
        <w:tc>
          <w:tcPr>
            <w:tcW w:w="1460" w:type="dxa"/>
            <w:vAlign w:val="bottom"/>
            <w:gridSpan w:val="20"/>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2"/>
              </w:rPr>
              <w:t>10.17*</w:t>
            </w:r>
          </w:p>
        </w:tc>
        <w:tc>
          <w:tcPr>
            <w:tcW w:w="4480" w:type="dxa"/>
            <w:vAlign w:val="bottom"/>
            <w:tcBorders>
              <w:bottom w:val="single" w:sz="8" w:color="0000FF"/>
            </w:tcBorders>
            <w:gridSpan w:val="35"/>
          </w:tcPr>
          <w:p>
            <w:pPr>
              <w:spacing w:after="0"/>
              <w:rPr>
                <w:rFonts w:ascii="Arial" w:cs="Arial" w:eastAsia="Arial" w:hAnsi="Arial"/>
                <w:sz w:val="18"/>
                <w:szCs w:val="18"/>
                <w:color w:val="0000FF"/>
                <w:w w:val="87"/>
              </w:rPr>
            </w:pPr>
            <w:hyperlink r:id="rId300">
              <w:r>
                <w:rPr>
                  <w:rFonts w:ascii="Arial" w:cs="Arial" w:eastAsia="Arial" w:hAnsi="Arial"/>
                  <w:sz w:val="18"/>
                  <w:szCs w:val="18"/>
                  <w:color w:val="0000FF"/>
                  <w:w w:val="87"/>
                </w:rPr>
                <w:t>Sub-Sublease, dated as of June 6, 2017, by and between Icahn</w:t>
              </w:r>
            </w:hyperlink>
          </w:p>
        </w:tc>
      </w:tr>
      <w:tr>
        <w:trPr>
          <w:trHeight w:val="196"/>
        </w:trPr>
        <w:tc>
          <w:tcPr>
            <w:tcW w:w="880" w:type="dxa"/>
            <w:vAlign w:val="bottom"/>
          </w:tcPr>
          <w:p>
            <w:pPr>
              <w:spacing w:after="0"/>
              <w:rPr>
                <w:sz w:val="17"/>
                <w:szCs w:val="17"/>
                <w:color w:val="auto"/>
              </w:rPr>
            </w:pPr>
          </w:p>
        </w:tc>
        <w:tc>
          <w:tcPr>
            <w:tcW w:w="4480" w:type="dxa"/>
            <w:vAlign w:val="bottom"/>
            <w:gridSpan w:val="35"/>
          </w:tcPr>
          <w:p>
            <w:pPr>
              <w:spacing w:after="0" w:line="196" w:lineRule="exact"/>
              <w:rPr>
                <w:rFonts w:ascii="Arial" w:cs="Arial" w:eastAsia="Arial" w:hAnsi="Arial"/>
                <w:sz w:val="18"/>
                <w:szCs w:val="18"/>
                <w:color w:val="0000FF"/>
                <w:w w:val="99"/>
              </w:rPr>
            </w:pPr>
            <w:hyperlink r:id="rId300">
              <w:r>
                <w:rPr>
                  <w:rFonts w:ascii="Arial" w:cs="Arial" w:eastAsia="Arial" w:hAnsi="Arial"/>
                  <w:sz w:val="18"/>
                  <w:szCs w:val="18"/>
                  <w:color w:val="0000FF"/>
                  <w:w w:val="99"/>
                </w:rPr>
                <w:t>School of Medicine at Mount Sinai and the Company, as</w:t>
              </w:r>
            </w:hyperlink>
          </w:p>
        </w:tc>
      </w:tr>
      <w:tr>
        <w:trPr>
          <w:trHeight w:val="196"/>
        </w:trPr>
        <w:tc>
          <w:tcPr>
            <w:tcW w:w="880" w:type="dxa"/>
            <w:vAlign w:val="bottom"/>
          </w:tcPr>
          <w:p>
            <w:pPr>
              <w:spacing w:after="0"/>
              <w:rPr>
                <w:sz w:val="17"/>
                <w:szCs w:val="17"/>
                <w:color w:val="auto"/>
              </w:rPr>
            </w:pPr>
          </w:p>
        </w:tc>
        <w:tc>
          <w:tcPr>
            <w:tcW w:w="17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8"/>
              </w:rPr>
            </w:pPr>
            <w:hyperlink r:id="rId300">
              <w:r>
                <w:rPr>
                  <w:rFonts w:ascii="Arial" w:cs="Arial" w:eastAsia="Arial" w:hAnsi="Arial"/>
                  <w:sz w:val="18"/>
                  <w:szCs w:val="18"/>
                  <w:color w:val="0000FF"/>
                  <w:w w:val="88"/>
                </w:rPr>
                <w:t>amended July 31, 2019.</w:t>
              </w:r>
            </w:hyperlink>
          </w:p>
        </w:tc>
        <w:tc>
          <w:tcPr>
            <w:tcW w:w="2360" w:type="dxa"/>
            <w:vAlign w:val="bottom"/>
            <w:tcBorders>
              <w:top w:val="single" w:sz="8" w:color="0000FF"/>
            </w:tcBorders>
            <w:gridSpan w:val="19"/>
          </w:tcPr>
          <w:p>
            <w:pPr>
              <w:spacing w:after="0"/>
              <w:rPr>
                <w:sz w:val="17"/>
                <w:szCs w:val="17"/>
                <w:color w:val="auto"/>
              </w:rPr>
            </w:pPr>
          </w:p>
        </w:tc>
        <w:tc>
          <w:tcPr>
            <w:tcW w:w="400" w:type="dxa"/>
            <w:vAlign w:val="bottom"/>
            <w:gridSpan w:val="10"/>
          </w:tcPr>
          <w:p>
            <w:pPr>
              <w:spacing w:after="0"/>
              <w:rPr>
                <w:sz w:val="17"/>
                <w:szCs w:val="17"/>
                <w:color w:val="auto"/>
              </w:rPr>
            </w:pPr>
          </w:p>
        </w:tc>
      </w:tr>
      <w:tr>
        <w:trPr>
          <w:trHeight w:val="412"/>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2"/>
              </w:rPr>
              <w:t>10.18*</w:t>
            </w:r>
          </w:p>
        </w:tc>
        <w:tc>
          <w:tcPr>
            <w:tcW w:w="4480" w:type="dxa"/>
            <w:vAlign w:val="bottom"/>
            <w:gridSpan w:val="35"/>
          </w:tcPr>
          <w:p>
            <w:pPr>
              <w:spacing w:after="0"/>
              <w:rPr>
                <w:rFonts w:ascii="Arial" w:cs="Arial" w:eastAsia="Arial" w:hAnsi="Arial"/>
                <w:sz w:val="18"/>
                <w:szCs w:val="18"/>
                <w:color w:val="0000FF"/>
                <w:w w:val="92"/>
              </w:rPr>
            </w:pPr>
            <w:hyperlink r:id="rId301">
              <w:r>
                <w:rPr>
                  <w:rFonts w:ascii="Arial" w:cs="Arial" w:eastAsia="Arial" w:hAnsi="Arial"/>
                  <w:sz w:val="18"/>
                  <w:szCs w:val="18"/>
                  <w:color w:val="0000FF"/>
                  <w:w w:val="92"/>
                </w:rPr>
                <w:t>Sublease Agreement, dated as of November 8, 2019, by and</w:t>
              </w:r>
            </w:hyperlink>
          </w:p>
        </w:tc>
      </w:tr>
      <w:tr>
        <w:trPr>
          <w:trHeight w:val="196"/>
        </w:trPr>
        <w:tc>
          <w:tcPr>
            <w:tcW w:w="880" w:type="dxa"/>
            <w:vAlign w:val="bottom"/>
          </w:tcPr>
          <w:p>
            <w:pPr>
              <w:spacing w:after="0"/>
              <w:rPr>
                <w:sz w:val="17"/>
                <w:szCs w:val="17"/>
                <w:color w:val="auto"/>
              </w:rPr>
            </w:pPr>
          </w:p>
        </w:tc>
        <w:tc>
          <w:tcPr>
            <w:tcW w:w="4320" w:type="dxa"/>
            <w:vAlign w:val="bottom"/>
            <w:tcBorders>
              <w:top w:val="single" w:sz="8" w:color="0000FF"/>
            </w:tcBorders>
            <w:gridSpan w:val="33"/>
          </w:tcPr>
          <w:p>
            <w:pPr>
              <w:spacing w:after="0" w:line="196" w:lineRule="exact"/>
              <w:rPr>
                <w:rFonts w:ascii="Arial" w:cs="Arial" w:eastAsia="Arial" w:hAnsi="Arial"/>
                <w:sz w:val="18"/>
                <w:szCs w:val="18"/>
                <w:color w:val="0000FF"/>
              </w:rPr>
            </w:pPr>
            <w:hyperlink r:id="rId301">
              <w:r>
                <w:rPr>
                  <w:rFonts w:ascii="Arial" w:cs="Arial" w:eastAsia="Arial" w:hAnsi="Arial"/>
                  <w:sz w:val="18"/>
                  <w:szCs w:val="18"/>
                  <w:color w:val="0000FF"/>
                </w:rPr>
                <w:t>between Marriott International, Inc. and the Company.</w:t>
              </w:r>
            </w:hyperlink>
          </w:p>
        </w:tc>
        <w:tc>
          <w:tcPr>
            <w:tcW w:w="160" w:type="dxa"/>
            <w:vAlign w:val="bottom"/>
            <w:gridSpan w:val="2"/>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1720" w:type="dxa"/>
            <w:vAlign w:val="bottom"/>
            <w:gridSpan w:val="10"/>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412"/>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2"/>
              </w:rPr>
              <w:t>10.19*</w:t>
            </w:r>
          </w:p>
        </w:tc>
        <w:tc>
          <w:tcPr>
            <w:tcW w:w="4140" w:type="dxa"/>
            <w:vAlign w:val="bottom"/>
            <w:tcBorders>
              <w:bottom w:val="single" w:sz="8" w:color="0000FF"/>
            </w:tcBorders>
            <w:gridSpan w:val="27"/>
          </w:tcPr>
          <w:p>
            <w:pPr>
              <w:spacing w:after="0"/>
              <w:rPr>
                <w:rFonts w:ascii="Arial" w:cs="Arial" w:eastAsia="Arial" w:hAnsi="Arial"/>
                <w:sz w:val="18"/>
                <w:szCs w:val="18"/>
                <w:color w:val="0000FF"/>
                <w:w w:val="87"/>
              </w:rPr>
            </w:pPr>
            <w:hyperlink r:id="rId302">
              <w:r>
                <w:rPr>
                  <w:rFonts w:ascii="Arial" w:cs="Arial" w:eastAsia="Arial" w:hAnsi="Arial"/>
                  <w:sz w:val="18"/>
                  <w:szCs w:val="18"/>
                  <w:color w:val="0000FF"/>
                  <w:w w:val="87"/>
                </w:rPr>
                <w:t>Sublease, dated as of June 1, 2017, by and between Icahn</w:t>
              </w:r>
            </w:hyperlink>
          </w:p>
        </w:tc>
        <w:tc>
          <w:tcPr>
            <w:tcW w:w="340" w:type="dxa"/>
            <w:vAlign w:val="bottom"/>
            <w:gridSpan w:val="8"/>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480" w:type="dxa"/>
            <w:vAlign w:val="bottom"/>
            <w:gridSpan w:val="35"/>
          </w:tcPr>
          <w:p>
            <w:pPr>
              <w:spacing w:after="0" w:line="196" w:lineRule="exact"/>
              <w:rPr>
                <w:rFonts w:ascii="Arial" w:cs="Arial" w:eastAsia="Arial" w:hAnsi="Arial"/>
                <w:sz w:val="18"/>
                <w:szCs w:val="18"/>
                <w:color w:val="0000FF"/>
                <w:w w:val="99"/>
              </w:rPr>
            </w:pPr>
            <w:hyperlink r:id="rId302">
              <w:r>
                <w:rPr>
                  <w:rFonts w:ascii="Arial" w:cs="Arial" w:eastAsia="Arial" w:hAnsi="Arial"/>
                  <w:sz w:val="18"/>
                  <w:szCs w:val="18"/>
                  <w:color w:val="0000FF"/>
                  <w:w w:val="99"/>
                </w:rPr>
                <w:t>School of Medicine at Mount Sinai and the Company, as</w:t>
              </w:r>
            </w:hyperlink>
          </w:p>
        </w:tc>
      </w:tr>
      <w:tr>
        <w:trPr>
          <w:trHeight w:val="196"/>
        </w:trPr>
        <w:tc>
          <w:tcPr>
            <w:tcW w:w="880" w:type="dxa"/>
            <w:vAlign w:val="bottom"/>
          </w:tcPr>
          <w:p>
            <w:pPr>
              <w:spacing w:after="0"/>
              <w:rPr>
                <w:sz w:val="17"/>
                <w:szCs w:val="17"/>
                <w:color w:val="auto"/>
              </w:rPr>
            </w:pPr>
          </w:p>
        </w:tc>
        <w:tc>
          <w:tcPr>
            <w:tcW w:w="21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87"/>
              </w:rPr>
            </w:pPr>
            <w:hyperlink r:id="rId302">
              <w:r>
                <w:rPr>
                  <w:rFonts w:ascii="Arial" w:cs="Arial" w:eastAsia="Arial" w:hAnsi="Arial"/>
                  <w:sz w:val="18"/>
                  <w:szCs w:val="18"/>
                  <w:color w:val="0000FF"/>
                  <w:w w:val="87"/>
                </w:rPr>
                <w:t>amended December 22, 2017.</w:t>
              </w:r>
            </w:hyperlink>
          </w:p>
        </w:tc>
        <w:tc>
          <w:tcPr>
            <w:tcW w:w="1920" w:type="dxa"/>
            <w:vAlign w:val="bottom"/>
            <w:tcBorders>
              <w:top w:val="single" w:sz="8" w:color="0000FF"/>
            </w:tcBorders>
            <w:gridSpan w:val="17"/>
          </w:tcPr>
          <w:p>
            <w:pPr>
              <w:spacing w:after="0"/>
              <w:rPr>
                <w:sz w:val="17"/>
                <w:szCs w:val="17"/>
                <w:color w:val="auto"/>
              </w:rPr>
            </w:pPr>
          </w:p>
        </w:tc>
        <w:tc>
          <w:tcPr>
            <w:tcW w:w="400" w:type="dxa"/>
            <w:vAlign w:val="bottom"/>
            <w:gridSpan w:val="10"/>
          </w:tcPr>
          <w:p>
            <w:pPr>
              <w:spacing w:after="0"/>
              <w:rPr>
                <w:sz w:val="17"/>
                <w:szCs w:val="17"/>
                <w:color w:val="auto"/>
              </w:rPr>
            </w:pPr>
          </w:p>
        </w:tc>
      </w:tr>
      <w:tr>
        <w:trPr>
          <w:trHeight w:val="412"/>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2"/>
              </w:rPr>
              <w:t>10.20*</w:t>
            </w:r>
          </w:p>
        </w:tc>
        <w:tc>
          <w:tcPr>
            <w:tcW w:w="4280" w:type="dxa"/>
            <w:vAlign w:val="bottom"/>
            <w:tcBorders>
              <w:bottom w:val="single" w:sz="8" w:color="0000FF"/>
            </w:tcBorders>
            <w:gridSpan w:val="32"/>
          </w:tcPr>
          <w:p>
            <w:pPr>
              <w:spacing w:after="0"/>
              <w:rPr>
                <w:rFonts w:ascii="Arial" w:cs="Arial" w:eastAsia="Arial" w:hAnsi="Arial"/>
                <w:sz w:val="18"/>
                <w:szCs w:val="18"/>
                <w:color w:val="0000FF"/>
                <w:w w:val="89"/>
              </w:rPr>
            </w:pPr>
            <w:hyperlink r:id="rId303">
              <w:r>
                <w:rPr>
                  <w:rFonts w:ascii="Arial" w:cs="Arial" w:eastAsia="Arial" w:hAnsi="Arial"/>
                  <w:sz w:val="18"/>
                  <w:szCs w:val="18"/>
                  <w:color w:val="0000FF"/>
                  <w:w w:val="89"/>
                </w:rPr>
                <w:t>Sublease, dated as of April 23, 2019, by and between Icahn</w:t>
              </w:r>
            </w:hyperlink>
          </w:p>
        </w:tc>
        <w:tc>
          <w:tcPr>
            <w:tcW w:w="20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480" w:type="dxa"/>
            <w:vAlign w:val="bottom"/>
            <w:gridSpan w:val="35"/>
          </w:tcPr>
          <w:p>
            <w:pPr>
              <w:spacing w:after="0" w:line="196" w:lineRule="exact"/>
              <w:rPr>
                <w:rFonts w:ascii="Arial" w:cs="Arial" w:eastAsia="Arial" w:hAnsi="Arial"/>
                <w:sz w:val="18"/>
                <w:szCs w:val="18"/>
                <w:color w:val="0000FF"/>
              </w:rPr>
            </w:pPr>
            <w:hyperlink r:id="rId303">
              <w:r>
                <w:rPr>
                  <w:rFonts w:ascii="Arial" w:cs="Arial" w:eastAsia="Arial" w:hAnsi="Arial"/>
                  <w:sz w:val="18"/>
                  <w:szCs w:val="18"/>
                  <w:color w:val="0000FF"/>
                </w:rPr>
                <w:t>School of Medicine at Mount Sinai and the Company.</w:t>
              </w:r>
            </w:hyperlink>
          </w:p>
        </w:tc>
      </w:tr>
      <w:tr>
        <w:trPr>
          <w:trHeight w:val="20"/>
        </w:trPr>
        <w:tc>
          <w:tcPr>
            <w:tcW w:w="880" w:type="dxa"/>
            <w:vAlign w:val="bottom"/>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3140" w:type="dxa"/>
            <w:vAlign w:val="bottom"/>
            <w:gridSpan w:val="14"/>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r>
      <w:tr>
        <w:trPr>
          <w:trHeight w:val="412"/>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2"/>
              </w:rPr>
              <w:t>10.21*</w:t>
            </w:r>
          </w:p>
        </w:tc>
        <w:tc>
          <w:tcPr>
            <w:tcW w:w="4000" w:type="dxa"/>
            <w:vAlign w:val="bottom"/>
            <w:tcBorders>
              <w:bottom w:val="single" w:sz="8" w:color="0000FF"/>
            </w:tcBorders>
            <w:gridSpan w:val="22"/>
          </w:tcPr>
          <w:p>
            <w:pPr>
              <w:spacing w:after="0"/>
              <w:rPr>
                <w:rFonts w:ascii="Arial" w:cs="Arial" w:eastAsia="Arial" w:hAnsi="Arial"/>
                <w:sz w:val="18"/>
                <w:szCs w:val="18"/>
                <w:color w:val="0000FF"/>
                <w:w w:val="88"/>
              </w:rPr>
            </w:pPr>
            <w:hyperlink r:id="rId304">
              <w:r>
                <w:rPr>
                  <w:rFonts w:ascii="Arial" w:cs="Arial" w:eastAsia="Arial" w:hAnsi="Arial"/>
                  <w:sz w:val="18"/>
                  <w:szCs w:val="18"/>
                  <w:color w:val="0000FF"/>
                  <w:w w:val="88"/>
                </w:rPr>
                <w:t>Lease Agreement, dated as of January 31, 2020, by and</w:t>
              </w:r>
            </w:hyperlink>
          </w:p>
        </w:tc>
        <w:tc>
          <w:tcPr>
            <w:tcW w:w="480" w:type="dxa"/>
            <w:vAlign w:val="bottom"/>
            <w:gridSpan w:val="1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96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304">
              <w:r>
                <w:rPr>
                  <w:rFonts w:ascii="Arial" w:cs="Arial" w:eastAsia="Arial" w:hAnsi="Arial"/>
                  <w:sz w:val="18"/>
                  <w:szCs w:val="18"/>
                  <w:color w:val="0000FF"/>
                  <w:w w:val="90"/>
                </w:rPr>
                <w:t>between 1 Commercial Street Associates, LLC and the</w:t>
              </w:r>
            </w:hyperlink>
          </w:p>
        </w:tc>
        <w:tc>
          <w:tcPr>
            <w:tcW w:w="520" w:type="dxa"/>
            <w:vAlign w:val="bottom"/>
            <w:gridSpan w:val="15"/>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740" w:type="dxa"/>
            <w:vAlign w:val="bottom"/>
            <w:tcBorders>
              <w:bottom w:val="single" w:sz="8" w:color="0000FF"/>
            </w:tcBorders>
            <w:gridSpan w:val="4"/>
          </w:tcPr>
          <w:p>
            <w:pPr>
              <w:spacing w:after="0" w:line="196" w:lineRule="exact"/>
              <w:rPr>
                <w:rFonts w:ascii="Arial" w:cs="Arial" w:eastAsia="Arial" w:hAnsi="Arial"/>
                <w:sz w:val="18"/>
                <w:szCs w:val="18"/>
                <w:color w:val="0000FF"/>
                <w:w w:val="87"/>
              </w:rPr>
            </w:pPr>
            <w:hyperlink r:id="rId304">
              <w:r>
                <w:rPr>
                  <w:rFonts w:ascii="Arial" w:cs="Arial" w:eastAsia="Arial" w:hAnsi="Arial"/>
                  <w:sz w:val="18"/>
                  <w:szCs w:val="18"/>
                  <w:color w:val="0000FF"/>
                  <w:w w:val="87"/>
                </w:rPr>
                <w:t>Company.</w:t>
              </w:r>
            </w:hyperlink>
          </w:p>
        </w:tc>
        <w:tc>
          <w:tcPr>
            <w:tcW w:w="3740" w:type="dxa"/>
            <w:vAlign w:val="bottom"/>
            <w:gridSpan w:val="31"/>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center"/>
              <w:ind w:left="30"/>
              <w:spacing w:after="0"/>
              <w:rPr>
                <w:sz w:val="20"/>
                <w:szCs w:val="20"/>
                <w:color w:val="auto"/>
              </w:rPr>
            </w:pPr>
            <w:r>
              <w:rPr>
                <w:rFonts w:ascii="Arial" w:cs="Arial" w:eastAsia="Arial" w:hAnsi="Arial"/>
                <w:sz w:val="18"/>
                <w:szCs w:val="18"/>
                <w:color w:val="auto"/>
                <w:w w:val="91"/>
              </w:rPr>
              <w:t>10.1</w:t>
            </w:r>
          </w:p>
        </w:tc>
        <w:tc>
          <w:tcPr>
            <w:tcW w:w="2300" w:type="dxa"/>
            <w:vAlign w:val="bottom"/>
          </w:tcPr>
          <w:p>
            <w:pPr>
              <w:jc w:val="right"/>
              <w:ind w:right="990"/>
              <w:spacing w:after="0"/>
              <w:rPr>
                <w:sz w:val="20"/>
                <w:szCs w:val="20"/>
                <w:color w:val="auto"/>
              </w:rPr>
            </w:pPr>
            <w:r>
              <w:rPr>
                <w:rFonts w:ascii="Arial" w:cs="Arial" w:eastAsia="Arial" w:hAnsi="Arial"/>
                <w:sz w:val="18"/>
                <w:szCs w:val="18"/>
                <w:color w:val="auto"/>
              </w:rPr>
              <w:t>09/04/2020</w:t>
            </w:r>
          </w:p>
        </w:tc>
      </w:tr>
      <w:tr>
        <w:trPr>
          <w:trHeight w:val="864"/>
        </w:trPr>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center"/>
              <w:ind w:left="30"/>
              <w:spacing w:after="0"/>
              <w:rPr>
                <w:sz w:val="20"/>
                <w:szCs w:val="20"/>
                <w:color w:val="auto"/>
              </w:rPr>
            </w:pPr>
            <w:r>
              <w:rPr>
                <w:rFonts w:ascii="Arial" w:cs="Arial" w:eastAsia="Arial" w:hAnsi="Arial"/>
                <w:sz w:val="18"/>
                <w:szCs w:val="18"/>
                <w:color w:val="auto"/>
                <w:w w:val="91"/>
              </w:rPr>
              <w:t>10.4</w:t>
            </w:r>
          </w:p>
        </w:tc>
        <w:tc>
          <w:tcPr>
            <w:tcW w:w="2300" w:type="dxa"/>
            <w:vAlign w:val="bottom"/>
          </w:tcPr>
          <w:p>
            <w:pPr>
              <w:jc w:val="right"/>
              <w:ind w:right="990"/>
              <w:spacing w:after="0"/>
              <w:rPr>
                <w:sz w:val="20"/>
                <w:szCs w:val="20"/>
                <w:color w:val="auto"/>
              </w:rPr>
            </w:pPr>
            <w:r>
              <w:rPr>
                <w:rFonts w:ascii="Arial" w:cs="Arial" w:eastAsia="Arial" w:hAnsi="Arial"/>
                <w:sz w:val="18"/>
                <w:szCs w:val="18"/>
                <w:color w:val="auto"/>
              </w:rPr>
              <w:t>07/28/2021</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center"/>
              <w:ind w:left="30"/>
              <w:spacing w:after="0"/>
              <w:rPr>
                <w:sz w:val="20"/>
                <w:szCs w:val="20"/>
                <w:color w:val="auto"/>
              </w:rPr>
            </w:pPr>
            <w:r>
              <w:rPr>
                <w:rFonts w:ascii="Arial" w:cs="Arial" w:eastAsia="Arial" w:hAnsi="Arial"/>
                <w:sz w:val="18"/>
                <w:szCs w:val="18"/>
                <w:color w:val="auto"/>
                <w:w w:val="91"/>
              </w:rPr>
              <w:t>10.1</w:t>
            </w:r>
          </w:p>
        </w:tc>
        <w:tc>
          <w:tcPr>
            <w:tcW w:w="2300" w:type="dxa"/>
            <w:vAlign w:val="bottom"/>
          </w:tcPr>
          <w:p>
            <w:pPr>
              <w:jc w:val="right"/>
              <w:ind w:right="990"/>
              <w:spacing w:after="0"/>
              <w:rPr>
                <w:sz w:val="20"/>
                <w:szCs w:val="20"/>
                <w:color w:val="auto"/>
              </w:rPr>
            </w:pPr>
            <w:r>
              <w:rPr>
                <w:rFonts w:ascii="Arial" w:cs="Arial" w:eastAsia="Arial" w:hAnsi="Arial"/>
                <w:sz w:val="18"/>
                <w:szCs w:val="18"/>
                <w:color w:val="auto"/>
              </w:rPr>
              <w:t>02/11/2021</w:t>
            </w:r>
          </w:p>
        </w:tc>
      </w:tr>
      <w:tr>
        <w:trPr>
          <w:trHeight w:val="648"/>
        </w:trPr>
        <w:tc>
          <w:tcPr>
            <w:tcW w:w="82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center"/>
              <w:ind w:left="30"/>
              <w:spacing w:after="0"/>
              <w:rPr>
                <w:sz w:val="20"/>
                <w:szCs w:val="20"/>
                <w:color w:val="auto"/>
              </w:rPr>
            </w:pPr>
            <w:r>
              <w:rPr>
                <w:rFonts w:ascii="Arial" w:cs="Arial" w:eastAsia="Arial" w:hAnsi="Arial"/>
                <w:sz w:val="18"/>
                <w:szCs w:val="18"/>
                <w:color w:val="auto"/>
                <w:w w:val="91"/>
              </w:rPr>
              <w:t>10.2</w:t>
            </w:r>
          </w:p>
        </w:tc>
        <w:tc>
          <w:tcPr>
            <w:tcW w:w="2300" w:type="dxa"/>
            <w:vAlign w:val="bottom"/>
          </w:tcPr>
          <w:p>
            <w:pPr>
              <w:jc w:val="right"/>
              <w:ind w:right="990"/>
              <w:spacing w:after="0"/>
              <w:rPr>
                <w:sz w:val="20"/>
                <w:szCs w:val="20"/>
                <w:color w:val="auto"/>
              </w:rPr>
            </w:pPr>
            <w:r>
              <w:rPr>
                <w:rFonts w:ascii="Arial" w:cs="Arial" w:eastAsia="Arial" w:hAnsi="Arial"/>
                <w:sz w:val="18"/>
                <w:szCs w:val="18"/>
                <w:color w:val="auto"/>
              </w:rPr>
              <w:t>07/28/2021</w:t>
            </w:r>
          </w:p>
        </w:tc>
      </w:tr>
      <w:tr>
        <w:trPr>
          <w:trHeight w:val="1080"/>
        </w:trPr>
        <w:tc>
          <w:tcPr>
            <w:tcW w:w="82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center"/>
              <w:ind w:left="30"/>
              <w:spacing w:after="0"/>
              <w:rPr>
                <w:sz w:val="20"/>
                <w:szCs w:val="20"/>
                <w:color w:val="auto"/>
              </w:rPr>
            </w:pPr>
            <w:r>
              <w:rPr>
                <w:rFonts w:ascii="Arial" w:cs="Arial" w:eastAsia="Arial" w:hAnsi="Arial"/>
                <w:sz w:val="18"/>
                <w:szCs w:val="18"/>
                <w:color w:val="auto"/>
                <w:w w:val="91"/>
              </w:rPr>
              <w:t>10.2</w:t>
            </w:r>
          </w:p>
        </w:tc>
        <w:tc>
          <w:tcPr>
            <w:tcW w:w="2300" w:type="dxa"/>
            <w:vAlign w:val="bottom"/>
          </w:tcPr>
          <w:p>
            <w:pPr>
              <w:jc w:val="right"/>
              <w:ind w:right="990"/>
              <w:spacing w:after="0"/>
              <w:rPr>
                <w:sz w:val="20"/>
                <w:szCs w:val="20"/>
                <w:color w:val="auto"/>
              </w:rPr>
            </w:pPr>
            <w:r>
              <w:rPr>
                <w:rFonts w:ascii="Arial" w:cs="Arial" w:eastAsia="Arial" w:hAnsi="Arial"/>
                <w:sz w:val="18"/>
                <w:szCs w:val="18"/>
                <w:color w:val="auto"/>
              </w:rPr>
              <w:t>02/11/2021</w:t>
            </w:r>
          </w:p>
        </w:tc>
      </w:tr>
      <w:tr>
        <w:trPr>
          <w:trHeight w:val="864"/>
        </w:trPr>
        <w:tc>
          <w:tcPr>
            <w:tcW w:w="82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center"/>
              <w:ind w:left="30"/>
              <w:spacing w:after="0"/>
              <w:rPr>
                <w:sz w:val="20"/>
                <w:szCs w:val="20"/>
                <w:color w:val="auto"/>
              </w:rPr>
            </w:pPr>
            <w:r>
              <w:rPr>
                <w:rFonts w:ascii="Arial" w:cs="Arial" w:eastAsia="Arial" w:hAnsi="Arial"/>
                <w:sz w:val="18"/>
                <w:szCs w:val="18"/>
                <w:color w:val="auto"/>
                <w:w w:val="91"/>
              </w:rPr>
              <w:t>10.6</w:t>
            </w:r>
          </w:p>
        </w:tc>
        <w:tc>
          <w:tcPr>
            <w:tcW w:w="2300" w:type="dxa"/>
            <w:vAlign w:val="bottom"/>
          </w:tcPr>
          <w:p>
            <w:pPr>
              <w:jc w:val="right"/>
              <w:ind w:right="990"/>
              <w:spacing w:after="0"/>
              <w:rPr>
                <w:sz w:val="20"/>
                <w:szCs w:val="20"/>
                <w:color w:val="auto"/>
              </w:rPr>
            </w:pPr>
            <w:r>
              <w:rPr>
                <w:rFonts w:ascii="Arial" w:cs="Arial" w:eastAsia="Arial" w:hAnsi="Arial"/>
                <w:sz w:val="18"/>
                <w:szCs w:val="18"/>
                <w:color w:val="auto"/>
              </w:rPr>
              <w:t>07/28/2021</w:t>
            </w:r>
          </w:p>
        </w:tc>
      </w:tr>
      <w:tr>
        <w:trPr>
          <w:trHeight w:val="648"/>
        </w:trPr>
        <w:tc>
          <w:tcPr>
            <w:tcW w:w="82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center"/>
              <w:ind w:left="30"/>
              <w:spacing w:after="0"/>
              <w:rPr>
                <w:sz w:val="20"/>
                <w:szCs w:val="20"/>
                <w:color w:val="auto"/>
              </w:rPr>
            </w:pPr>
            <w:r>
              <w:rPr>
                <w:rFonts w:ascii="Arial" w:cs="Arial" w:eastAsia="Arial" w:hAnsi="Arial"/>
                <w:sz w:val="18"/>
                <w:szCs w:val="18"/>
                <w:color w:val="auto"/>
                <w:w w:val="91"/>
              </w:rPr>
              <w:t>10.7</w:t>
            </w:r>
          </w:p>
        </w:tc>
        <w:tc>
          <w:tcPr>
            <w:tcW w:w="2300" w:type="dxa"/>
            <w:vAlign w:val="bottom"/>
          </w:tcPr>
          <w:p>
            <w:pPr>
              <w:jc w:val="right"/>
              <w:ind w:right="990"/>
              <w:spacing w:after="0"/>
              <w:rPr>
                <w:sz w:val="20"/>
                <w:szCs w:val="20"/>
                <w:color w:val="auto"/>
              </w:rPr>
            </w:pPr>
            <w:r>
              <w:rPr>
                <w:rFonts w:ascii="Arial" w:cs="Arial" w:eastAsia="Arial" w:hAnsi="Arial"/>
                <w:sz w:val="18"/>
                <w:szCs w:val="18"/>
                <w:color w:val="auto"/>
              </w:rPr>
              <w:t>07/28/2021</w:t>
            </w:r>
          </w:p>
        </w:tc>
      </w:tr>
      <w:tr>
        <w:trPr>
          <w:trHeight w:val="648"/>
        </w:trPr>
        <w:tc>
          <w:tcPr>
            <w:tcW w:w="82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center"/>
              <w:ind w:left="30"/>
              <w:spacing w:after="0"/>
              <w:rPr>
                <w:sz w:val="20"/>
                <w:szCs w:val="20"/>
                <w:color w:val="auto"/>
              </w:rPr>
            </w:pPr>
            <w:r>
              <w:rPr>
                <w:rFonts w:ascii="Arial" w:cs="Arial" w:eastAsia="Arial" w:hAnsi="Arial"/>
                <w:sz w:val="18"/>
                <w:szCs w:val="18"/>
                <w:color w:val="auto"/>
                <w:w w:val="91"/>
              </w:rPr>
              <w:t>10.8</w:t>
            </w:r>
          </w:p>
        </w:tc>
        <w:tc>
          <w:tcPr>
            <w:tcW w:w="2300" w:type="dxa"/>
            <w:vAlign w:val="bottom"/>
          </w:tcPr>
          <w:p>
            <w:pPr>
              <w:jc w:val="right"/>
              <w:ind w:right="990"/>
              <w:spacing w:after="0"/>
              <w:rPr>
                <w:sz w:val="20"/>
                <w:szCs w:val="20"/>
                <w:color w:val="auto"/>
              </w:rPr>
            </w:pPr>
            <w:r>
              <w:rPr>
                <w:rFonts w:ascii="Arial" w:cs="Arial" w:eastAsia="Arial" w:hAnsi="Arial"/>
                <w:sz w:val="18"/>
                <w:szCs w:val="18"/>
                <w:color w:val="auto"/>
              </w:rPr>
              <w:t>07/28/2021</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center"/>
              <w:ind w:left="30"/>
              <w:spacing w:after="0"/>
              <w:rPr>
                <w:sz w:val="20"/>
                <w:szCs w:val="20"/>
                <w:color w:val="auto"/>
              </w:rPr>
            </w:pPr>
            <w:r>
              <w:rPr>
                <w:rFonts w:ascii="Arial" w:cs="Arial" w:eastAsia="Arial" w:hAnsi="Arial"/>
                <w:sz w:val="18"/>
                <w:szCs w:val="18"/>
                <w:color w:val="auto"/>
                <w:w w:val="91"/>
              </w:rPr>
              <w:t>10.5</w:t>
            </w:r>
          </w:p>
        </w:tc>
        <w:tc>
          <w:tcPr>
            <w:tcW w:w="2300" w:type="dxa"/>
            <w:vAlign w:val="bottom"/>
          </w:tcPr>
          <w:p>
            <w:pPr>
              <w:jc w:val="right"/>
              <w:ind w:right="990"/>
              <w:spacing w:after="0"/>
              <w:rPr>
                <w:sz w:val="20"/>
                <w:szCs w:val="20"/>
                <w:color w:val="auto"/>
              </w:rPr>
            </w:pPr>
            <w:r>
              <w:rPr>
                <w:rFonts w:ascii="Arial" w:cs="Arial" w:eastAsia="Arial" w:hAnsi="Arial"/>
                <w:sz w:val="18"/>
                <w:szCs w:val="18"/>
                <w:color w:val="auto"/>
              </w:rPr>
              <w:t>07/28/2021</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center"/>
              <w:ind w:left="30"/>
              <w:spacing w:after="0"/>
              <w:rPr>
                <w:sz w:val="20"/>
                <w:szCs w:val="20"/>
                <w:color w:val="auto"/>
              </w:rPr>
            </w:pPr>
            <w:r>
              <w:rPr>
                <w:rFonts w:ascii="Arial" w:cs="Arial" w:eastAsia="Arial" w:hAnsi="Arial"/>
                <w:sz w:val="18"/>
                <w:szCs w:val="18"/>
                <w:color w:val="auto"/>
                <w:w w:val="91"/>
              </w:rPr>
              <w:t>10.9</w:t>
            </w:r>
          </w:p>
        </w:tc>
        <w:tc>
          <w:tcPr>
            <w:tcW w:w="2300" w:type="dxa"/>
            <w:vAlign w:val="bottom"/>
          </w:tcPr>
          <w:p>
            <w:pPr>
              <w:jc w:val="right"/>
              <w:ind w:right="990"/>
              <w:spacing w:after="0"/>
              <w:rPr>
                <w:sz w:val="20"/>
                <w:szCs w:val="20"/>
                <w:color w:val="auto"/>
              </w:rPr>
            </w:pPr>
            <w:r>
              <w:rPr>
                <w:rFonts w:ascii="Arial" w:cs="Arial" w:eastAsia="Arial" w:hAnsi="Arial"/>
                <w:sz w:val="18"/>
                <w:szCs w:val="18"/>
                <w:color w:val="auto"/>
              </w:rPr>
              <w:t>07/28/2021</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center"/>
              <w:ind w:left="30"/>
              <w:spacing w:after="0"/>
              <w:rPr>
                <w:sz w:val="20"/>
                <w:szCs w:val="20"/>
                <w:color w:val="auto"/>
              </w:rPr>
            </w:pPr>
            <w:r>
              <w:rPr>
                <w:rFonts w:ascii="Arial" w:cs="Arial" w:eastAsia="Arial" w:hAnsi="Arial"/>
                <w:sz w:val="18"/>
                <w:szCs w:val="18"/>
                <w:color w:val="auto"/>
                <w:w w:val="88"/>
              </w:rPr>
              <w:t>10.10</w:t>
            </w:r>
          </w:p>
        </w:tc>
        <w:tc>
          <w:tcPr>
            <w:tcW w:w="2300" w:type="dxa"/>
            <w:vAlign w:val="bottom"/>
          </w:tcPr>
          <w:p>
            <w:pPr>
              <w:jc w:val="right"/>
              <w:ind w:right="990"/>
              <w:spacing w:after="0"/>
              <w:rPr>
                <w:sz w:val="20"/>
                <w:szCs w:val="20"/>
                <w:color w:val="auto"/>
              </w:rPr>
            </w:pPr>
            <w:r>
              <w:rPr>
                <w:rFonts w:ascii="Arial" w:cs="Arial" w:eastAsia="Arial" w:hAnsi="Arial"/>
                <w:sz w:val="18"/>
                <w:szCs w:val="18"/>
                <w:color w:val="auto"/>
              </w:rPr>
              <w:t>07/28/2021</w:t>
            </w:r>
          </w:p>
        </w:tc>
      </w:tr>
      <w:tr>
        <w:trPr>
          <w:trHeight w:val="648"/>
        </w:trPr>
        <w:tc>
          <w:tcPr>
            <w:tcW w:w="82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center"/>
              <w:ind w:left="30"/>
              <w:spacing w:after="0"/>
              <w:rPr>
                <w:sz w:val="20"/>
                <w:szCs w:val="20"/>
                <w:color w:val="auto"/>
              </w:rPr>
            </w:pPr>
            <w:r>
              <w:rPr>
                <w:rFonts w:ascii="Arial" w:cs="Arial" w:eastAsia="Arial" w:hAnsi="Arial"/>
                <w:sz w:val="18"/>
                <w:szCs w:val="18"/>
                <w:color w:val="auto"/>
                <w:w w:val="88"/>
              </w:rPr>
              <w:t>10.11</w:t>
            </w:r>
          </w:p>
        </w:tc>
        <w:tc>
          <w:tcPr>
            <w:tcW w:w="2300" w:type="dxa"/>
            <w:vAlign w:val="bottom"/>
          </w:tcPr>
          <w:p>
            <w:pPr>
              <w:jc w:val="right"/>
              <w:ind w:right="990"/>
              <w:spacing w:after="0"/>
              <w:rPr>
                <w:sz w:val="20"/>
                <w:szCs w:val="20"/>
                <w:color w:val="auto"/>
              </w:rPr>
            </w:pPr>
            <w:r>
              <w:rPr>
                <w:rFonts w:ascii="Arial" w:cs="Arial" w:eastAsia="Arial" w:hAnsi="Arial"/>
                <w:sz w:val="18"/>
                <w:szCs w:val="18"/>
                <w:color w:val="auto"/>
              </w:rPr>
              <w:t>07/28/2021</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center"/>
              <w:ind w:left="30"/>
              <w:spacing w:after="0"/>
              <w:rPr>
                <w:sz w:val="20"/>
                <w:szCs w:val="20"/>
                <w:color w:val="auto"/>
              </w:rPr>
            </w:pPr>
            <w:r>
              <w:rPr>
                <w:rFonts w:ascii="Arial" w:cs="Arial" w:eastAsia="Arial" w:hAnsi="Arial"/>
                <w:sz w:val="18"/>
                <w:szCs w:val="18"/>
                <w:color w:val="auto"/>
                <w:w w:val="88"/>
              </w:rPr>
              <w:t>10.12</w:t>
            </w:r>
          </w:p>
        </w:tc>
        <w:tc>
          <w:tcPr>
            <w:tcW w:w="2300" w:type="dxa"/>
            <w:vAlign w:val="bottom"/>
          </w:tcPr>
          <w:p>
            <w:pPr>
              <w:jc w:val="right"/>
              <w:ind w:right="990"/>
              <w:spacing w:after="0"/>
              <w:rPr>
                <w:sz w:val="20"/>
                <w:szCs w:val="20"/>
                <w:color w:val="auto"/>
              </w:rPr>
            </w:pPr>
            <w:r>
              <w:rPr>
                <w:rFonts w:ascii="Arial" w:cs="Arial" w:eastAsia="Arial" w:hAnsi="Arial"/>
                <w:sz w:val="18"/>
                <w:szCs w:val="18"/>
                <w:color w:val="auto"/>
              </w:rPr>
              <w:t>07/28/2021</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center"/>
              <w:ind w:left="30"/>
              <w:spacing w:after="0"/>
              <w:rPr>
                <w:sz w:val="20"/>
                <w:szCs w:val="20"/>
                <w:color w:val="auto"/>
              </w:rPr>
            </w:pPr>
            <w:r>
              <w:rPr>
                <w:rFonts w:ascii="Arial" w:cs="Arial" w:eastAsia="Arial" w:hAnsi="Arial"/>
                <w:sz w:val="18"/>
                <w:szCs w:val="18"/>
                <w:color w:val="auto"/>
                <w:w w:val="88"/>
              </w:rPr>
              <w:t>10.13</w:t>
            </w:r>
          </w:p>
        </w:tc>
        <w:tc>
          <w:tcPr>
            <w:tcW w:w="2300" w:type="dxa"/>
            <w:vAlign w:val="bottom"/>
          </w:tcPr>
          <w:p>
            <w:pPr>
              <w:jc w:val="right"/>
              <w:ind w:right="990"/>
              <w:spacing w:after="0"/>
              <w:rPr>
                <w:sz w:val="20"/>
                <w:szCs w:val="20"/>
                <w:color w:val="auto"/>
              </w:rPr>
            </w:pPr>
            <w:r>
              <w:rPr>
                <w:rFonts w:ascii="Arial" w:cs="Arial" w:eastAsia="Arial" w:hAnsi="Arial"/>
                <w:sz w:val="18"/>
                <w:szCs w:val="18"/>
                <w:color w:val="auto"/>
              </w:rPr>
              <w:t>07/28/2021</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center"/>
              <w:ind w:left="30"/>
              <w:spacing w:after="0"/>
              <w:rPr>
                <w:sz w:val="20"/>
                <w:szCs w:val="20"/>
                <w:color w:val="auto"/>
              </w:rPr>
            </w:pPr>
            <w:r>
              <w:rPr>
                <w:rFonts w:ascii="Arial" w:cs="Arial" w:eastAsia="Arial" w:hAnsi="Arial"/>
                <w:sz w:val="18"/>
                <w:szCs w:val="18"/>
                <w:color w:val="auto"/>
                <w:w w:val="88"/>
              </w:rPr>
              <w:t>10.14</w:t>
            </w:r>
          </w:p>
        </w:tc>
        <w:tc>
          <w:tcPr>
            <w:tcW w:w="2300" w:type="dxa"/>
            <w:vAlign w:val="bottom"/>
          </w:tcPr>
          <w:p>
            <w:pPr>
              <w:jc w:val="right"/>
              <w:ind w:right="990"/>
              <w:spacing w:after="0"/>
              <w:rPr>
                <w:sz w:val="20"/>
                <w:szCs w:val="20"/>
                <w:color w:val="auto"/>
              </w:rPr>
            </w:pPr>
            <w:r>
              <w:rPr>
                <w:rFonts w:ascii="Arial" w:cs="Arial" w:eastAsia="Arial" w:hAnsi="Arial"/>
                <w:sz w:val="18"/>
                <w:szCs w:val="18"/>
                <w:color w:val="auto"/>
              </w:rPr>
              <w:t>07/28/2021</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center"/>
              <w:ind w:left="30"/>
              <w:spacing w:after="0"/>
              <w:rPr>
                <w:sz w:val="20"/>
                <w:szCs w:val="20"/>
                <w:color w:val="auto"/>
              </w:rPr>
            </w:pPr>
            <w:r>
              <w:rPr>
                <w:rFonts w:ascii="Arial" w:cs="Arial" w:eastAsia="Arial" w:hAnsi="Arial"/>
                <w:sz w:val="18"/>
                <w:szCs w:val="18"/>
                <w:color w:val="auto"/>
                <w:w w:val="88"/>
              </w:rPr>
              <w:t>10.15</w:t>
            </w:r>
          </w:p>
        </w:tc>
        <w:tc>
          <w:tcPr>
            <w:tcW w:w="2300" w:type="dxa"/>
            <w:vAlign w:val="bottom"/>
          </w:tcPr>
          <w:p>
            <w:pPr>
              <w:jc w:val="right"/>
              <w:ind w:right="990"/>
              <w:spacing w:after="0"/>
              <w:rPr>
                <w:sz w:val="20"/>
                <w:szCs w:val="20"/>
                <w:color w:val="auto"/>
              </w:rPr>
            </w:pPr>
            <w:r>
              <w:rPr>
                <w:rFonts w:ascii="Arial" w:cs="Arial" w:eastAsia="Arial" w:hAnsi="Arial"/>
                <w:sz w:val="18"/>
                <w:szCs w:val="18"/>
                <w:color w:val="auto"/>
              </w:rPr>
              <w:t>07/28/2021</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center"/>
              <w:ind w:left="30"/>
              <w:spacing w:after="0"/>
              <w:rPr>
                <w:sz w:val="20"/>
                <w:szCs w:val="20"/>
                <w:color w:val="auto"/>
              </w:rPr>
            </w:pPr>
            <w:r>
              <w:rPr>
                <w:rFonts w:ascii="Arial" w:cs="Arial" w:eastAsia="Arial" w:hAnsi="Arial"/>
                <w:sz w:val="18"/>
                <w:szCs w:val="18"/>
                <w:color w:val="auto"/>
                <w:w w:val="88"/>
              </w:rPr>
              <w:t>10.16</w:t>
            </w:r>
          </w:p>
        </w:tc>
        <w:tc>
          <w:tcPr>
            <w:tcW w:w="2300" w:type="dxa"/>
            <w:vAlign w:val="bottom"/>
          </w:tcPr>
          <w:p>
            <w:pPr>
              <w:jc w:val="right"/>
              <w:ind w:right="990"/>
              <w:spacing w:after="0"/>
              <w:rPr>
                <w:sz w:val="20"/>
                <w:szCs w:val="20"/>
                <w:color w:val="auto"/>
              </w:rPr>
            </w:pPr>
            <w:r>
              <w:rPr>
                <w:rFonts w:ascii="Arial" w:cs="Arial" w:eastAsia="Arial" w:hAnsi="Arial"/>
                <w:sz w:val="18"/>
                <w:szCs w:val="18"/>
                <w:color w:val="auto"/>
              </w:rPr>
              <w:t>07/28/2021</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center"/>
              <w:ind w:left="30"/>
              <w:spacing w:after="0"/>
              <w:rPr>
                <w:sz w:val="20"/>
                <w:szCs w:val="20"/>
                <w:color w:val="auto"/>
              </w:rPr>
            </w:pPr>
            <w:r>
              <w:rPr>
                <w:rFonts w:ascii="Arial" w:cs="Arial" w:eastAsia="Arial" w:hAnsi="Arial"/>
                <w:sz w:val="18"/>
                <w:szCs w:val="18"/>
                <w:color w:val="auto"/>
                <w:w w:val="88"/>
              </w:rPr>
              <w:t>10.17</w:t>
            </w:r>
          </w:p>
        </w:tc>
        <w:tc>
          <w:tcPr>
            <w:tcW w:w="2300" w:type="dxa"/>
            <w:vAlign w:val="bottom"/>
          </w:tcPr>
          <w:p>
            <w:pPr>
              <w:jc w:val="right"/>
              <w:ind w:right="990"/>
              <w:spacing w:after="0"/>
              <w:rPr>
                <w:sz w:val="20"/>
                <w:szCs w:val="20"/>
                <w:color w:val="auto"/>
              </w:rPr>
            </w:pPr>
            <w:r>
              <w:rPr>
                <w:rFonts w:ascii="Arial" w:cs="Arial" w:eastAsia="Arial" w:hAnsi="Arial"/>
                <w:sz w:val="18"/>
                <w:szCs w:val="18"/>
                <w:color w:val="auto"/>
              </w:rPr>
              <w:t>07/28/2021</w:t>
            </w:r>
          </w:p>
        </w:tc>
      </w:tr>
      <w:tr>
        <w:trPr>
          <w:trHeight w:val="864"/>
        </w:trPr>
        <w:tc>
          <w:tcPr>
            <w:tcW w:w="82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center"/>
              <w:ind w:left="30"/>
              <w:spacing w:after="0"/>
              <w:rPr>
                <w:sz w:val="20"/>
                <w:szCs w:val="20"/>
                <w:color w:val="auto"/>
              </w:rPr>
            </w:pPr>
            <w:r>
              <w:rPr>
                <w:rFonts w:ascii="Arial" w:cs="Arial" w:eastAsia="Arial" w:hAnsi="Arial"/>
                <w:sz w:val="18"/>
                <w:szCs w:val="18"/>
                <w:color w:val="auto"/>
                <w:w w:val="88"/>
              </w:rPr>
              <w:t>10.18</w:t>
            </w:r>
          </w:p>
        </w:tc>
        <w:tc>
          <w:tcPr>
            <w:tcW w:w="2300" w:type="dxa"/>
            <w:vAlign w:val="bottom"/>
          </w:tcPr>
          <w:p>
            <w:pPr>
              <w:jc w:val="right"/>
              <w:ind w:right="990"/>
              <w:spacing w:after="0"/>
              <w:rPr>
                <w:sz w:val="20"/>
                <w:szCs w:val="20"/>
                <w:color w:val="auto"/>
              </w:rPr>
            </w:pPr>
            <w:r>
              <w:rPr>
                <w:rFonts w:ascii="Arial" w:cs="Arial" w:eastAsia="Arial" w:hAnsi="Arial"/>
                <w:sz w:val="18"/>
                <w:szCs w:val="18"/>
                <w:color w:val="auto"/>
              </w:rPr>
              <w:t>07/28/2021</w:t>
            </w:r>
          </w:p>
        </w:tc>
      </w:tr>
      <w:tr>
        <w:trPr>
          <w:trHeight w:val="648"/>
        </w:trPr>
        <w:tc>
          <w:tcPr>
            <w:tcW w:w="82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center"/>
              <w:ind w:left="30"/>
              <w:spacing w:after="0"/>
              <w:rPr>
                <w:sz w:val="20"/>
                <w:szCs w:val="20"/>
                <w:color w:val="auto"/>
              </w:rPr>
            </w:pPr>
            <w:r>
              <w:rPr>
                <w:rFonts w:ascii="Arial" w:cs="Arial" w:eastAsia="Arial" w:hAnsi="Arial"/>
                <w:sz w:val="18"/>
                <w:szCs w:val="18"/>
                <w:color w:val="auto"/>
                <w:w w:val="88"/>
              </w:rPr>
              <w:t>10.19</w:t>
            </w:r>
          </w:p>
        </w:tc>
        <w:tc>
          <w:tcPr>
            <w:tcW w:w="2300" w:type="dxa"/>
            <w:vAlign w:val="bottom"/>
          </w:tcPr>
          <w:p>
            <w:pPr>
              <w:jc w:val="right"/>
              <w:ind w:right="990"/>
              <w:spacing w:after="0"/>
              <w:rPr>
                <w:sz w:val="20"/>
                <w:szCs w:val="20"/>
                <w:color w:val="auto"/>
              </w:rPr>
            </w:pPr>
            <w:r>
              <w:rPr>
                <w:rFonts w:ascii="Arial" w:cs="Arial" w:eastAsia="Arial" w:hAnsi="Arial"/>
                <w:sz w:val="18"/>
                <w:szCs w:val="18"/>
                <w:color w:val="auto"/>
              </w:rPr>
              <w:t>07/28/2021</w:t>
            </w:r>
          </w:p>
        </w:tc>
      </w:tr>
      <w:tr>
        <w:trPr>
          <w:trHeight w:val="864"/>
        </w:trPr>
        <w:tc>
          <w:tcPr>
            <w:tcW w:w="82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center"/>
              <w:ind w:left="30"/>
              <w:spacing w:after="0"/>
              <w:rPr>
                <w:sz w:val="20"/>
                <w:szCs w:val="20"/>
                <w:color w:val="auto"/>
              </w:rPr>
            </w:pPr>
            <w:r>
              <w:rPr>
                <w:rFonts w:ascii="Arial" w:cs="Arial" w:eastAsia="Arial" w:hAnsi="Arial"/>
                <w:sz w:val="18"/>
                <w:szCs w:val="18"/>
                <w:color w:val="auto"/>
                <w:w w:val="88"/>
              </w:rPr>
              <w:t>10.20</w:t>
            </w:r>
          </w:p>
        </w:tc>
        <w:tc>
          <w:tcPr>
            <w:tcW w:w="2300" w:type="dxa"/>
            <w:vAlign w:val="bottom"/>
          </w:tcPr>
          <w:p>
            <w:pPr>
              <w:jc w:val="right"/>
              <w:ind w:right="990"/>
              <w:spacing w:after="0"/>
              <w:rPr>
                <w:sz w:val="20"/>
                <w:szCs w:val="20"/>
                <w:color w:val="auto"/>
              </w:rPr>
            </w:pPr>
            <w:r>
              <w:rPr>
                <w:rFonts w:ascii="Arial" w:cs="Arial" w:eastAsia="Arial" w:hAnsi="Arial"/>
                <w:sz w:val="18"/>
                <w:szCs w:val="18"/>
                <w:color w:val="auto"/>
              </w:rPr>
              <w:t>07/28/2021</w:t>
            </w:r>
          </w:p>
        </w:tc>
      </w:tr>
      <w:tr>
        <w:trPr>
          <w:trHeight w:val="648"/>
        </w:trPr>
        <w:tc>
          <w:tcPr>
            <w:tcW w:w="82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center"/>
              <w:ind w:left="30"/>
              <w:spacing w:after="0"/>
              <w:rPr>
                <w:sz w:val="20"/>
                <w:szCs w:val="20"/>
                <w:color w:val="auto"/>
              </w:rPr>
            </w:pPr>
            <w:r>
              <w:rPr>
                <w:rFonts w:ascii="Arial" w:cs="Arial" w:eastAsia="Arial" w:hAnsi="Arial"/>
                <w:sz w:val="18"/>
                <w:szCs w:val="18"/>
                <w:color w:val="auto"/>
                <w:w w:val="88"/>
              </w:rPr>
              <w:t>10.21</w:t>
            </w:r>
          </w:p>
        </w:tc>
        <w:tc>
          <w:tcPr>
            <w:tcW w:w="2300" w:type="dxa"/>
            <w:vAlign w:val="bottom"/>
          </w:tcPr>
          <w:p>
            <w:pPr>
              <w:jc w:val="right"/>
              <w:ind w:right="990"/>
              <w:spacing w:after="0"/>
              <w:rPr>
                <w:sz w:val="20"/>
                <w:szCs w:val="20"/>
                <w:color w:val="auto"/>
              </w:rPr>
            </w:pPr>
            <w:r>
              <w:rPr>
                <w:rFonts w:ascii="Arial" w:cs="Arial" w:eastAsia="Arial" w:hAnsi="Arial"/>
                <w:sz w:val="18"/>
                <w:szCs w:val="18"/>
                <w:color w:val="auto"/>
              </w:rPr>
              <w:t>07/28/2021</w:t>
            </w:r>
          </w:p>
        </w:tc>
      </w:tr>
    </w:tbl>
    <w:p>
      <w:pPr>
        <w:sectPr>
          <w:pgSz w:w="11900" w:h="16838" w:orient="portrait"/>
          <w:cols w:equalWidth="0" w:num="2">
            <w:col w:w="5360" w:space="680"/>
            <w:col w:w="4440"/>
          </w:cols>
          <w:pgMar w:left="500" w:top="1440" w:right="919" w:bottom="825" w:gutter="0" w:footer="0" w:header="0"/>
        </w:sectPr>
      </w:pPr>
    </w:p>
    <w:bookmarkStart w:id="240" w:name="page241"/>
    <w:bookmarkEnd w:id="2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359410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spacing w:after="0" w:line="198" w:lineRule="exact"/>
        <w:rPr>
          <w:sz w:val="20"/>
          <w:szCs w:val="20"/>
          <w:color w:val="auto"/>
        </w:rPr>
      </w:pPr>
    </w:p>
    <w:p>
      <w:pPr>
        <w:ind w:left="880" w:right="60" w:hanging="831"/>
        <w:spacing w:after="0" w:line="259" w:lineRule="auto"/>
        <w:tabs>
          <w:tab w:leader="none" w:pos="860" w:val="left"/>
        </w:tabs>
        <w:rPr>
          <w:rFonts w:ascii="Arial" w:cs="Arial" w:eastAsia="Arial" w:hAnsi="Arial"/>
          <w:sz w:val="18"/>
          <w:szCs w:val="18"/>
          <w:color w:val="0000FF"/>
        </w:rPr>
      </w:pPr>
      <w:r>
        <w:rPr>
          <w:rFonts w:ascii="Arial" w:cs="Arial" w:eastAsia="Arial" w:hAnsi="Arial"/>
          <w:sz w:val="18"/>
          <w:szCs w:val="18"/>
          <w:color w:val="auto"/>
        </w:rPr>
        <w:t>10.22*</w:t>
      </w:r>
      <w:r>
        <w:rPr>
          <w:sz w:val="20"/>
          <w:szCs w:val="20"/>
          <w:color w:val="auto"/>
        </w:rPr>
        <w:tab/>
      </w:r>
      <w:hyperlink r:id="rId306">
        <w:r>
          <w:rPr>
            <w:rFonts w:ascii="Arial" w:cs="Arial" w:eastAsia="Arial" w:hAnsi="Arial"/>
            <w:sz w:val="18"/>
            <w:szCs w:val="18"/>
            <w:u w:val="single" w:color="auto"/>
            <w:color w:val="0000FF"/>
          </w:rPr>
          <w:t>Master Services Agreement, dated as of April 2, 2018, by and</w:t>
        </w:r>
      </w:hyperlink>
      <w:r>
        <w:rPr>
          <w:rFonts w:ascii="Arial" w:cs="Arial" w:eastAsia="Arial" w:hAnsi="Arial"/>
          <w:sz w:val="18"/>
          <w:szCs w:val="18"/>
          <w:u w:val="single" w:color="auto"/>
          <w:color w:val="0000FF"/>
        </w:rPr>
        <w:t xml:space="preserve"> </w:t>
      </w:r>
      <w:hyperlink r:id="rId306">
        <w:r>
          <w:rPr>
            <w:rFonts w:ascii="Arial" w:cs="Arial" w:eastAsia="Arial" w:hAnsi="Arial"/>
            <w:sz w:val="18"/>
            <w:szCs w:val="18"/>
            <w:u w:val="single" w:color="auto"/>
            <w:color w:val="0000FF"/>
          </w:rPr>
          <w:t>among the Company, Icahn School of Medicine at Mount</w:t>
        </w:r>
      </w:hyperlink>
      <w:r>
        <w:rPr>
          <w:rFonts w:ascii="Arial" w:cs="Arial" w:eastAsia="Arial" w:hAnsi="Arial"/>
          <w:sz w:val="18"/>
          <w:szCs w:val="18"/>
          <w:u w:val="single" w:color="auto"/>
          <w:color w:val="0000FF"/>
        </w:rPr>
        <w:t xml:space="preserve"> </w:t>
      </w:r>
      <w:hyperlink r:id="rId306">
        <w:r>
          <w:rPr>
            <w:rFonts w:ascii="Arial" w:cs="Arial" w:eastAsia="Arial" w:hAnsi="Arial"/>
            <w:sz w:val="18"/>
            <w:szCs w:val="18"/>
            <w:u w:val="single" w:color="auto"/>
            <w:color w:val="0000FF"/>
          </w:rPr>
          <w:t>Sinai, The Mount Sinai Hospital, and the parties thereto, as</w:t>
        </w:r>
      </w:hyperlink>
      <w:r>
        <w:rPr>
          <w:rFonts w:ascii="Arial" w:cs="Arial" w:eastAsia="Arial" w:hAnsi="Arial"/>
          <w:sz w:val="18"/>
          <w:szCs w:val="18"/>
          <w:u w:val="single" w:color="auto"/>
          <w:color w:val="0000FF"/>
        </w:rPr>
        <w:t xml:space="preserve"> </w:t>
      </w:r>
      <w:hyperlink r:id="rId306">
        <w:r>
          <w:rPr>
            <w:rFonts w:ascii="Arial" w:cs="Arial" w:eastAsia="Arial" w:hAnsi="Arial"/>
            <w:sz w:val="18"/>
            <w:szCs w:val="18"/>
            <w:u w:val="single" w:color="auto"/>
            <w:color w:val="0000FF"/>
          </w:rPr>
          <w:t>amended July 31, 2019</w:t>
        </w:r>
        <w:r>
          <w:rPr>
            <w:rFonts w:ascii="Arial" w:cs="Arial" w:eastAsia="Arial" w:hAnsi="Arial"/>
            <w:sz w:val="18"/>
            <w:szCs w:val="18"/>
            <w:color w:val="000000"/>
          </w:rPr>
          <w:t>.</w:t>
        </w:r>
      </w:hyperlink>
    </w:p>
    <w:p>
      <w:pPr>
        <w:spacing w:after="0" w:line="187" w:lineRule="exact"/>
        <w:rPr>
          <w:rFonts w:ascii="Arial" w:cs="Arial" w:eastAsia="Arial" w:hAnsi="Arial"/>
          <w:sz w:val="18"/>
          <w:szCs w:val="18"/>
          <w:u w:val="single" w:color="auto"/>
          <w:color w:val="0000FF"/>
        </w:rPr>
      </w:pPr>
    </w:p>
    <w:p>
      <w:pPr>
        <w:jc w:val="both"/>
        <w:ind w:left="880" w:hanging="831"/>
        <w:spacing w:after="0" w:line="263"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307">
        <w:r>
          <w:rPr>
            <w:rFonts w:ascii="Arial" w:cs="Arial" w:eastAsia="Arial" w:hAnsi="Arial"/>
            <w:sz w:val="18"/>
            <w:szCs w:val="18"/>
            <w:u w:val="single" w:color="auto"/>
            <w:color w:val="0000FF"/>
          </w:rPr>
          <w:t>Master Services Agreement, dated as of May 10, 2018, by and</w:t>
        </w:r>
      </w:hyperlink>
      <w:r>
        <w:rPr>
          <w:rFonts w:ascii="Arial" w:cs="Arial" w:eastAsia="Arial" w:hAnsi="Arial"/>
          <w:sz w:val="18"/>
          <w:szCs w:val="18"/>
          <w:u w:val="single" w:color="auto"/>
          <w:color w:val="0000FF"/>
        </w:rPr>
        <w:t xml:space="preserve"> </w:t>
      </w:r>
      <w:hyperlink r:id="rId307">
        <w:r>
          <w:rPr>
            <w:rFonts w:ascii="Arial" w:cs="Arial" w:eastAsia="Arial" w:hAnsi="Arial"/>
            <w:sz w:val="18"/>
            <w:szCs w:val="18"/>
            <w:u w:val="single" w:color="auto"/>
            <w:color w:val="0000FF"/>
          </w:rPr>
          <w:t>between the Company and Icahn School of Medicine at Mount</w:t>
        </w:r>
      </w:hyperlink>
      <w:r>
        <w:rPr>
          <w:rFonts w:ascii="Arial" w:cs="Arial" w:eastAsia="Arial" w:hAnsi="Arial"/>
          <w:sz w:val="18"/>
          <w:szCs w:val="18"/>
          <w:u w:val="single" w:color="auto"/>
          <w:color w:val="0000FF"/>
        </w:rPr>
        <w:t xml:space="preserve"> </w:t>
      </w:r>
      <w:hyperlink r:id="rId307">
        <w:r>
          <w:rPr>
            <w:rFonts w:ascii="Arial" w:cs="Arial" w:eastAsia="Arial" w:hAnsi="Arial"/>
            <w:sz w:val="18"/>
            <w:szCs w:val="18"/>
            <w:u w:val="single" w:color="auto"/>
            <w:color w:val="0000FF"/>
          </w:rPr>
          <w:t>Sinai, as amended July 31, 2019.</w:t>
        </w:r>
      </w:hyperlink>
    </w:p>
    <w:p>
      <w:pPr>
        <w:spacing w:after="0" w:line="184" w:lineRule="exact"/>
        <w:rPr>
          <w:rFonts w:ascii="Arial" w:cs="Arial" w:eastAsia="Arial" w:hAnsi="Arial"/>
          <w:sz w:val="18"/>
          <w:szCs w:val="18"/>
          <w:u w:val="single" w:color="auto"/>
          <w:color w:val="0000FF"/>
        </w:rPr>
      </w:pPr>
    </w:p>
    <w:p>
      <w:pPr>
        <w:jc w:val="both"/>
        <w:ind w:left="880" w:right="60" w:hanging="831"/>
        <w:spacing w:after="0" w:line="263"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308">
        <w:r>
          <w:rPr>
            <w:rFonts w:ascii="Arial" w:cs="Arial" w:eastAsia="Arial" w:hAnsi="Arial"/>
            <w:sz w:val="18"/>
            <w:szCs w:val="18"/>
            <w:u w:val="single" w:color="auto"/>
            <w:color w:val="0000FF"/>
          </w:rPr>
          <w:t>Data Structuring and Curation Agreement, dated as of August</w:t>
        </w:r>
      </w:hyperlink>
      <w:r>
        <w:rPr>
          <w:rFonts w:ascii="Arial" w:cs="Arial" w:eastAsia="Arial" w:hAnsi="Arial"/>
          <w:sz w:val="18"/>
          <w:szCs w:val="18"/>
          <w:u w:val="single" w:color="auto"/>
          <w:color w:val="0000FF"/>
        </w:rPr>
        <w:t xml:space="preserve"> </w:t>
      </w:r>
      <w:hyperlink r:id="rId308">
        <w:r>
          <w:rPr>
            <w:rFonts w:ascii="Arial" w:cs="Arial" w:eastAsia="Arial" w:hAnsi="Arial"/>
            <w:sz w:val="18"/>
            <w:szCs w:val="18"/>
            <w:u w:val="single" w:color="auto"/>
            <w:color w:val="0000FF"/>
          </w:rPr>
          <w:t>1, 2019, by and between Icahn School of Medicine at Mount</w:t>
        </w:r>
      </w:hyperlink>
      <w:r>
        <w:rPr>
          <w:rFonts w:ascii="Arial" w:cs="Arial" w:eastAsia="Arial" w:hAnsi="Arial"/>
          <w:sz w:val="18"/>
          <w:szCs w:val="18"/>
          <w:u w:val="single" w:color="auto"/>
          <w:color w:val="0000FF"/>
        </w:rPr>
        <w:t xml:space="preserve"> </w:t>
      </w:r>
      <w:hyperlink r:id="rId308">
        <w:r>
          <w:rPr>
            <w:rFonts w:ascii="Arial" w:cs="Arial" w:eastAsia="Arial" w:hAnsi="Arial"/>
            <w:sz w:val="18"/>
            <w:szCs w:val="18"/>
            <w:u w:val="single" w:color="auto"/>
            <w:color w:val="0000FF"/>
          </w:rPr>
          <w:t>Sinai and the Company.</w:t>
        </w:r>
      </w:hyperlink>
    </w:p>
    <w:p>
      <w:pPr>
        <w:spacing w:after="0" w:line="184" w:lineRule="exact"/>
        <w:rPr>
          <w:rFonts w:ascii="Arial" w:cs="Arial" w:eastAsia="Arial" w:hAnsi="Arial"/>
          <w:sz w:val="18"/>
          <w:szCs w:val="18"/>
          <w:u w:val="single" w:color="auto"/>
          <w:color w:val="0000FF"/>
        </w:rPr>
      </w:pPr>
    </w:p>
    <w:p>
      <w:pPr>
        <w:ind w:left="880" w:right="80" w:hanging="831"/>
        <w:spacing w:after="0" w:line="263"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309">
        <w:r>
          <w:rPr>
            <w:rFonts w:ascii="Arial" w:cs="Arial" w:eastAsia="Arial" w:hAnsi="Arial"/>
            <w:sz w:val="18"/>
            <w:szCs w:val="18"/>
            <w:u w:val="single" w:color="auto"/>
            <w:color w:val="0000FF"/>
          </w:rPr>
          <w:t>BioMe Biospecimen and Data Access Agreement, dated as of</w:t>
        </w:r>
      </w:hyperlink>
      <w:r>
        <w:rPr>
          <w:rFonts w:ascii="Arial" w:cs="Arial" w:eastAsia="Arial" w:hAnsi="Arial"/>
          <w:sz w:val="18"/>
          <w:szCs w:val="18"/>
          <w:u w:val="single" w:color="auto"/>
          <w:color w:val="0000FF"/>
        </w:rPr>
        <w:t xml:space="preserve"> </w:t>
      </w:r>
      <w:hyperlink r:id="rId309">
        <w:r>
          <w:rPr>
            <w:rFonts w:ascii="Arial" w:cs="Arial" w:eastAsia="Arial" w:hAnsi="Arial"/>
            <w:sz w:val="18"/>
            <w:szCs w:val="18"/>
            <w:u w:val="single" w:color="auto"/>
            <w:color w:val="0000FF"/>
          </w:rPr>
          <w:t>July 19, 2019, by and between Icahn School of Medicine at</w:t>
        </w:r>
      </w:hyperlink>
      <w:r>
        <w:rPr>
          <w:rFonts w:ascii="Arial" w:cs="Arial" w:eastAsia="Arial" w:hAnsi="Arial"/>
          <w:sz w:val="18"/>
          <w:szCs w:val="18"/>
          <w:u w:val="single" w:color="auto"/>
          <w:color w:val="0000FF"/>
        </w:rPr>
        <w:t xml:space="preserve"> </w:t>
      </w:r>
      <w:hyperlink r:id="rId309">
        <w:r>
          <w:rPr>
            <w:rFonts w:ascii="Arial" w:cs="Arial" w:eastAsia="Arial" w:hAnsi="Arial"/>
            <w:sz w:val="18"/>
            <w:szCs w:val="18"/>
            <w:u w:val="single" w:color="auto"/>
            <w:color w:val="0000FF"/>
          </w:rPr>
          <w:t>Mount Sinai and the Company.</w:t>
        </w:r>
      </w:hyperlink>
    </w:p>
    <w:p>
      <w:pPr>
        <w:spacing w:after="0" w:line="184" w:lineRule="exact"/>
        <w:rPr>
          <w:rFonts w:ascii="Arial" w:cs="Arial" w:eastAsia="Arial" w:hAnsi="Arial"/>
          <w:sz w:val="18"/>
          <w:szCs w:val="18"/>
          <w:u w:val="single" w:color="auto"/>
          <w:color w:val="0000FF"/>
        </w:rPr>
      </w:pPr>
    </w:p>
    <w:p>
      <w:pPr>
        <w:ind w:left="880" w:right="60" w:hanging="831"/>
        <w:spacing w:after="0" w:line="263"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310">
        <w:r>
          <w:rPr>
            <w:rFonts w:ascii="Arial" w:cs="Arial" w:eastAsia="Arial" w:hAnsi="Arial"/>
            <w:sz w:val="18"/>
            <w:szCs w:val="18"/>
            <w:u w:val="single" w:color="auto"/>
            <w:color w:val="0000FF"/>
          </w:rPr>
          <w:t>Non-Exclusive Patent License Agreement, dated as of June 1,</w:t>
        </w:r>
      </w:hyperlink>
      <w:r>
        <w:rPr>
          <w:rFonts w:ascii="Arial" w:cs="Arial" w:eastAsia="Arial" w:hAnsi="Arial"/>
          <w:sz w:val="18"/>
          <w:szCs w:val="18"/>
          <w:u w:val="single" w:color="auto"/>
          <w:color w:val="0000FF"/>
        </w:rPr>
        <w:t xml:space="preserve"> </w:t>
      </w:r>
      <w:hyperlink r:id="rId310">
        <w:r>
          <w:rPr>
            <w:rFonts w:ascii="Arial" w:cs="Arial" w:eastAsia="Arial" w:hAnsi="Arial"/>
            <w:sz w:val="18"/>
            <w:szCs w:val="18"/>
            <w:u w:val="single" w:color="auto"/>
            <w:color w:val="0000FF"/>
          </w:rPr>
          <w:t>2017, by and between the Company and Icahn School of</w:t>
        </w:r>
      </w:hyperlink>
      <w:r>
        <w:rPr>
          <w:rFonts w:ascii="Arial" w:cs="Arial" w:eastAsia="Arial" w:hAnsi="Arial"/>
          <w:sz w:val="18"/>
          <w:szCs w:val="18"/>
          <w:u w:val="single" w:color="auto"/>
          <w:color w:val="0000FF"/>
        </w:rPr>
        <w:t xml:space="preserve"> </w:t>
      </w:r>
      <w:hyperlink r:id="rId310">
        <w:r>
          <w:rPr>
            <w:rFonts w:ascii="Arial" w:cs="Arial" w:eastAsia="Arial" w:hAnsi="Arial"/>
            <w:sz w:val="18"/>
            <w:szCs w:val="18"/>
            <w:u w:val="single" w:color="auto"/>
            <w:color w:val="0000FF"/>
          </w:rPr>
          <w:t>Medicine at Mount Sinai.</w:t>
        </w:r>
      </w:hyperlink>
    </w:p>
    <w:p>
      <w:pPr>
        <w:spacing w:after="0" w:line="184" w:lineRule="exact"/>
        <w:rPr>
          <w:rFonts w:ascii="Arial" w:cs="Arial" w:eastAsia="Arial" w:hAnsi="Arial"/>
          <w:sz w:val="18"/>
          <w:szCs w:val="18"/>
          <w:u w:val="single" w:color="auto"/>
          <w:color w:val="0000FF"/>
        </w:rPr>
      </w:pPr>
    </w:p>
    <w:p>
      <w:pPr>
        <w:ind w:left="880" w:right="20" w:hanging="831"/>
        <w:spacing w:after="0" w:line="342" w:lineRule="auto"/>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10.27*</w:t>
      </w:r>
      <w:r>
        <w:rPr>
          <w:sz w:val="20"/>
          <w:szCs w:val="20"/>
          <w:color w:val="auto"/>
        </w:rPr>
        <w:tab/>
      </w:r>
      <w:hyperlink r:id="rId311">
        <w:r>
          <w:rPr>
            <w:rFonts w:ascii="Arial" w:cs="Arial" w:eastAsia="Arial" w:hAnsi="Arial"/>
            <w:sz w:val="16"/>
            <w:szCs w:val="16"/>
            <w:u w:val="single" w:color="auto"/>
            <w:color w:val="0000FF"/>
          </w:rPr>
          <w:t>Supply Agreement, dated as of June 20, 2014, by and between</w:t>
        </w:r>
      </w:hyperlink>
      <w:r>
        <w:rPr>
          <w:rFonts w:ascii="Arial" w:cs="Arial" w:eastAsia="Arial" w:hAnsi="Arial"/>
          <w:sz w:val="16"/>
          <w:szCs w:val="16"/>
          <w:u w:val="single" w:color="auto"/>
          <w:color w:val="0000FF"/>
        </w:rPr>
        <w:t xml:space="preserve"> </w:t>
      </w:r>
      <w:hyperlink r:id="rId311">
        <w:r>
          <w:rPr>
            <w:rFonts w:ascii="Arial" w:cs="Arial" w:eastAsia="Arial" w:hAnsi="Arial"/>
            <w:sz w:val="16"/>
            <w:szCs w:val="16"/>
            <w:u w:val="single" w:color="auto"/>
            <w:color w:val="0000FF"/>
          </w:rPr>
          <w:t>the Company and Illumina, Inc., and amendments thereto.</w:t>
        </w:r>
      </w:hyperlink>
    </w:p>
    <w:p>
      <w:pPr>
        <w:spacing w:after="0" w:line="124" w:lineRule="exact"/>
        <w:rPr>
          <w:sz w:val="20"/>
          <w:szCs w:val="20"/>
          <w:color w:val="auto"/>
        </w:rPr>
      </w:pPr>
    </w:p>
    <w:p>
      <w:pPr>
        <w:ind w:left="880" w:right="300" w:hanging="831"/>
        <w:spacing w:after="0" w:line="342" w:lineRule="auto"/>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10.28*</w:t>
      </w:r>
      <w:r>
        <w:rPr>
          <w:sz w:val="20"/>
          <w:szCs w:val="20"/>
          <w:color w:val="auto"/>
        </w:rPr>
        <w:tab/>
      </w:r>
      <w:hyperlink r:id="rId312">
        <w:r>
          <w:rPr>
            <w:rFonts w:ascii="Arial" w:cs="Arial" w:eastAsia="Arial" w:hAnsi="Arial"/>
            <w:sz w:val="16"/>
            <w:szCs w:val="16"/>
            <w:u w:val="single" w:color="auto"/>
            <w:color w:val="0000FF"/>
          </w:rPr>
          <w:t>Mount Sinai Genomics, Inc. 2017 Stock Incentive Plan, as</w:t>
        </w:r>
      </w:hyperlink>
      <w:r>
        <w:rPr>
          <w:rFonts w:ascii="Arial" w:cs="Arial" w:eastAsia="Arial" w:hAnsi="Arial"/>
          <w:sz w:val="16"/>
          <w:szCs w:val="16"/>
          <w:u w:val="single" w:color="auto"/>
          <w:color w:val="0000FF"/>
        </w:rPr>
        <w:t xml:space="preserve"> </w:t>
      </w:r>
      <w:hyperlink r:id="rId312">
        <w:r>
          <w:rPr>
            <w:rFonts w:ascii="Arial" w:cs="Arial" w:eastAsia="Arial" w:hAnsi="Arial"/>
            <w:sz w:val="16"/>
            <w:szCs w:val="16"/>
            <w:u w:val="single" w:color="auto"/>
            <w:color w:val="0000FF"/>
          </w:rPr>
          <w:t>amended, and forms of equity agreements thereunder.</w:t>
        </w:r>
      </w:hyperlink>
    </w:p>
    <w:p>
      <w:pPr>
        <w:spacing w:after="0" w:line="124" w:lineRule="exact"/>
        <w:rPr>
          <w:sz w:val="20"/>
          <w:szCs w:val="20"/>
          <w:color w:val="auto"/>
        </w:rPr>
      </w:pPr>
    </w:p>
    <w:p>
      <w:pPr>
        <w:ind w:left="880" w:right="80" w:hanging="831"/>
        <w:spacing w:after="0" w:line="263"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313">
        <w:r>
          <w:rPr>
            <w:rFonts w:ascii="Arial" w:cs="Arial" w:eastAsia="Arial" w:hAnsi="Arial"/>
            <w:sz w:val="18"/>
            <w:szCs w:val="18"/>
            <w:u w:val="single" w:color="auto"/>
            <w:color w:val="0000FF"/>
          </w:rPr>
          <w:t>Loan and Security Agreement, dated as of November 15,</w:t>
        </w:r>
      </w:hyperlink>
      <w:r>
        <w:rPr>
          <w:rFonts w:ascii="Arial" w:cs="Arial" w:eastAsia="Arial" w:hAnsi="Arial"/>
          <w:sz w:val="18"/>
          <w:szCs w:val="18"/>
          <w:u w:val="single" w:color="auto"/>
          <w:color w:val="0000FF"/>
        </w:rPr>
        <w:t xml:space="preserve"> </w:t>
      </w:r>
      <w:hyperlink r:id="rId313">
        <w:r>
          <w:rPr>
            <w:rFonts w:ascii="Arial" w:cs="Arial" w:eastAsia="Arial" w:hAnsi="Arial"/>
            <w:sz w:val="18"/>
            <w:szCs w:val="18"/>
            <w:u w:val="single" w:color="auto"/>
            <w:color w:val="0000FF"/>
          </w:rPr>
          <w:t>2021, between Silicon Valley Bank, the Company and Sema4</w:t>
        </w:r>
      </w:hyperlink>
      <w:r>
        <w:rPr>
          <w:rFonts w:ascii="Arial" w:cs="Arial" w:eastAsia="Arial" w:hAnsi="Arial"/>
          <w:sz w:val="18"/>
          <w:szCs w:val="18"/>
          <w:u w:val="single" w:color="auto"/>
          <w:color w:val="0000FF"/>
        </w:rPr>
        <w:t xml:space="preserve"> </w:t>
      </w:r>
      <w:hyperlink r:id="rId313">
        <w:r>
          <w:rPr>
            <w:rFonts w:ascii="Arial" w:cs="Arial" w:eastAsia="Arial" w:hAnsi="Arial"/>
            <w:sz w:val="18"/>
            <w:szCs w:val="18"/>
            <w:u w:val="single" w:color="auto"/>
            <w:color w:val="0000FF"/>
          </w:rPr>
          <w:t>OpCo, Inc.</w:t>
        </w:r>
      </w:hyperlink>
    </w:p>
    <w:p>
      <w:pPr>
        <w:spacing w:after="0" w:line="184" w:lineRule="exact"/>
        <w:rPr>
          <w:rFonts w:ascii="Arial" w:cs="Arial" w:eastAsia="Arial" w:hAnsi="Arial"/>
          <w:sz w:val="18"/>
          <w:szCs w:val="18"/>
          <w:u w:val="single" w:color="auto"/>
          <w:color w:val="0000FF"/>
        </w:rPr>
      </w:pPr>
    </w:p>
    <w:p>
      <w:pPr>
        <w:ind w:left="880" w:right="200" w:hanging="831"/>
        <w:spacing w:after="0" w:line="263"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314">
        <w:r>
          <w:rPr>
            <w:rFonts w:ascii="Arial" w:cs="Arial" w:eastAsia="Arial" w:hAnsi="Arial"/>
            <w:sz w:val="18"/>
            <w:szCs w:val="18"/>
            <w:u w:val="single" w:color="auto"/>
            <w:color w:val="0000FF"/>
          </w:rPr>
          <w:t>Form of Subscription Agreement, dated as of January 14,</w:t>
        </w:r>
      </w:hyperlink>
      <w:r>
        <w:rPr>
          <w:rFonts w:ascii="Arial" w:cs="Arial" w:eastAsia="Arial" w:hAnsi="Arial"/>
          <w:sz w:val="18"/>
          <w:szCs w:val="18"/>
          <w:u w:val="single" w:color="auto"/>
          <w:color w:val="0000FF"/>
        </w:rPr>
        <w:t xml:space="preserve"> </w:t>
      </w:r>
      <w:hyperlink r:id="rId314">
        <w:r>
          <w:rPr>
            <w:rFonts w:ascii="Arial" w:cs="Arial" w:eastAsia="Arial" w:hAnsi="Arial"/>
            <w:sz w:val="18"/>
            <w:szCs w:val="18"/>
            <w:u w:val="single" w:color="auto"/>
            <w:color w:val="0000FF"/>
          </w:rPr>
          <w:t>2022 by and among the Company and the subscriber parties</w:t>
        </w:r>
      </w:hyperlink>
      <w:r>
        <w:rPr>
          <w:rFonts w:ascii="Arial" w:cs="Arial" w:eastAsia="Arial" w:hAnsi="Arial"/>
          <w:sz w:val="18"/>
          <w:szCs w:val="18"/>
          <w:u w:val="single" w:color="auto"/>
          <w:color w:val="0000FF"/>
        </w:rPr>
        <w:t xml:space="preserve"> </w:t>
      </w:r>
      <w:hyperlink r:id="rId314">
        <w:r>
          <w:rPr>
            <w:rFonts w:ascii="Arial" w:cs="Arial" w:eastAsia="Arial" w:hAnsi="Arial"/>
            <w:sz w:val="18"/>
            <w:szCs w:val="18"/>
            <w:u w:val="single" w:color="auto"/>
            <w:color w:val="0000FF"/>
          </w:rPr>
          <w:t>thereto.</w:t>
        </w:r>
      </w:hyperlink>
    </w:p>
    <w:p>
      <w:pPr>
        <w:spacing w:after="0" w:line="184" w:lineRule="exact"/>
        <w:rPr>
          <w:rFonts w:ascii="Arial" w:cs="Arial" w:eastAsia="Arial" w:hAnsi="Arial"/>
          <w:sz w:val="18"/>
          <w:szCs w:val="18"/>
          <w:u w:val="single" w:color="auto"/>
          <w:color w:val="0000FF"/>
        </w:rPr>
      </w:pPr>
    </w:p>
    <w:p>
      <w:pPr>
        <w:ind w:left="880" w:right="60" w:hanging="831"/>
        <w:spacing w:after="0" w:line="263"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ab/>
      </w:r>
      <w:hyperlink r:id="rId315">
        <w:r>
          <w:rPr>
            <w:rFonts w:ascii="Arial" w:cs="Arial" w:eastAsia="Arial" w:hAnsi="Arial"/>
            <w:sz w:val="18"/>
            <w:szCs w:val="18"/>
            <w:u w:val="single" w:color="auto"/>
            <w:color w:val="0000FF"/>
          </w:rPr>
          <w:t>Form of Shareholder Agreement, dated as of January 14,</w:t>
        </w:r>
      </w:hyperlink>
      <w:r>
        <w:rPr>
          <w:rFonts w:ascii="Arial" w:cs="Arial" w:eastAsia="Arial" w:hAnsi="Arial"/>
          <w:sz w:val="18"/>
          <w:szCs w:val="18"/>
          <w:u w:val="single" w:color="auto"/>
          <w:color w:val="0000FF"/>
        </w:rPr>
        <w:t xml:space="preserve"> </w:t>
      </w:r>
      <w:hyperlink r:id="rId315">
        <w:r>
          <w:rPr>
            <w:rFonts w:ascii="Arial" w:cs="Arial" w:eastAsia="Arial" w:hAnsi="Arial"/>
            <w:sz w:val="18"/>
            <w:szCs w:val="18"/>
            <w:u w:val="single" w:color="auto"/>
            <w:color w:val="0000FF"/>
          </w:rPr>
          <w:t>2022, by and among the.Company and the stockholder parties</w:t>
        </w:r>
      </w:hyperlink>
      <w:r>
        <w:rPr>
          <w:rFonts w:ascii="Arial" w:cs="Arial" w:eastAsia="Arial" w:hAnsi="Arial"/>
          <w:sz w:val="18"/>
          <w:szCs w:val="18"/>
          <w:u w:val="single" w:color="auto"/>
          <w:color w:val="0000FF"/>
        </w:rPr>
        <w:t xml:space="preserve"> </w:t>
      </w:r>
      <w:hyperlink r:id="rId315">
        <w:r>
          <w:rPr>
            <w:rFonts w:ascii="Arial" w:cs="Arial" w:eastAsia="Arial" w:hAnsi="Arial"/>
            <w:sz w:val="18"/>
            <w:szCs w:val="18"/>
            <w:u w:val="single" w:color="auto"/>
            <w:color w:val="0000FF"/>
          </w:rPr>
          <w:t>identified therein.</w:t>
        </w:r>
      </w:hyperlink>
    </w:p>
    <w:p>
      <w:pPr>
        <w:spacing w:after="0" w:line="184" w:lineRule="exact"/>
        <w:rPr>
          <w:rFonts w:ascii="Arial" w:cs="Arial" w:eastAsia="Arial" w:hAnsi="Arial"/>
          <w:sz w:val="18"/>
          <w:szCs w:val="18"/>
          <w:u w:val="single" w:color="auto"/>
          <w:color w:val="0000FF"/>
        </w:rPr>
      </w:pPr>
    </w:p>
    <w:p>
      <w:pPr>
        <w:ind w:left="880" w:hanging="831"/>
        <w:spacing w:after="0" w:line="263"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10.32*</w:t>
      </w:r>
      <w:r>
        <w:rPr>
          <w:sz w:val="20"/>
          <w:szCs w:val="20"/>
          <w:color w:val="auto"/>
        </w:rPr>
        <w:tab/>
      </w:r>
      <w:hyperlink r:id="rId316">
        <w:r>
          <w:rPr>
            <w:rFonts w:ascii="Arial" w:cs="Arial" w:eastAsia="Arial" w:hAnsi="Arial"/>
            <w:sz w:val="18"/>
            <w:szCs w:val="18"/>
            <w:u w:val="single" w:color="auto"/>
            <w:color w:val="0000FF"/>
          </w:rPr>
          <w:t>Form of Support Agreement dated as of January 14, 2022 by</w:t>
        </w:r>
      </w:hyperlink>
      <w:r>
        <w:rPr>
          <w:rFonts w:ascii="Arial" w:cs="Arial" w:eastAsia="Arial" w:hAnsi="Arial"/>
          <w:sz w:val="18"/>
          <w:szCs w:val="18"/>
          <w:u w:val="single" w:color="auto"/>
          <w:color w:val="0000FF"/>
        </w:rPr>
        <w:t xml:space="preserve"> </w:t>
      </w:r>
      <w:hyperlink r:id="rId316">
        <w:r>
          <w:rPr>
            <w:rFonts w:ascii="Arial" w:cs="Arial" w:eastAsia="Arial" w:hAnsi="Arial"/>
            <w:sz w:val="18"/>
            <w:szCs w:val="18"/>
            <w:u w:val="single" w:color="auto"/>
            <w:color w:val="0000FF"/>
          </w:rPr>
          <w:t>and among the Company and the stockholder parties identified</w:t>
        </w:r>
      </w:hyperlink>
      <w:r>
        <w:rPr>
          <w:rFonts w:ascii="Arial" w:cs="Arial" w:eastAsia="Arial" w:hAnsi="Arial"/>
          <w:sz w:val="18"/>
          <w:szCs w:val="18"/>
          <w:u w:val="single" w:color="auto"/>
          <w:color w:val="0000FF"/>
        </w:rPr>
        <w:t xml:space="preserve"> </w:t>
      </w:r>
      <w:hyperlink r:id="rId316">
        <w:r>
          <w:rPr>
            <w:rFonts w:ascii="Arial" w:cs="Arial" w:eastAsia="Arial" w:hAnsi="Arial"/>
            <w:sz w:val="18"/>
            <w:szCs w:val="18"/>
            <w:u w:val="single" w:color="auto"/>
            <w:color w:val="0000FF"/>
          </w:rPr>
          <w:t>therein.</w:t>
        </w:r>
      </w:hyperlink>
    </w:p>
    <w:p>
      <w:pPr>
        <w:spacing w:after="0" w:line="184" w:lineRule="exact"/>
        <w:rPr>
          <w:rFonts w:ascii="Arial" w:cs="Arial" w:eastAsia="Arial" w:hAnsi="Arial"/>
          <w:sz w:val="18"/>
          <w:szCs w:val="18"/>
          <w:u w:val="single" w:color="auto"/>
          <w:color w:val="0000FF"/>
        </w:rPr>
      </w:pPr>
    </w:p>
    <w:p>
      <w:pPr>
        <w:ind w:left="880" w:right="280" w:hanging="831"/>
        <w:spacing w:after="0" w:line="308" w:lineRule="auto"/>
        <w:tabs>
          <w:tab w:leader="none" w:pos="860" w:val="left"/>
        </w:tabs>
        <w:rPr>
          <w:rFonts w:ascii="Arial" w:cs="Arial" w:eastAsia="Arial" w:hAnsi="Arial"/>
          <w:sz w:val="17"/>
          <w:szCs w:val="17"/>
          <w:u w:val="single" w:color="auto"/>
          <w:color w:val="0000FF"/>
        </w:rPr>
      </w:pPr>
      <w:r>
        <w:rPr>
          <w:rFonts w:ascii="Arial" w:cs="Arial" w:eastAsia="Arial" w:hAnsi="Arial"/>
          <w:sz w:val="18"/>
          <w:szCs w:val="18"/>
          <w:color w:val="auto"/>
        </w:rPr>
        <w:t>10.33*</w:t>
      </w:r>
      <w:r>
        <w:rPr>
          <w:sz w:val="20"/>
          <w:szCs w:val="20"/>
          <w:color w:val="auto"/>
        </w:rPr>
        <w:tab/>
      </w:r>
      <w:hyperlink r:id="rId317">
        <w:r>
          <w:rPr>
            <w:rFonts w:ascii="Arial" w:cs="Arial" w:eastAsia="Arial" w:hAnsi="Arial"/>
            <w:sz w:val="17"/>
            <w:szCs w:val="17"/>
            <w:u w:val="single" w:color="auto"/>
            <w:color w:val="0000FF"/>
          </w:rPr>
          <w:t>Form of Lock-Up Agreement, by and among the Company</w:t>
        </w:r>
      </w:hyperlink>
      <w:r>
        <w:rPr>
          <w:rFonts w:ascii="Arial" w:cs="Arial" w:eastAsia="Arial" w:hAnsi="Arial"/>
          <w:sz w:val="17"/>
          <w:szCs w:val="17"/>
          <w:u w:val="single" w:color="auto"/>
          <w:color w:val="0000FF"/>
        </w:rPr>
        <w:t xml:space="preserve"> </w:t>
      </w:r>
      <w:hyperlink r:id="rId317">
        <w:r>
          <w:rPr>
            <w:rFonts w:ascii="Arial" w:cs="Arial" w:eastAsia="Arial" w:hAnsi="Arial"/>
            <w:sz w:val="17"/>
            <w:szCs w:val="17"/>
            <w:u w:val="single" w:color="auto"/>
            <w:color w:val="0000FF"/>
          </w:rPr>
          <w:t>and the stockholder parties identified therein.</w:t>
        </w:r>
      </w:hyperlink>
    </w:p>
    <w:p>
      <w:pPr>
        <w:spacing w:after="0" w:line="146" w:lineRule="exact"/>
        <w:rPr>
          <w:sz w:val="20"/>
          <w:szCs w:val="20"/>
          <w:color w:val="auto"/>
        </w:rPr>
      </w:pPr>
    </w:p>
    <w:p>
      <w:pPr>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10.34*#</w:t>
      </w:r>
      <w:r>
        <w:rPr>
          <w:sz w:val="20"/>
          <w:szCs w:val="20"/>
          <w:color w:val="auto"/>
        </w:rPr>
        <w:tab/>
      </w:r>
      <w:hyperlink r:id="rId318">
        <w:r>
          <w:rPr>
            <w:rFonts w:ascii="Arial" w:cs="Arial" w:eastAsia="Arial" w:hAnsi="Arial"/>
            <w:sz w:val="16"/>
            <w:szCs w:val="16"/>
            <w:u w:val="single" w:color="auto"/>
            <w:color w:val="0000FF"/>
          </w:rPr>
          <w:t>Separation Agreement with James Coffin dated as of January</w:t>
        </w:r>
      </w:hyperlink>
    </w:p>
    <w:p>
      <w:pPr>
        <w:spacing w:after="0" w:line="23" w:lineRule="exact"/>
        <w:rPr>
          <w:sz w:val="20"/>
          <w:szCs w:val="20"/>
          <w:color w:val="auto"/>
        </w:rPr>
      </w:pPr>
    </w:p>
    <w:p>
      <w:pPr>
        <w:ind w:left="880"/>
        <w:spacing w:after="0"/>
        <w:rPr>
          <w:rFonts w:ascii="Arial" w:cs="Arial" w:eastAsia="Arial" w:hAnsi="Arial"/>
          <w:sz w:val="18"/>
          <w:szCs w:val="18"/>
          <w:u w:val="single" w:color="auto"/>
          <w:color w:val="0000FF"/>
        </w:rPr>
      </w:pPr>
      <w:hyperlink r:id="rId318">
        <w:r>
          <w:rPr>
            <w:rFonts w:ascii="Arial" w:cs="Arial" w:eastAsia="Arial" w:hAnsi="Arial"/>
            <w:sz w:val="18"/>
            <w:szCs w:val="18"/>
            <w:u w:val="single" w:color="auto"/>
            <w:color w:val="0000FF"/>
          </w:rPr>
          <w:t>25, 2022.</w:t>
        </w:r>
      </w:hyperlink>
    </w:p>
    <w:p>
      <w:pPr>
        <w:spacing w:after="0" w:line="211" w:lineRule="exact"/>
        <w:rPr>
          <w:sz w:val="20"/>
          <w:szCs w:val="20"/>
          <w:color w:val="auto"/>
        </w:rPr>
      </w:pPr>
    </w:p>
    <w:p>
      <w:pPr>
        <w:ind w:left="880" w:hanging="876"/>
        <w:spacing w:after="0" w:line="308" w:lineRule="auto"/>
        <w:tabs>
          <w:tab w:leader="none" w:pos="860" w:val="left"/>
        </w:tabs>
        <w:rPr>
          <w:rFonts w:ascii="Arial" w:cs="Arial" w:eastAsia="Arial" w:hAnsi="Arial"/>
          <w:sz w:val="17"/>
          <w:szCs w:val="17"/>
          <w:u w:val="single" w:color="auto"/>
          <w:color w:val="0000FF"/>
        </w:rPr>
      </w:pPr>
      <w:r>
        <w:rPr>
          <w:rFonts w:ascii="Arial" w:cs="Arial" w:eastAsia="Arial" w:hAnsi="Arial"/>
          <w:sz w:val="18"/>
          <w:szCs w:val="18"/>
          <w:color w:val="auto"/>
        </w:rPr>
        <w:t>10.35*#</w:t>
      </w:r>
      <w:r>
        <w:rPr>
          <w:sz w:val="20"/>
          <w:szCs w:val="20"/>
          <w:color w:val="auto"/>
        </w:rPr>
        <w:tab/>
      </w:r>
      <w:hyperlink r:id="rId319">
        <w:r>
          <w:rPr>
            <w:rFonts w:ascii="Arial" w:cs="Arial" w:eastAsia="Arial" w:hAnsi="Arial"/>
            <w:sz w:val="17"/>
            <w:szCs w:val="17"/>
            <w:u w:val="single" w:color="auto"/>
            <w:color w:val="0000FF"/>
          </w:rPr>
          <w:t>Executive Chairman Agreement, dated as of January 17, 2022,</w:t>
        </w:r>
      </w:hyperlink>
      <w:r>
        <w:rPr>
          <w:rFonts w:ascii="Arial" w:cs="Arial" w:eastAsia="Arial" w:hAnsi="Arial"/>
          <w:sz w:val="17"/>
          <w:szCs w:val="17"/>
          <w:u w:val="single" w:color="auto"/>
          <w:color w:val="0000FF"/>
        </w:rPr>
        <w:t xml:space="preserve"> </w:t>
      </w:r>
      <w:hyperlink r:id="rId319">
        <w:r>
          <w:rPr>
            <w:rFonts w:ascii="Arial" w:cs="Arial" w:eastAsia="Arial" w:hAnsi="Arial"/>
            <w:sz w:val="17"/>
            <w:szCs w:val="17"/>
            <w:u w:val="single" w:color="auto"/>
            <w:color w:val="0000FF"/>
          </w:rPr>
          <w:t>by and between the Company and Jason Ryan.</w:t>
        </w:r>
      </w:hyperlink>
    </w:p>
    <w:p>
      <w:pPr>
        <w:spacing w:after="0" w:line="146" w:lineRule="exact"/>
        <w:rPr>
          <w:sz w:val="20"/>
          <w:szCs w:val="20"/>
          <w:color w:val="auto"/>
        </w:rPr>
      </w:pPr>
    </w:p>
    <w:p>
      <w:pPr>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10.36*#</w:t>
      </w:r>
      <w:r>
        <w:rPr>
          <w:sz w:val="20"/>
          <w:szCs w:val="20"/>
          <w:color w:val="auto"/>
        </w:rPr>
        <w:tab/>
      </w:r>
      <w:hyperlink r:id="rId320">
        <w:r>
          <w:rPr>
            <w:rFonts w:ascii="Arial" w:cs="Arial" w:eastAsia="Arial" w:hAnsi="Arial"/>
            <w:sz w:val="16"/>
            <w:szCs w:val="16"/>
            <w:u w:val="single" w:color="auto"/>
            <w:color w:val="0000FF"/>
          </w:rPr>
          <w:t>Employment Agreement of Katherine Stueland.</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10.37*#</w:t>
      </w:r>
      <w:r>
        <w:rPr>
          <w:sz w:val="20"/>
          <w:szCs w:val="20"/>
          <w:color w:val="auto"/>
        </w:rPr>
        <w:tab/>
      </w:r>
      <w:hyperlink r:id="rId321">
        <w:r>
          <w:rPr>
            <w:rFonts w:ascii="Arial" w:cs="Arial" w:eastAsia="Arial" w:hAnsi="Arial"/>
            <w:sz w:val="16"/>
            <w:szCs w:val="16"/>
            <w:u w:val="single" w:color="auto"/>
            <w:color w:val="0000FF"/>
          </w:rPr>
          <w:t>Transition Services Agreement.</w:t>
        </w:r>
      </w:hyperlink>
    </w:p>
    <w:p>
      <w:pPr>
        <w:spacing w:after="0" w:line="225" w:lineRule="exact"/>
        <w:rPr>
          <w:sz w:val="20"/>
          <w:szCs w:val="20"/>
          <w:color w:val="auto"/>
        </w:rPr>
      </w:pPr>
    </w:p>
    <w:p>
      <w:pPr>
        <w:ind w:left="10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r:id="rId322">
        <w:r>
          <w:rPr>
            <w:rFonts w:ascii="Arial" w:cs="Arial" w:eastAsia="Arial" w:hAnsi="Arial"/>
            <w:sz w:val="16"/>
            <w:szCs w:val="16"/>
            <w:u w:val="single" w:color="auto"/>
            <w:color w:val="0000FF"/>
          </w:rPr>
          <w:t>List of Subsidiaries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1073785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jc w:val="center"/>
              <w:ind w:right="4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88"/>
              </w:rPr>
              <w:t>10.22</w:t>
            </w:r>
          </w:p>
        </w:tc>
        <w:tc>
          <w:tcPr>
            <w:tcW w:w="1220" w:type="dxa"/>
            <w:vAlign w:val="bottom"/>
          </w:tcPr>
          <w:p>
            <w:pPr>
              <w:jc w:val="right"/>
              <w:spacing w:after="0"/>
              <w:rPr>
                <w:sz w:val="20"/>
                <w:szCs w:val="20"/>
                <w:color w:val="auto"/>
              </w:rPr>
            </w:pPr>
            <w:r>
              <w:rPr>
                <w:rFonts w:ascii="Arial" w:cs="Arial" w:eastAsia="Arial" w:hAnsi="Arial"/>
                <w:sz w:val="18"/>
                <w:szCs w:val="18"/>
                <w:color w:val="auto"/>
              </w:rPr>
              <w:t>07/28/2021</w:t>
            </w:r>
          </w:p>
        </w:tc>
      </w:tr>
      <w:tr>
        <w:trPr>
          <w:trHeight w:val="1080"/>
        </w:trPr>
        <w:tc>
          <w:tcPr>
            <w:tcW w:w="880" w:type="dxa"/>
            <w:vAlign w:val="bottom"/>
          </w:tcPr>
          <w:p>
            <w:pPr>
              <w:jc w:val="center"/>
              <w:ind w:right="4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88"/>
              </w:rPr>
              <w:t>10.23</w:t>
            </w:r>
          </w:p>
        </w:tc>
        <w:tc>
          <w:tcPr>
            <w:tcW w:w="1220" w:type="dxa"/>
            <w:vAlign w:val="bottom"/>
          </w:tcPr>
          <w:p>
            <w:pPr>
              <w:jc w:val="right"/>
              <w:spacing w:after="0"/>
              <w:rPr>
                <w:sz w:val="20"/>
                <w:szCs w:val="20"/>
                <w:color w:val="auto"/>
              </w:rPr>
            </w:pPr>
            <w:r>
              <w:rPr>
                <w:rFonts w:ascii="Arial" w:cs="Arial" w:eastAsia="Arial" w:hAnsi="Arial"/>
                <w:sz w:val="18"/>
                <w:szCs w:val="18"/>
                <w:color w:val="auto"/>
              </w:rPr>
              <w:t>07/28/2021</w:t>
            </w:r>
          </w:p>
        </w:tc>
      </w:tr>
      <w:tr>
        <w:trPr>
          <w:trHeight w:val="864"/>
        </w:trPr>
        <w:tc>
          <w:tcPr>
            <w:tcW w:w="880" w:type="dxa"/>
            <w:vAlign w:val="bottom"/>
          </w:tcPr>
          <w:p>
            <w:pPr>
              <w:jc w:val="center"/>
              <w:ind w:right="4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88"/>
              </w:rPr>
              <w:t>10.24</w:t>
            </w:r>
          </w:p>
        </w:tc>
        <w:tc>
          <w:tcPr>
            <w:tcW w:w="1220" w:type="dxa"/>
            <w:vAlign w:val="bottom"/>
          </w:tcPr>
          <w:p>
            <w:pPr>
              <w:jc w:val="right"/>
              <w:spacing w:after="0"/>
              <w:rPr>
                <w:sz w:val="20"/>
                <w:szCs w:val="20"/>
                <w:color w:val="auto"/>
              </w:rPr>
            </w:pPr>
            <w:r>
              <w:rPr>
                <w:rFonts w:ascii="Arial" w:cs="Arial" w:eastAsia="Arial" w:hAnsi="Arial"/>
                <w:sz w:val="18"/>
                <w:szCs w:val="18"/>
                <w:color w:val="auto"/>
              </w:rPr>
              <w:t>07/28/2021</w:t>
            </w:r>
          </w:p>
        </w:tc>
      </w:tr>
      <w:tr>
        <w:trPr>
          <w:trHeight w:val="864"/>
        </w:trPr>
        <w:tc>
          <w:tcPr>
            <w:tcW w:w="880" w:type="dxa"/>
            <w:vAlign w:val="bottom"/>
          </w:tcPr>
          <w:p>
            <w:pPr>
              <w:jc w:val="center"/>
              <w:ind w:right="4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88"/>
              </w:rPr>
              <w:t>10.25</w:t>
            </w:r>
          </w:p>
        </w:tc>
        <w:tc>
          <w:tcPr>
            <w:tcW w:w="1220" w:type="dxa"/>
            <w:vAlign w:val="bottom"/>
          </w:tcPr>
          <w:p>
            <w:pPr>
              <w:jc w:val="right"/>
              <w:spacing w:after="0"/>
              <w:rPr>
                <w:sz w:val="20"/>
                <w:szCs w:val="20"/>
                <w:color w:val="auto"/>
              </w:rPr>
            </w:pPr>
            <w:r>
              <w:rPr>
                <w:rFonts w:ascii="Arial" w:cs="Arial" w:eastAsia="Arial" w:hAnsi="Arial"/>
                <w:sz w:val="18"/>
                <w:szCs w:val="18"/>
                <w:color w:val="auto"/>
              </w:rPr>
              <w:t>07/28/2021</w:t>
            </w:r>
          </w:p>
        </w:tc>
      </w:tr>
      <w:tr>
        <w:trPr>
          <w:trHeight w:val="864"/>
        </w:trPr>
        <w:tc>
          <w:tcPr>
            <w:tcW w:w="880" w:type="dxa"/>
            <w:vAlign w:val="bottom"/>
          </w:tcPr>
          <w:p>
            <w:pPr>
              <w:jc w:val="center"/>
              <w:ind w:right="4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88"/>
              </w:rPr>
              <w:t>10.26</w:t>
            </w:r>
          </w:p>
        </w:tc>
        <w:tc>
          <w:tcPr>
            <w:tcW w:w="1220" w:type="dxa"/>
            <w:vAlign w:val="bottom"/>
          </w:tcPr>
          <w:p>
            <w:pPr>
              <w:jc w:val="right"/>
              <w:spacing w:after="0"/>
              <w:rPr>
                <w:sz w:val="20"/>
                <w:szCs w:val="20"/>
                <w:color w:val="auto"/>
              </w:rPr>
            </w:pPr>
            <w:r>
              <w:rPr>
                <w:rFonts w:ascii="Arial" w:cs="Arial" w:eastAsia="Arial" w:hAnsi="Arial"/>
                <w:sz w:val="18"/>
                <w:szCs w:val="18"/>
                <w:color w:val="auto"/>
              </w:rPr>
              <w:t>07/28/2021</w:t>
            </w:r>
          </w:p>
        </w:tc>
      </w:tr>
      <w:tr>
        <w:trPr>
          <w:trHeight w:val="864"/>
        </w:trPr>
        <w:tc>
          <w:tcPr>
            <w:tcW w:w="880" w:type="dxa"/>
            <w:vAlign w:val="bottom"/>
          </w:tcPr>
          <w:p>
            <w:pPr>
              <w:jc w:val="center"/>
              <w:ind w:right="4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88"/>
              </w:rPr>
              <w:t>10.27</w:t>
            </w:r>
          </w:p>
        </w:tc>
        <w:tc>
          <w:tcPr>
            <w:tcW w:w="1220" w:type="dxa"/>
            <w:vAlign w:val="bottom"/>
          </w:tcPr>
          <w:p>
            <w:pPr>
              <w:jc w:val="right"/>
              <w:spacing w:after="0"/>
              <w:rPr>
                <w:sz w:val="20"/>
                <w:szCs w:val="20"/>
                <w:color w:val="auto"/>
              </w:rPr>
            </w:pPr>
            <w:r>
              <w:rPr>
                <w:rFonts w:ascii="Arial" w:cs="Arial" w:eastAsia="Arial" w:hAnsi="Arial"/>
                <w:sz w:val="18"/>
                <w:szCs w:val="18"/>
                <w:color w:val="auto"/>
              </w:rPr>
              <w:t>07/28/2021</w:t>
            </w:r>
          </w:p>
        </w:tc>
      </w:tr>
      <w:tr>
        <w:trPr>
          <w:trHeight w:val="648"/>
        </w:trPr>
        <w:tc>
          <w:tcPr>
            <w:tcW w:w="880" w:type="dxa"/>
            <w:vAlign w:val="bottom"/>
          </w:tcPr>
          <w:p>
            <w:pPr>
              <w:jc w:val="center"/>
              <w:ind w:right="430"/>
              <w:spacing w:after="0"/>
              <w:rPr>
                <w:sz w:val="20"/>
                <w:szCs w:val="20"/>
                <w:color w:val="auto"/>
              </w:rPr>
            </w:pPr>
            <w:r>
              <w:rPr>
                <w:rFonts w:ascii="Arial" w:cs="Arial" w:eastAsia="Arial" w:hAnsi="Arial"/>
                <w:sz w:val="18"/>
                <w:szCs w:val="18"/>
                <w:color w:val="auto"/>
                <w:w w:val="85"/>
              </w:rPr>
              <w:t>S-8</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91"/>
              </w:rPr>
              <w:t>99.6</w:t>
            </w:r>
          </w:p>
        </w:tc>
        <w:tc>
          <w:tcPr>
            <w:tcW w:w="1220" w:type="dxa"/>
            <w:vAlign w:val="bottom"/>
          </w:tcPr>
          <w:p>
            <w:pPr>
              <w:jc w:val="right"/>
              <w:spacing w:after="0"/>
              <w:rPr>
                <w:sz w:val="20"/>
                <w:szCs w:val="20"/>
                <w:color w:val="auto"/>
              </w:rPr>
            </w:pPr>
            <w:r>
              <w:rPr>
                <w:rFonts w:ascii="Arial" w:cs="Arial" w:eastAsia="Arial" w:hAnsi="Arial"/>
                <w:sz w:val="18"/>
                <w:szCs w:val="18"/>
                <w:color w:val="auto"/>
              </w:rPr>
              <w:t>09/27/2021</w:t>
            </w:r>
          </w:p>
        </w:tc>
      </w:tr>
      <w:tr>
        <w:trPr>
          <w:trHeight w:val="648"/>
        </w:trPr>
        <w:tc>
          <w:tcPr>
            <w:tcW w:w="880" w:type="dxa"/>
            <w:vAlign w:val="bottom"/>
          </w:tcPr>
          <w:p>
            <w:pPr>
              <w:jc w:val="center"/>
              <w:ind w:right="430"/>
              <w:spacing w:after="0"/>
              <w:rPr>
                <w:sz w:val="20"/>
                <w:szCs w:val="20"/>
                <w:color w:val="auto"/>
              </w:rPr>
            </w:pPr>
            <w:r>
              <w:rPr>
                <w:rFonts w:ascii="Arial" w:cs="Arial" w:eastAsia="Arial" w:hAnsi="Arial"/>
                <w:sz w:val="18"/>
                <w:szCs w:val="18"/>
                <w:color w:val="auto"/>
                <w:w w:val="89"/>
              </w:rPr>
              <w:t>10-Q</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88"/>
              </w:rPr>
              <w:t>10.26</w:t>
            </w:r>
          </w:p>
        </w:tc>
        <w:tc>
          <w:tcPr>
            <w:tcW w:w="1220" w:type="dxa"/>
            <w:vAlign w:val="bottom"/>
          </w:tcPr>
          <w:p>
            <w:pPr>
              <w:jc w:val="right"/>
              <w:spacing w:after="0"/>
              <w:rPr>
                <w:sz w:val="20"/>
                <w:szCs w:val="20"/>
                <w:color w:val="auto"/>
              </w:rPr>
            </w:pPr>
            <w:r>
              <w:rPr>
                <w:rFonts w:ascii="Arial" w:cs="Arial" w:eastAsia="Arial" w:hAnsi="Arial"/>
                <w:sz w:val="18"/>
                <w:szCs w:val="18"/>
                <w:color w:val="auto"/>
              </w:rPr>
              <w:t>11/15/2021</w:t>
            </w:r>
          </w:p>
        </w:tc>
      </w:tr>
      <w:tr>
        <w:trPr>
          <w:trHeight w:val="864"/>
        </w:trPr>
        <w:tc>
          <w:tcPr>
            <w:tcW w:w="880" w:type="dxa"/>
            <w:vAlign w:val="bottom"/>
          </w:tcPr>
          <w:p>
            <w:pPr>
              <w:jc w:val="center"/>
              <w:ind w:right="4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91"/>
              </w:rPr>
              <w:t>10.1</w:t>
            </w:r>
          </w:p>
        </w:tc>
        <w:tc>
          <w:tcPr>
            <w:tcW w:w="1220" w:type="dxa"/>
            <w:vAlign w:val="bottom"/>
          </w:tcPr>
          <w:p>
            <w:pPr>
              <w:jc w:val="right"/>
              <w:spacing w:after="0"/>
              <w:rPr>
                <w:sz w:val="20"/>
                <w:szCs w:val="20"/>
                <w:color w:val="auto"/>
              </w:rPr>
            </w:pPr>
            <w:r>
              <w:rPr>
                <w:rFonts w:ascii="Arial" w:cs="Arial" w:eastAsia="Arial" w:hAnsi="Arial"/>
                <w:sz w:val="18"/>
                <w:szCs w:val="18"/>
                <w:color w:val="auto"/>
              </w:rPr>
              <w:t>01/18/2022</w:t>
            </w:r>
          </w:p>
        </w:tc>
      </w:tr>
      <w:tr>
        <w:trPr>
          <w:trHeight w:val="864"/>
        </w:trPr>
        <w:tc>
          <w:tcPr>
            <w:tcW w:w="880" w:type="dxa"/>
            <w:vAlign w:val="bottom"/>
          </w:tcPr>
          <w:p>
            <w:pPr>
              <w:jc w:val="center"/>
              <w:ind w:right="4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91"/>
              </w:rPr>
              <w:t>10.2</w:t>
            </w:r>
          </w:p>
        </w:tc>
        <w:tc>
          <w:tcPr>
            <w:tcW w:w="1220" w:type="dxa"/>
            <w:vAlign w:val="bottom"/>
          </w:tcPr>
          <w:p>
            <w:pPr>
              <w:jc w:val="right"/>
              <w:spacing w:after="0"/>
              <w:rPr>
                <w:sz w:val="20"/>
                <w:szCs w:val="20"/>
                <w:color w:val="auto"/>
              </w:rPr>
            </w:pPr>
            <w:r>
              <w:rPr>
                <w:rFonts w:ascii="Arial" w:cs="Arial" w:eastAsia="Arial" w:hAnsi="Arial"/>
                <w:sz w:val="18"/>
                <w:szCs w:val="18"/>
                <w:color w:val="auto"/>
              </w:rPr>
              <w:t>01/18/2022</w:t>
            </w:r>
          </w:p>
        </w:tc>
      </w:tr>
      <w:tr>
        <w:trPr>
          <w:trHeight w:val="864"/>
        </w:trPr>
        <w:tc>
          <w:tcPr>
            <w:tcW w:w="880" w:type="dxa"/>
            <w:vAlign w:val="bottom"/>
          </w:tcPr>
          <w:p>
            <w:pPr>
              <w:jc w:val="center"/>
              <w:ind w:right="4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91"/>
              </w:rPr>
              <w:t>10.3</w:t>
            </w:r>
          </w:p>
        </w:tc>
        <w:tc>
          <w:tcPr>
            <w:tcW w:w="1220" w:type="dxa"/>
            <w:vAlign w:val="bottom"/>
          </w:tcPr>
          <w:p>
            <w:pPr>
              <w:jc w:val="right"/>
              <w:spacing w:after="0"/>
              <w:rPr>
                <w:sz w:val="20"/>
                <w:szCs w:val="20"/>
                <w:color w:val="auto"/>
              </w:rPr>
            </w:pPr>
            <w:r>
              <w:rPr>
                <w:rFonts w:ascii="Arial" w:cs="Arial" w:eastAsia="Arial" w:hAnsi="Arial"/>
                <w:sz w:val="18"/>
                <w:szCs w:val="18"/>
                <w:color w:val="auto"/>
              </w:rPr>
              <w:t>01/18/2022</w:t>
            </w:r>
          </w:p>
        </w:tc>
      </w:tr>
      <w:tr>
        <w:trPr>
          <w:trHeight w:val="864"/>
        </w:trPr>
        <w:tc>
          <w:tcPr>
            <w:tcW w:w="880" w:type="dxa"/>
            <w:vAlign w:val="bottom"/>
          </w:tcPr>
          <w:p>
            <w:pPr>
              <w:jc w:val="center"/>
              <w:ind w:right="4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91"/>
              </w:rPr>
              <w:t>10.4</w:t>
            </w:r>
          </w:p>
        </w:tc>
        <w:tc>
          <w:tcPr>
            <w:tcW w:w="1220" w:type="dxa"/>
            <w:vAlign w:val="bottom"/>
          </w:tcPr>
          <w:p>
            <w:pPr>
              <w:jc w:val="right"/>
              <w:spacing w:after="0"/>
              <w:rPr>
                <w:sz w:val="20"/>
                <w:szCs w:val="20"/>
                <w:color w:val="auto"/>
              </w:rPr>
            </w:pPr>
            <w:r>
              <w:rPr>
                <w:rFonts w:ascii="Arial" w:cs="Arial" w:eastAsia="Arial" w:hAnsi="Arial"/>
                <w:sz w:val="18"/>
                <w:szCs w:val="18"/>
                <w:color w:val="auto"/>
              </w:rPr>
              <w:t>01/18/2022</w:t>
            </w:r>
          </w:p>
        </w:tc>
      </w:tr>
      <w:tr>
        <w:trPr>
          <w:trHeight w:val="648"/>
        </w:trPr>
        <w:tc>
          <w:tcPr>
            <w:tcW w:w="880" w:type="dxa"/>
            <w:vAlign w:val="bottom"/>
          </w:tcPr>
          <w:p>
            <w:pPr>
              <w:jc w:val="center"/>
              <w:ind w:right="4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91"/>
              </w:rPr>
              <w:t>10.1</w:t>
            </w:r>
          </w:p>
        </w:tc>
        <w:tc>
          <w:tcPr>
            <w:tcW w:w="1220" w:type="dxa"/>
            <w:vAlign w:val="bottom"/>
          </w:tcPr>
          <w:p>
            <w:pPr>
              <w:jc w:val="right"/>
              <w:spacing w:after="0"/>
              <w:rPr>
                <w:sz w:val="20"/>
                <w:szCs w:val="20"/>
                <w:color w:val="auto"/>
              </w:rPr>
            </w:pPr>
            <w:r>
              <w:rPr>
                <w:rFonts w:ascii="Arial" w:cs="Arial" w:eastAsia="Arial" w:hAnsi="Arial"/>
                <w:sz w:val="18"/>
                <w:szCs w:val="18"/>
                <w:color w:val="auto"/>
              </w:rPr>
              <w:t>01/31/2022</w:t>
            </w:r>
          </w:p>
        </w:tc>
      </w:tr>
      <w:tr>
        <w:trPr>
          <w:trHeight w:val="648"/>
        </w:trPr>
        <w:tc>
          <w:tcPr>
            <w:tcW w:w="880" w:type="dxa"/>
            <w:vAlign w:val="bottom"/>
          </w:tcPr>
          <w:p>
            <w:pPr>
              <w:jc w:val="center"/>
              <w:ind w:right="430"/>
              <w:spacing w:after="0"/>
              <w:rPr>
                <w:sz w:val="20"/>
                <w:szCs w:val="20"/>
                <w:color w:val="auto"/>
              </w:rPr>
            </w:pPr>
            <w:r>
              <w:rPr>
                <w:rFonts w:ascii="Arial" w:cs="Arial" w:eastAsia="Arial" w:hAnsi="Arial"/>
                <w:sz w:val="18"/>
                <w:szCs w:val="18"/>
                <w:color w:val="auto"/>
                <w:w w:val="94"/>
              </w:rPr>
              <w:t>10-K</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88"/>
              </w:rPr>
              <w:t>10.30</w:t>
            </w:r>
          </w:p>
        </w:tc>
        <w:tc>
          <w:tcPr>
            <w:tcW w:w="1220" w:type="dxa"/>
            <w:vAlign w:val="bottom"/>
          </w:tcPr>
          <w:p>
            <w:pPr>
              <w:jc w:val="right"/>
              <w:spacing w:after="0"/>
              <w:rPr>
                <w:sz w:val="20"/>
                <w:szCs w:val="20"/>
                <w:color w:val="auto"/>
              </w:rPr>
            </w:pPr>
            <w:r>
              <w:rPr>
                <w:rFonts w:ascii="Arial" w:cs="Arial" w:eastAsia="Arial" w:hAnsi="Arial"/>
                <w:sz w:val="18"/>
                <w:szCs w:val="18"/>
                <w:color w:val="auto"/>
              </w:rPr>
              <w:t>03/14/2022</w:t>
            </w:r>
          </w:p>
        </w:tc>
      </w:tr>
      <w:tr>
        <w:trPr>
          <w:trHeight w:val="648"/>
        </w:trPr>
        <w:tc>
          <w:tcPr>
            <w:tcW w:w="880" w:type="dxa"/>
            <w:vAlign w:val="bottom"/>
          </w:tcPr>
          <w:p>
            <w:pPr>
              <w:jc w:val="center"/>
              <w:ind w:right="4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91"/>
              </w:rPr>
              <w:t>10.2</w:t>
            </w:r>
          </w:p>
        </w:tc>
        <w:tc>
          <w:tcPr>
            <w:tcW w:w="1220" w:type="dxa"/>
            <w:vAlign w:val="bottom"/>
          </w:tcPr>
          <w:p>
            <w:pPr>
              <w:jc w:val="right"/>
              <w:spacing w:after="0"/>
              <w:rPr>
                <w:sz w:val="20"/>
                <w:szCs w:val="20"/>
                <w:color w:val="auto"/>
              </w:rPr>
            </w:pPr>
            <w:r>
              <w:rPr>
                <w:rFonts w:ascii="Arial" w:cs="Arial" w:eastAsia="Arial" w:hAnsi="Arial"/>
                <w:sz w:val="18"/>
                <w:szCs w:val="18"/>
                <w:color w:val="auto"/>
              </w:rPr>
              <w:t>05/02/2022</w:t>
            </w:r>
          </w:p>
        </w:tc>
      </w:tr>
      <w:tr>
        <w:trPr>
          <w:trHeight w:val="432"/>
        </w:trPr>
        <w:tc>
          <w:tcPr>
            <w:tcW w:w="880" w:type="dxa"/>
            <w:vAlign w:val="bottom"/>
          </w:tcPr>
          <w:p>
            <w:pPr>
              <w:jc w:val="center"/>
              <w:ind w:right="4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91"/>
              </w:rPr>
              <w:t>10.1</w:t>
            </w:r>
          </w:p>
        </w:tc>
        <w:tc>
          <w:tcPr>
            <w:tcW w:w="1220" w:type="dxa"/>
            <w:vAlign w:val="bottom"/>
          </w:tcPr>
          <w:p>
            <w:pPr>
              <w:jc w:val="right"/>
              <w:spacing w:after="0"/>
              <w:rPr>
                <w:sz w:val="20"/>
                <w:szCs w:val="20"/>
                <w:color w:val="auto"/>
              </w:rPr>
            </w:pPr>
            <w:r>
              <w:rPr>
                <w:rFonts w:ascii="Arial" w:cs="Arial" w:eastAsia="Arial" w:hAnsi="Arial"/>
                <w:sz w:val="18"/>
                <w:szCs w:val="18"/>
                <w:color w:val="auto"/>
              </w:rPr>
              <w:t>05/02/2022</w:t>
            </w:r>
          </w:p>
        </w:tc>
      </w:tr>
      <w:tr>
        <w:trPr>
          <w:trHeight w:val="432"/>
        </w:trPr>
        <w:tc>
          <w:tcPr>
            <w:tcW w:w="880" w:type="dxa"/>
            <w:vAlign w:val="bottom"/>
          </w:tcPr>
          <w:p>
            <w:pPr>
              <w:jc w:val="center"/>
              <w:ind w:right="430"/>
              <w:spacing w:after="0"/>
              <w:rPr>
                <w:sz w:val="20"/>
                <w:szCs w:val="20"/>
                <w:color w:val="auto"/>
              </w:rPr>
            </w:pPr>
            <w:r>
              <w:rPr>
                <w:rFonts w:ascii="Arial" w:cs="Arial" w:eastAsia="Arial" w:hAnsi="Arial"/>
                <w:sz w:val="18"/>
                <w:szCs w:val="18"/>
                <w:color w:val="auto"/>
                <w:w w:val="94"/>
              </w:rPr>
              <w:t>10-K</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91"/>
              </w:rPr>
              <w:t>21.1</w:t>
            </w:r>
          </w:p>
        </w:tc>
        <w:tc>
          <w:tcPr>
            <w:tcW w:w="1220" w:type="dxa"/>
            <w:vAlign w:val="bottom"/>
          </w:tcPr>
          <w:p>
            <w:pPr>
              <w:jc w:val="right"/>
              <w:spacing w:after="0"/>
              <w:rPr>
                <w:sz w:val="20"/>
                <w:szCs w:val="20"/>
                <w:color w:val="auto"/>
              </w:rPr>
            </w:pPr>
            <w:r>
              <w:rPr>
                <w:rFonts w:ascii="Arial" w:cs="Arial" w:eastAsia="Arial" w:hAnsi="Arial"/>
                <w:sz w:val="18"/>
                <w:szCs w:val="18"/>
                <w:color w:val="auto"/>
              </w:rPr>
              <w:t>03/14/2022</w:t>
            </w:r>
          </w:p>
        </w:tc>
      </w:tr>
    </w:tbl>
    <w:p>
      <w:pPr>
        <w:sectPr>
          <w:pgSz w:w="11900" w:h="16838" w:orient="portrait"/>
          <w:cols w:equalWidth="0" w:num="2">
            <w:col w:w="5400" w:space="600"/>
            <w:col w:w="3959"/>
          </w:cols>
          <w:pgMar w:left="500" w:top="1440" w:right="1440" w:bottom="1440" w:gutter="0" w:footer="0" w:header="0"/>
        </w:sectPr>
      </w:pPr>
    </w:p>
    <w:bookmarkStart w:id="242" w:name="page243"/>
    <w:bookmarkEnd w:id="242"/>
    <w:p>
      <w:pPr>
        <w:spacing w:after="0" w:line="198" w:lineRule="exact"/>
        <w:rPr>
          <w:sz w:val="20"/>
          <w:szCs w:val="20"/>
          <w:color w:val="auto"/>
        </w:rPr>
      </w:pPr>
    </w:p>
    <w:p>
      <w:pPr>
        <w:ind w:left="1060" w:right="4200" w:hanging="735"/>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23.1</w:t>
      </w:r>
      <w:r>
        <w:rPr>
          <w:sz w:val="20"/>
          <w:szCs w:val="20"/>
          <w:color w:val="auto"/>
        </w:rPr>
        <w:tab/>
      </w:r>
      <w:hyperlink w:anchor="page250">
        <w:r>
          <w:rPr>
            <w:rFonts w:ascii="Arial" w:cs="Arial" w:eastAsia="Arial" w:hAnsi="Arial"/>
            <w:sz w:val="18"/>
            <w:szCs w:val="18"/>
            <w:u w:val="single" w:color="auto"/>
            <w:color w:val="0000FF"/>
          </w:rPr>
          <w:t>Consent of Ernst &amp; Young LLP, independent registered</w:t>
        </w:r>
      </w:hyperlink>
      <w:r>
        <w:rPr>
          <w:rFonts w:ascii="Arial" w:cs="Arial" w:eastAsia="Arial" w:hAnsi="Arial"/>
          <w:sz w:val="18"/>
          <w:szCs w:val="18"/>
          <w:u w:val="single" w:color="auto"/>
          <w:color w:val="0000FF"/>
        </w:rPr>
        <w:t xml:space="preserve"> </w:t>
      </w:r>
      <w:hyperlink w:anchor="page250">
        <w:r>
          <w:rPr>
            <w:rFonts w:ascii="Arial" w:cs="Arial" w:eastAsia="Arial" w:hAnsi="Arial"/>
            <w:sz w:val="18"/>
            <w:szCs w:val="18"/>
            <w:u w:val="single" w:color="auto"/>
            <w:color w:val="0000FF"/>
          </w:rPr>
          <w:t>accounting firm for Sema4 Holdings Corp.</w:t>
        </w:r>
      </w:hyperlink>
    </w:p>
    <w:p>
      <w:pPr>
        <w:spacing w:after="0" w:line="170" w:lineRule="exact"/>
        <w:rPr>
          <w:sz w:val="20"/>
          <w:szCs w:val="20"/>
          <w:color w:val="auto"/>
        </w:rPr>
      </w:pPr>
    </w:p>
    <w:p>
      <w:pPr>
        <w:ind w:left="320"/>
        <w:spacing w:after="0"/>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23.2</w:t>
      </w:r>
      <w:r>
        <w:rPr>
          <w:sz w:val="20"/>
          <w:szCs w:val="20"/>
          <w:color w:val="auto"/>
        </w:rPr>
        <w:tab/>
      </w:r>
      <w:hyperlink w:anchor="page248">
        <w:r>
          <w:rPr>
            <w:rFonts w:ascii="Arial" w:cs="Arial" w:eastAsia="Arial" w:hAnsi="Arial"/>
            <w:sz w:val="16"/>
            <w:szCs w:val="16"/>
            <w:u w:val="single" w:color="auto"/>
            <w:color w:val="0000FF"/>
          </w:rPr>
          <w:t>Consent of Fenwick &amp; West LLP (included as part of Exhibit</w:t>
        </w:r>
      </w:hyperlink>
    </w:p>
    <w:p>
      <w:pPr>
        <w:spacing w:after="0" w:line="23" w:lineRule="exact"/>
        <w:rPr>
          <w:sz w:val="20"/>
          <w:szCs w:val="20"/>
          <w:color w:val="auto"/>
        </w:rPr>
      </w:pPr>
    </w:p>
    <w:p>
      <w:pPr>
        <w:ind w:left="1060"/>
        <w:spacing w:after="0"/>
        <w:rPr>
          <w:rFonts w:ascii="Arial" w:cs="Arial" w:eastAsia="Arial" w:hAnsi="Arial"/>
          <w:sz w:val="18"/>
          <w:szCs w:val="18"/>
          <w:u w:val="single" w:color="auto"/>
          <w:color w:val="0000FF"/>
        </w:rPr>
      </w:pPr>
      <w:hyperlink w:anchor="page248">
        <w:r>
          <w:rPr>
            <w:rFonts w:ascii="Arial" w:cs="Arial" w:eastAsia="Arial" w:hAnsi="Arial"/>
            <w:sz w:val="18"/>
            <w:szCs w:val="18"/>
            <w:u w:val="single" w:color="auto"/>
            <w:color w:val="0000FF"/>
          </w:rPr>
          <w:t>5.1)</w:t>
        </w:r>
      </w:hyperlink>
    </w:p>
    <w:p>
      <w:pPr>
        <w:spacing w:after="0" w:line="211" w:lineRule="exact"/>
        <w:rPr>
          <w:sz w:val="20"/>
          <w:szCs w:val="20"/>
          <w:color w:val="auto"/>
        </w:rPr>
      </w:pPr>
    </w:p>
    <w:p>
      <w:pPr>
        <w:ind w:left="1060" w:right="4200" w:hanging="735"/>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23.3</w:t>
      </w:r>
      <w:r>
        <w:rPr>
          <w:sz w:val="20"/>
          <w:szCs w:val="20"/>
          <w:color w:val="auto"/>
        </w:rPr>
        <w:tab/>
      </w:r>
      <w:hyperlink w:anchor="page251">
        <w:r>
          <w:rPr>
            <w:rFonts w:ascii="Arial" w:cs="Arial" w:eastAsia="Arial" w:hAnsi="Arial"/>
            <w:sz w:val="18"/>
            <w:szCs w:val="18"/>
            <w:u w:val="single" w:color="auto"/>
            <w:color w:val="0000FF"/>
          </w:rPr>
          <w:t>Consent of Ernst &amp; Young LLP, independent auditors for</w:t>
        </w:r>
      </w:hyperlink>
      <w:r>
        <w:rPr>
          <w:rFonts w:ascii="Arial" w:cs="Arial" w:eastAsia="Arial" w:hAnsi="Arial"/>
          <w:sz w:val="18"/>
          <w:szCs w:val="18"/>
          <w:u w:val="single" w:color="auto"/>
          <w:color w:val="0000FF"/>
        </w:rPr>
        <w:t xml:space="preserve"> </w:t>
      </w:r>
      <w:hyperlink w:anchor="page251">
        <w:r>
          <w:rPr>
            <w:rFonts w:ascii="Arial" w:cs="Arial" w:eastAsia="Arial" w:hAnsi="Arial"/>
            <w:sz w:val="18"/>
            <w:szCs w:val="18"/>
            <w:u w:val="single" w:color="auto"/>
            <w:color w:val="0000FF"/>
          </w:rPr>
          <w:t>GeneDx, Inc.</w:t>
        </w:r>
      </w:hyperlink>
    </w:p>
    <w:p>
      <w:pPr>
        <w:spacing w:after="0" w:line="170" w:lineRule="exact"/>
        <w:rPr>
          <w:sz w:val="20"/>
          <w:szCs w:val="20"/>
          <w:color w:val="auto"/>
        </w:rPr>
      </w:pPr>
    </w:p>
    <w:p>
      <w:pPr>
        <w:ind w:left="320"/>
        <w:spacing w:after="0"/>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24.1</w:t>
      </w:r>
      <w:r>
        <w:rPr>
          <w:sz w:val="20"/>
          <w:szCs w:val="20"/>
          <w:color w:val="auto"/>
        </w:rPr>
        <w:tab/>
      </w:r>
      <w:hyperlink w:anchor="page245">
        <w:r>
          <w:rPr>
            <w:rFonts w:ascii="Arial" w:cs="Arial" w:eastAsia="Arial" w:hAnsi="Arial"/>
            <w:sz w:val="16"/>
            <w:szCs w:val="16"/>
            <w:u w:val="single" w:color="auto"/>
            <w:color w:val="0000FF"/>
          </w:rPr>
          <w:t>Power of Attorney (included on the signature page hereto)</w:t>
        </w:r>
      </w:hyperlink>
      <w:r>
        <w:rPr>
          <w:rFonts w:ascii="Arial" w:cs="Arial" w:eastAsia="Arial" w:hAnsi="Arial"/>
          <w:sz w:val="16"/>
          <w:szCs w:val="16"/>
          <w:color w:val="000000"/>
        </w:rPr>
        <w:t>.</w:t>
      </w:r>
    </w:p>
    <w:p>
      <w:pPr>
        <w:spacing w:after="0" w:line="225" w:lineRule="exact"/>
        <w:rPr>
          <w:sz w:val="20"/>
          <w:szCs w:val="20"/>
          <w:color w:val="auto"/>
        </w:rPr>
      </w:pPr>
    </w:p>
    <w:p>
      <w:pPr>
        <w:ind w:left="280"/>
        <w:spacing w:after="0"/>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107.1</w:t>
      </w:r>
      <w:r>
        <w:rPr>
          <w:sz w:val="20"/>
          <w:szCs w:val="20"/>
          <w:color w:val="auto"/>
        </w:rPr>
        <w:tab/>
      </w:r>
      <w:hyperlink w:anchor="page247">
        <w:r>
          <w:rPr>
            <w:rFonts w:ascii="Arial" w:cs="Arial" w:eastAsia="Arial" w:hAnsi="Arial"/>
            <w:sz w:val="16"/>
            <w:szCs w:val="16"/>
            <w:u w:val="single" w:color="auto"/>
            <w:color w:val="0000FF"/>
          </w:rPr>
          <w:t>Filing Fee Table</w:t>
        </w:r>
      </w:hyperlink>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81" w:lineRule="exact"/>
        <w:rPr>
          <w:sz w:val="20"/>
          <w:szCs w:val="20"/>
          <w:color w:val="auto"/>
        </w:rPr>
      </w:pPr>
    </w:p>
    <w:p>
      <w:pPr>
        <w:sectPr>
          <w:pgSz w:w="11900" w:h="16838" w:orient="portrait"/>
          <w:cols w:equalWidth="0" w:num="2">
            <w:col w:w="9800" w:space="720"/>
            <w:col w:w="720"/>
          </w:cols>
          <w:pgMar w:left="320" w:top="1440" w:right="339" w:bottom="1440" w:gutter="0" w:footer="0" w:header="0"/>
        </w:sectPr>
      </w:pPr>
    </w:p>
    <w:p>
      <w:pPr>
        <w:ind w:left="340" w:right="540" w:hanging="332"/>
        <w:spacing w:after="0" w:line="241" w:lineRule="auto"/>
        <w:tabs>
          <w:tab w:leader="none" w:pos="277"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Certain schedules and exhibits to this Exhibit have been omitted pursuant to Item 601(a)(5) or Item 601(b)(10)(iv), as applicable, of Regulation S-K. The Registrant agrees to furnish supplemental copies of all omitted exhibits and schedules to the SEC upon its request.</w:t>
      </w:r>
    </w:p>
    <w:p>
      <w:pPr>
        <w:spacing w:after="0" w:line="1" w:lineRule="exact"/>
        <w:rPr>
          <w:sz w:val="20"/>
          <w:szCs w:val="20"/>
          <w:color w:val="auto"/>
        </w:rPr>
      </w:pPr>
    </w:p>
    <w:p>
      <w:pPr>
        <w:ind w:right="7500" w:firstLine="8"/>
        <w:spacing w:after="0" w:line="255" w:lineRule="auto"/>
        <w:tabs>
          <w:tab w:leader="none" w:pos="252" w:val="left"/>
        </w:tabs>
        <w:numPr>
          <w:ilvl w:val="0"/>
          <w:numId w:val="118"/>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 * Previously filed.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 to file, during any period in which offers or sales are being made, a post-effective amendment to this registration statement:</w:t>
      </w:r>
    </w:p>
    <w:p>
      <w:pPr>
        <w:spacing w:after="0" w:line="171" w:lineRule="exact"/>
        <w:rPr>
          <w:sz w:val="20"/>
          <w:szCs w:val="20"/>
          <w:color w:val="auto"/>
        </w:rPr>
      </w:pPr>
    </w:p>
    <w:p>
      <w:pPr>
        <w:ind w:left="320" w:hanging="312"/>
        <w:spacing w:after="0"/>
        <w:tabs>
          <w:tab w:leader="none" w:pos="3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71" w:lineRule="exact"/>
        <w:rPr>
          <w:rFonts w:ascii="Arial" w:cs="Arial" w:eastAsia="Arial" w:hAnsi="Arial"/>
          <w:sz w:val="18"/>
          <w:szCs w:val="18"/>
          <w:color w:val="auto"/>
        </w:rPr>
      </w:pPr>
    </w:p>
    <w:p>
      <w:pPr>
        <w:jc w:val="both"/>
        <w:ind w:firstLine="8"/>
        <w:spacing w:after="0" w:line="273" w:lineRule="auto"/>
        <w:tabs>
          <w:tab w:leader="none" w:pos="3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23" w:lineRule="exact"/>
        <w:rPr>
          <w:rFonts w:ascii="Arial" w:cs="Arial" w:eastAsia="Arial" w:hAnsi="Arial"/>
          <w:sz w:val="17"/>
          <w:szCs w:val="17"/>
          <w:color w:val="auto"/>
        </w:rPr>
      </w:pPr>
    </w:p>
    <w:p>
      <w:pPr>
        <w:ind w:firstLine="8"/>
        <w:spacing w:after="0" w:line="277" w:lineRule="auto"/>
        <w:tabs>
          <w:tab w:leader="none" w:pos="31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provided, however, that paragraphs (i), (ii) and (iii) do not apply if the registration statement is on Form S-1 and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33" w:lineRule="exact"/>
        <w:rPr>
          <w:sz w:val="20"/>
          <w:szCs w:val="20"/>
          <w:color w:val="auto"/>
        </w:rPr>
      </w:pPr>
    </w:p>
    <w:p>
      <w:pPr>
        <w:jc w:val="both"/>
        <w:ind w:firstLine="8"/>
        <w:spacing w:after="0" w:line="342" w:lineRule="auto"/>
        <w:tabs>
          <w:tab w:leader="none" w:pos="31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9" w:lineRule="exact"/>
        <w:rPr>
          <w:rFonts w:ascii="Arial" w:cs="Arial" w:eastAsia="Arial" w:hAnsi="Arial"/>
          <w:sz w:val="16"/>
          <w:szCs w:val="16"/>
          <w:color w:val="auto"/>
        </w:rPr>
      </w:pPr>
    </w:p>
    <w:p>
      <w:pPr>
        <w:ind w:right="20" w:firstLine="8"/>
        <w:spacing w:after="0" w:line="277" w:lineRule="auto"/>
        <w:tabs>
          <w:tab w:leader="none" w:pos="31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6" w:lineRule="exact"/>
        <w:rPr>
          <w:rFonts w:ascii="Arial" w:cs="Arial" w:eastAsia="Arial" w:hAnsi="Arial"/>
          <w:sz w:val="18"/>
          <w:szCs w:val="18"/>
          <w:color w:val="auto"/>
        </w:rPr>
      </w:pPr>
    </w:p>
    <w:p>
      <w:pPr>
        <w:jc w:val="both"/>
        <w:ind w:firstLine="8"/>
        <w:spacing w:after="0" w:line="257" w:lineRule="auto"/>
        <w:tabs>
          <w:tab w:leader="none" w:pos="31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972820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43" w:name="page244"/>
    <w:bookmarkEnd w:id="243"/>
    <w:p>
      <w:pPr>
        <w:spacing w:after="0" w:line="14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130" w:lineRule="exact"/>
        <w:rPr>
          <w:sz w:val="20"/>
          <w:szCs w:val="20"/>
          <w:color w:val="auto"/>
        </w:rPr>
      </w:pPr>
    </w:p>
    <w:p>
      <w:pPr>
        <w:jc w:val="both"/>
        <w:ind w:firstLine="8"/>
        <w:spacing w:after="0" w:line="301" w:lineRule="auto"/>
        <w:tabs>
          <w:tab w:leader="none" w:pos="31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3" w:lineRule="exact"/>
        <w:rPr>
          <w:sz w:val="20"/>
          <w:szCs w:val="20"/>
          <w:color w:val="auto"/>
        </w:rPr>
      </w:pPr>
    </w:p>
    <w:p>
      <w:pPr>
        <w:ind w:left="320" w:hanging="312"/>
        <w:spacing w:after="0"/>
        <w:tabs>
          <w:tab w:leader="none" w:pos="3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1" w:lineRule="exact"/>
        <w:rPr>
          <w:rFonts w:ascii="Arial" w:cs="Arial" w:eastAsia="Arial" w:hAnsi="Arial"/>
          <w:sz w:val="18"/>
          <w:szCs w:val="18"/>
          <w:color w:val="auto"/>
        </w:rPr>
      </w:pPr>
    </w:p>
    <w:p>
      <w:pPr>
        <w:ind w:firstLine="8"/>
        <w:spacing w:after="0" w:line="277" w:lineRule="auto"/>
        <w:tabs>
          <w:tab w:leader="none" w:pos="31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16" w:lineRule="exact"/>
        <w:rPr>
          <w:rFonts w:ascii="Arial" w:cs="Arial" w:eastAsia="Arial" w:hAnsi="Arial"/>
          <w:sz w:val="18"/>
          <w:szCs w:val="18"/>
          <w:color w:val="auto"/>
        </w:rPr>
      </w:pPr>
    </w:p>
    <w:p>
      <w:pPr>
        <w:ind w:firstLine="8"/>
        <w:spacing w:after="0" w:line="277" w:lineRule="auto"/>
        <w:tabs>
          <w:tab w:leader="none" w:pos="32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an undersigned registrant;</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 and</w:t>
      </w:r>
    </w:p>
    <w:p>
      <w:pPr>
        <w:spacing w:after="0" w:line="171" w:lineRule="exact"/>
        <w:rPr>
          <w:rFonts w:ascii="Arial" w:cs="Arial" w:eastAsia="Arial" w:hAnsi="Arial"/>
          <w:sz w:val="18"/>
          <w:szCs w:val="18"/>
          <w:color w:val="auto"/>
        </w:rPr>
      </w:pPr>
    </w:p>
    <w:p>
      <w:pPr>
        <w:jc w:val="both"/>
        <w:ind w:firstLine="8"/>
        <w:spacing w:after="0" w:line="279" w:lineRule="auto"/>
        <w:tabs>
          <w:tab w:leader="none" w:pos="32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959485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post-effective amendment to registration statement on Form S-1 to be signed on its behalf by the undersigned, thereunto duly authorized, in the City of Stamford, State of Connecticut, on the 2nd day of May, 2022.</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SEMA4 HOLDINGS CORP.</w:t>
      </w:r>
    </w:p>
    <w:p>
      <w:pPr>
        <w:spacing w:after="0" w:line="243" w:lineRule="exact"/>
        <w:rPr>
          <w:sz w:val="20"/>
          <w:szCs w:val="20"/>
          <w:color w:val="auto"/>
        </w:rPr>
      </w:pPr>
    </w:p>
    <w:p>
      <w:pPr>
        <w:ind w:left="5580"/>
        <w:spacing w:after="0"/>
        <w:tabs>
          <w:tab w:leader="none" w:pos="6080" w:val="left"/>
        </w:tabs>
        <w:rPr>
          <w:sz w:val="20"/>
          <w:szCs w:val="20"/>
          <w:color w:val="auto"/>
        </w:rPr>
      </w:pPr>
      <w:r>
        <w:rPr>
          <w:rFonts w:ascii="Arial" w:cs="Arial" w:eastAsia="Arial" w:hAnsi="Arial"/>
          <w:sz w:val="18"/>
          <w:szCs w:val="18"/>
          <w:color w:val="auto"/>
        </w:rPr>
        <w:t>By:</w:t>
        <w:tab/>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Katherine Stueland</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1056005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Katherine Stueland, Daniel Clark and Jason Ryan, and each of them, as his or her true and lawful attorneys-in-fact, proxies and agents, each with full power of substitution and resubstitution and full power to act without the other,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post-effective amendment to registration statement on Form S-1 has been signed by the following persons in the capacities and on the dates indicated.</w:t>
      </w:r>
    </w:p>
    <w:p>
      <w:pPr>
        <w:sectPr>
          <w:pgSz w:w="11900" w:h="16838" w:orient="portrait"/>
          <w:cols w:equalWidth="0" w:num="1">
            <w:col w:w="11240"/>
          </w:cols>
          <w:pgMar w:left="320" w:top="1440" w:right="339" w:bottom="1440" w:gutter="0" w:footer="0" w:header="0"/>
        </w:sectPr>
      </w:pPr>
    </w:p>
    <w:p>
      <w:pPr>
        <w:spacing w:after="0" w:line="17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20281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8">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028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9">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Katherine Stueland</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Isaac 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0281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0">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Isaac Ro</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Shawn Assad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028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1">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Shawn Assad</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Jason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028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2">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Jason Ryan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Joshua Ruch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0281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3">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Joshua Ruch</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Dennis Charney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0281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4">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Dennis Charney</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Eli D.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0281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5">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Eli D. Casdin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Emily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0281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6">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Emily Leproust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Keith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0281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7">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Keith Meister</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Pellini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0281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8">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Pellini</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Richard C. Pfenniger,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20281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9">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C. Pfenniger, Jr.</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0281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0">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Eric Schadt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Rachel Sherman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0281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1">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Rachel Sherman</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420"/>
        <w:spacing w:after="0"/>
        <w:rPr>
          <w:sz w:val="20"/>
          <w:szCs w:val="20"/>
          <w:color w:val="auto"/>
        </w:rPr>
      </w:pPr>
      <w:r>
        <w:rPr>
          <w:rFonts w:ascii="Arial" w:cs="Arial" w:eastAsia="Arial" w:hAnsi="Arial"/>
          <w:sz w:val="16"/>
          <w:szCs w:val="16"/>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29210</wp:posOffset>
            </wp:positionV>
            <wp:extent cx="33604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2">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(Principal Executive Officer)</w:t>
      </w:r>
    </w:p>
    <w:p>
      <w:pPr>
        <w:spacing w:after="0" w:line="17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(Principal Financial Officer)</w:t>
      </w:r>
    </w:p>
    <w:p>
      <w:pPr>
        <w:spacing w:after="0" w:line="17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Chief Accounting Officer</w:t>
      </w:r>
    </w:p>
    <w:p>
      <w:pPr>
        <w:spacing w:after="0" w:line="2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(Principal Accounting Officer)</w:t>
      </w:r>
    </w:p>
    <w:p>
      <w:pPr>
        <w:spacing w:after="0" w:line="278"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Executive Chairman and Director</w:t>
      </w:r>
    </w:p>
    <w:p>
      <w:pPr>
        <w:spacing w:after="0" w:line="200" w:lineRule="exact"/>
        <w:rPr>
          <w:sz w:val="20"/>
          <w:szCs w:val="20"/>
          <w:color w:val="auto"/>
        </w:rPr>
      </w:pPr>
    </w:p>
    <w:p>
      <w:pPr>
        <w:spacing w:after="0" w:line="20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Director, President and Chief Research &amp; Development Officer</w:t>
      </w:r>
    </w:p>
    <w:p>
      <w:pPr>
        <w:spacing w:after="0" w:line="200" w:lineRule="exact"/>
        <w:rPr>
          <w:sz w:val="20"/>
          <w:szCs w:val="20"/>
          <w:color w:val="auto"/>
        </w:rPr>
      </w:pPr>
    </w:p>
    <w:p>
      <w:pPr>
        <w:spacing w:after="0" w:line="224"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680"/>
        <w:spacing w:after="0"/>
        <w:rPr>
          <w:sz w:val="20"/>
          <w:szCs w:val="20"/>
          <w:color w:val="auto"/>
        </w:rPr>
      </w:pP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29210</wp:posOffset>
            </wp:positionV>
            <wp:extent cx="14484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3">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May 2, 2022</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May 2, 2022</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May 2, 2022</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May 2, 2022</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May 2, 2022</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May 2, 2022</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May 2, 2022</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May 2, 2022</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May 2, 2022</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May 2, 2022</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May 2, 2022</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May 2, 2022</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May 2, 2022</w:t>
      </w:r>
    </w:p>
    <w:p>
      <w:pPr>
        <w:sectPr>
          <w:pgSz w:w="11900" w:h="16838" w:orient="portrait"/>
          <w:cols w:equalWidth="0" w:num="3">
            <w:col w:w="3220" w:space="720"/>
            <w:col w:w="4980" w:space="720"/>
            <w:col w:w="1600"/>
          </w:cols>
          <w:pgMar w:left="320" w:top="1440" w:right="339" w:bottom="1440" w:gutter="0" w:footer="0" w:header="0"/>
          <w:type w:val="continuous"/>
        </w:sectPr>
      </w:pPr>
    </w:p>
    <w:bookmarkStart w:id="246" w:name="page247"/>
    <w:bookmarkEnd w:id="246"/>
    <w:p>
      <w:pPr>
        <w:ind w:left="10220"/>
        <w:spacing w:after="0"/>
        <w:rPr>
          <w:sz w:val="20"/>
          <w:szCs w:val="20"/>
          <w:color w:val="auto"/>
        </w:rPr>
      </w:pPr>
      <w:r>
        <w:rPr>
          <w:rFonts w:ascii="Arial" w:cs="Arial" w:eastAsia="Arial" w:hAnsi="Arial"/>
          <w:sz w:val="17"/>
          <w:szCs w:val="17"/>
          <w:b w:val="1"/>
          <w:bCs w:val="1"/>
          <w:color w:val="auto"/>
        </w:rPr>
        <w:t>Exhibit 107.1</w:t>
      </w:r>
    </w:p>
    <w:p>
      <w:pPr>
        <w:jc w:val="center"/>
        <w:ind w:left="640"/>
        <w:spacing w:after="0"/>
        <w:rPr>
          <w:sz w:val="20"/>
          <w:szCs w:val="20"/>
          <w:color w:val="auto"/>
        </w:rPr>
      </w:pPr>
      <w:r>
        <w:rPr>
          <w:rFonts w:ascii="Arial" w:cs="Arial" w:eastAsia="Arial" w:hAnsi="Arial"/>
          <w:sz w:val="20"/>
          <w:szCs w:val="20"/>
          <w:color w:val="auto"/>
        </w:rPr>
        <w:t>Calculation of Filing Fee Tables</w:t>
      </w:r>
    </w:p>
    <w:p>
      <w:pPr>
        <w:spacing w:after="0" w:line="166" w:lineRule="exact"/>
        <w:rPr>
          <w:sz w:val="20"/>
          <w:szCs w:val="20"/>
          <w:color w:val="auto"/>
        </w:rPr>
      </w:pPr>
    </w:p>
    <w:p>
      <w:pPr>
        <w:jc w:val="center"/>
        <w:ind w:left="640"/>
        <w:spacing w:after="0"/>
        <w:rPr>
          <w:sz w:val="20"/>
          <w:szCs w:val="20"/>
          <w:color w:val="auto"/>
        </w:rPr>
      </w:pPr>
      <w:r>
        <w:rPr>
          <w:rFonts w:ascii="Arial" w:cs="Arial" w:eastAsia="Arial" w:hAnsi="Arial"/>
          <w:sz w:val="20"/>
          <w:szCs w:val="20"/>
          <w:color w:val="auto"/>
        </w:rPr>
        <w:t>Form S-1</w:t>
      </w:r>
    </w:p>
    <w:p>
      <w:pPr>
        <w:jc w:val="center"/>
        <w:ind w:left="640"/>
        <w:spacing w:after="0"/>
        <w:rPr>
          <w:sz w:val="20"/>
          <w:szCs w:val="20"/>
          <w:color w:val="auto"/>
        </w:rPr>
      </w:pPr>
      <w:r>
        <w:rPr>
          <w:rFonts w:ascii="Arial" w:cs="Arial" w:eastAsia="Arial" w:hAnsi="Arial"/>
          <w:sz w:val="16"/>
          <w:szCs w:val="16"/>
          <w:color w:val="auto"/>
        </w:rPr>
        <w:t>(Form Type)</w:t>
      </w:r>
    </w:p>
    <w:p>
      <w:pPr>
        <w:spacing w:after="0" w:line="180" w:lineRule="exact"/>
        <w:rPr>
          <w:sz w:val="20"/>
          <w:szCs w:val="20"/>
          <w:color w:val="auto"/>
        </w:rPr>
      </w:pPr>
    </w:p>
    <w:p>
      <w:pPr>
        <w:jc w:val="center"/>
        <w:ind w:left="640"/>
        <w:spacing w:after="0"/>
        <w:rPr>
          <w:sz w:val="20"/>
          <w:szCs w:val="20"/>
          <w:color w:val="auto"/>
        </w:rPr>
      </w:pPr>
      <w:r>
        <w:rPr>
          <w:rFonts w:ascii="Arial" w:cs="Arial" w:eastAsia="Arial" w:hAnsi="Arial"/>
          <w:sz w:val="20"/>
          <w:szCs w:val="20"/>
          <w:color w:val="auto"/>
        </w:rPr>
        <w:t>Sema4 Holdings Corp.</w:t>
      </w:r>
    </w:p>
    <w:p>
      <w:pPr>
        <w:jc w:val="center"/>
        <w:ind w:left="64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Newly Registered Securities</w:t>
      </w:r>
    </w:p>
    <w:p>
      <w:pPr>
        <w:spacing w:after="0" w:line="347"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2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Security Type</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Security Class</w:t>
            </w:r>
          </w:p>
        </w:tc>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Fee Calculation</w:t>
            </w:r>
          </w:p>
        </w:tc>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Amount To Be</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Maximum</w:t>
            </w: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Maximum Aggregate</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Fee Rate</w:t>
            </w:r>
          </w:p>
        </w:tc>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Amount of</w:t>
            </w:r>
          </w:p>
        </w:tc>
      </w:tr>
      <w:tr>
        <w:trPr>
          <w:trHeight w:val="162"/>
        </w:trPr>
        <w:tc>
          <w:tcPr>
            <w:tcW w:w="1200" w:type="dxa"/>
            <w:vAlign w:val="bottom"/>
            <w:tcBorders>
              <w:left w:val="single" w:sz="8" w:color="auto"/>
              <w:right w:val="single" w:sz="8" w:color="auto"/>
            </w:tcBorders>
          </w:tcPr>
          <w:p>
            <w:pPr>
              <w:spacing w:after="0"/>
              <w:rPr>
                <w:sz w:val="14"/>
                <w:szCs w:val="14"/>
                <w:color w:val="auto"/>
              </w:rPr>
            </w:pPr>
          </w:p>
        </w:tc>
        <w:tc>
          <w:tcPr>
            <w:tcW w:w="12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7"/>
              </w:rPr>
              <w:t>Title</w:t>
            </w:r>
          </w:p>
        </w:tc>
        <w:tc>
          <w:tcPr>
            <w:tcW w:w="14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2"/>
              </w:rPr>
              <w:t>Rule</w:t>
            </w:r>
          </w:p>
        </w:tc>
        <w:tc>
          <w:tcPr>
            <w:tcW w:w="15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4"/>
                <w:szCs w:val="14"/>
                <w:b w:val="1"/>
                <w:bCs w:val="1"/>
                <w:color w:val="auto"/>
                <w:w w:val="98"/>
              </w:rPr>
              <w:t>Registered</w:t>
            </w:r>
            <w:r>
              <w:rPr>
                <w:rFonts w:ascii="Arial" w:cs="Arial" w:eastAsia="Arial" w:hAnsi="Arial"/>
                <w:sz w:val="18"/>
                <w:szCs w:val="18"/>
                <w:b w:val="1"/>
                <w:bCs w:val="1"/>
                <w:color w:val="auto"/>
                <w:w w:val="98"/>
                <w:vertAlign w:val="superscript"/>
              </w:rPr>
              <w:t>(1)</w:t>
            </w:r>
          </w:p>
        </w:tc>
        <w:tc>
          <w:tcPr>
            <w:tcW w:w="13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2"/>
              </w:rPr>
              <w:t>Offering Price</w:t>
            </w:r>
          </w:p>
        </w:tc>
        <w:tc>
          <w:tcPr>
            <w:tcW w:w="19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4"/>
              </w:rPr>
              <w:t>Offering Price</w:t>
            </w:r>
          </w:p>
        </w:tc>
        <w:tc>
          <w:tcPr>
            <w:tcW w:w="122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0"/>
              </w:rPr>
              <w:t>Registration Fee</w:t>
            </w: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Per Share</w:t>
            </w:r>
          </w:p>
        </w:tc>
        <w:tc>
          <w:tcPr>
            <w:tcW w:w="19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166"/>
        </w:trPr>
        <w:tc>
          <w:tcPr>
            <w:tcW w:w="1200" w:type="dxa"/>
            <w:vAlign w:val="bottom"/>
            <w:tcBorders>
              <w:left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b w:val="1"/>
                <w:bCs w:val="1"/>
                <w:color w:val="auto"/>
                <w:w w:val="93"/>
              </w:rPr>
              <w:t>Equity</w:t>
            </w:r>
          </w:p>
        </w:tc>
        <w:tc>
          <w:tcPr>
            <w:tcW w:w="12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6"/>
                <w:szCs w:val="16"/>
                <w:color w:val="auto"/>
                <w:w w:val="93"/>
              </w:rPr>
              <w:t>Class A Common</w:t>
            </w:r>
          </w:p>
        </w:tc>
        <w:tc>
          <w:tcPr>
            <w:tcW w:w="140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6"/>
                <w:szCs w:val="16"/>
                <w:color w:val="auto"/>
                <w:w w:val="91"/>
              </w:rPr>
              <w:t>Rule 457(c) and</w:t>
            </w:r>
          </w:p>
        </w:tc>
        <w:tc>
          <w:tcPr>
            <w:tcW w:w="152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5"/>
                <w:szCs w:val="15"/>
                <w:color w:val="auto"/>
                <w:w w:val="95"/>
              </w:rPr>
              <w:t>160,864,198</w:t>
            </w:r>
            <w:r>
              <w:rPr>
                <w:rFonts w:ascii="Arial" w:cs="Arial" w:eastAsia="Arial" w:hAnsi="Arial"/>
                <w:sz w:val="19"/>
                <w:szCs w:val="19"/>
                <w:color w:val="auto"/>
                <w:w w:val="95"/>
                <w:vertAlign w:val="superscript"/>
              </w:rPr>
              <w:t>(2)</w:t>
            </w:r>
          </w:p>
        </w:tc>
        <w:tc>
          <w:tcPr>
            <w:tcW w:w="130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5"/>
                <w:szCs w:val="15"/>
                <w:color w:val="auto"/>
                <w:w w:val="94"/>
              </w:rPr>
              <w:t>$2.18</w:t>
            </w:r>
            <w:r>
              <w:rPr>
                <w:rFonts w:ascii="Arial" w:cs="Arial" w:eastAsia="Arial" w:hAnsi="Arial"/>
                <w:sz w:val="19"/>
                <w:szCs w:val="19"/>
                <w:color w:val="auto"/>
                <w:w w:val="94"/>
                <w:vertAlign w:val="superscript"/>
              </w:rPr>
              <w:t>(3)</w:t>
            </w:r>
          </w:p>
        </w:tc>
        <w:tc>
          <w:tcPr>
            <w:tcW w:w="1940" w:type="dxa"/>
            <w:vAlign w:val="bottom"/>
            <w:tcBorders>
              <w:right w:val="single" w:sz="8" w:color="auto"/>
            </w:tcBorders>
          </w:tcPr>
          <w:p>
            <w:pPr>
              <w:jc w:val="center"/>
              <w:ind w:right="281"/>
              <w:spacing w:after="0" w:line="165" w:lineRule="exact"/>
              <w:rPr>
                <w:sz w:val="20"/>
                <w:szCs w:val="20"/>
                <w:color w:val="auto"/>
              </w:rPr>
            </w:pPr>
            <w:r>
              <w:rPr>
                <w:rFonts w:ascii="Arial" w:cs="Arial" w:eastAsia="Arial" w:hAnsi="Arial"/>
                <w:sz w:val="15"/>
                <w:szCs w:val="15"/>
                <w:color w:val="auto"/>
              </w:rPr>
              <w:t>$350,683,951.64</w:t>
            </w:r>
            <w:r>
              <w:rPr>
                <w:rFonts w:ascii="Arial" w:cs="Arial" w:eastAsia="Arial" w:hAnsi="Arial"/>
                <w:sz w:val="19"/>
                <w:szCs w:val="19"/>
                <w:color w:val="auto"/>
                <w:vertAlign w:val="superscript"/>
              </w:rPr>
              <w:t>(3)</w:t>
            </w:r>
          </w:p>
        </w:tc>
        <w:tc>
          <w:tcPr>
            <w:tcW w:w="1220" w:type="dxa"/>
            <w:vAlign w:val="bottom"/>
            <w:tcBorders>
              <w:right w:val="single" w:sz="8" w:color="auto"/>
            </w:tcBorders>
          </w:tcPr>
          <w:p>
            <w:pPr>
              <w:jc w:val="right"/>
              <w:ind w:right="199"/>
              <w:spacing w:after="0" w:line="166" w:lineRule="exact"/>
              <w:rPr>
                <w:sz w:val="20"/>
                <w:szCs w:val="20"/>
                <w:color w:val="auto"/>
              </w:rPr>
            </w:pPr>
            <w:r>
              <w:rPr>
                <w:rFonts w:ascii="Arial" w:cs="Arial" w:eastAsia="Arial" w:hAnsi="Arial"/>
                <w:sz w:val="16"/>
                <w:szCs w:val="16"/>
                <w:color w:val="auto"/>
              </w:rPr>
              <w:t>0.0000927</w:t>
            </w:r>
          </w:p>
        </w:tc>
        <w:tc>
          <w:tcPr>
            <w:tcW w:w="140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6"/>
                <w:szCs w:val="16"/>
                <w:color w:val="auto"/>
                <w:w w:val="89"/>
              </w:rPr>
              <w:t>$32,508.41</w:t>
            </w:r>
          </w:p>
        </w:tc>
      </w:tr>
      <w:tr>
        <w:trPr>
          <w:trHeight w:val="162"/>
        </w:trPr>
        <w:tc>
          <w:tcPr>
            <w:tcW w:w="1200" w:type="dxa"/>
            <w:vAlign w:val="bottom"/>
            <w:tcBorders>
              <w:left w:val="single" w:sz="8" w:color="auto"/>
              <w:right w:val="single" w:sz="8" w:color="auto"/>
            </w:tcBorders>
          </w:tcPr>
          <w:p>
            <w:pPr>
              <w:spacing w:after="0"/>
              <w:rPr>
                <w:sz w:val="14"/>
                <w:szCs w:val="14"/>
                <w:color w:val="auto"/>
              </w:rPr>
            </w:pPr>
          </w:p>
        </w:tc>
        <w:tc>
          <w:tcPr>
            <w:tcW w:w="12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0"/>
              </w:rPr>
              <w:t>Stock, par value</w:t>
            </w:r>
          </w:p>
        </w:tc>
        <w:tc>
          <w:tcPr>
            <w:tcW w:w="14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3"/>
              </w:rPr>
              <w:t>Rule 457(h)</w:t>
            </w:r>
          </w:p>
        </w:tc>
        <w:tc>
          <w:tcPr>
            <w:tcW w:w="152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r>
      <w:tr>
        <w:trPr>
          <w:trHeight w:val="219"/>
        </w:trPr>
        <w:tc>
          <w:tcPr>
            <w:tcW w:w="1200" w:type="dxa"/>
            <w:vAlign w:val="bottom"/>
            <w:tcBorders>
              <w:left w:val="single" w:sz="8" w:color="auto"/>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$0.0001 per share</w:t>
            </w:r>
          </w:p>
        </w:tc>
        <w:tc>
          <w:tcPr>
            <w:tcW w:w="140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r>
      <w:tr>
        <w:trPr>
          <w:trHeight w:val="223"/>
        </w:trPr>
        <w:tc>
          <w:tcPr>
            <w:tcW w:w="1200" w:type="dxa"/>
            <w:vAlign w:val="bottom"/>
            <w:tcBorders>
              <w:left w:val="single" w:sz="8" w:color="auto"/>
              <w:bottom w:val="single" w:sz="8" w:color="auto"/>
            </w:tcBorders>
          </w:tcPr>
          <w:p>
            <w:pPr>
              <w:spacing w:after="0"/>
              <w:rPr>
                <w:sz w:val="19"/>
                <w:szCs w:val="19"/>
                <w:color w:val="auto"/>
              </w:rPr>
            </w:pPr>
          </w:p>
        </w:tc>
        <w:tc>
          <w:tcPr>
            <w:tcW w:w="2680" w:type="dxa"/>
            <w:vAlign w:val="bottom"/>
            <w:tcBorders>
              <w:bottom w:val="single" w:sz="8" w:color="auto"/>
            </w:tcBorders>
            <w:gridSpan w:val="2"/>
          </w:tcPr>
          <w:p>
            <w:pPr>
              <w:jc w:val="center"/>
              <w:ind w:left="219"/>
              <w:spacing w:after="0"/>
              <w:rPr>
                <w:sz w:val="20"/>
                <w:szCs w:val="20"/>
                <w:color w:val="auto"/>
              </w:rPr>
            </w:pPr>
            <w:r>
              <w:rPr>
                <w:rFonts w:ascii="Arial" w:cs="Arial" w:eastAsia="Arial" w:hAnsi="Arial"/>
                <w:sz w:val="16"/>
                <w:szCs w:val="16"/>
                <w:b w:val="1"/>
                <w:bCs w:val="1"/>
                <w:color w:val="auto"/>
                <w:w w:val="92"/>
              </w:rPr>
              <w:t>Total Offering Amounts</w:t>
            </w:r>
          </w:p>
        </w:tc>
        <w:tc>
          <w:tcPr>
            <w:tcW w:w="15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jc w:val="right"/>
              <w:ind w:right="361"/>
              <w:spacing w:after="0"/>
              <w:rPr>
                <w:sz w:val="20"/>
                <w:szCs w:val="20"/>
                <w:color w:val="auto"/>
              </w:rPr>
            </w:pPr>
            <w:r>
              <w:rPr>
                <w:rFonts w:ascii="Arial" w:cs="Arial" w:eastAsia="Arial" w:hAnsi="Arial"/>
                <w:sz w:val="16"/>
                <w:szCs w:val="16"/>
                <w:color w:val="auto"/>
              </w:rPr>
              <w:t>$350,683,951.64</w:t>
            </w:r>
          </w:p>
        </w:tc>
        <w:tc>
          <w:tcPr>
            <w:tcW w:w="122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$32,508.41</w:t>
            </w:r>
          </w:p>
        </w:tc>
      </w:tr>
      <w:tr>
        <w:trPr>
          <w:trHeight w:val="279"/>
        </w:trPr>
        <w:tc>
          <w:tcPr>
            <w:tcW w:w="1200" w:type="dxa"/>
            <w:vAlign w:val="bottom"/>
            <w:tcBorders>
              <w:left w:val="single" w:sz="8" w:color="auto"/>
            </w:tcBorders>
          </w:tcPr>
          <w:p>
            <w:pPr>
              <w:spacing w:after="0"/>
              <w:rPr>
                <w:sz w:val="24"/>
                <w:szCs w:val="24"/>
                <w:color w:val="auto"/>
              </w:rPr>
            </w:pPr>
          </w:p>
        </w:tc>
        <w:tc>
          <w:tcPr>
            <w:tcW w:w="2680" w:type="dxa"/>
            <w:vAlign w:val="bottom"/>
            <w:gridSpan w:val="2"/>
          </w:tcPr>
          <w:p>
            <w:pPr>
              <w:jc w:val="center"/>
              <w:ind w:left="239"/>
              <w:spacing w:after="0"/>
              <w:rPr>
                <w:sz w:val="20"/>
                <w:szCs w:val="20"/>
                <w:color w:val="auto"/>
              </w:rPr>
            </w:pPr>
            <w:r>
              <w:rPr>
                <w:rFonts w:ascii="Arial" w:cs="Arial" w:eastAsia="Arial" w:hAnsi="Arial"/>
                <w:sz w:val="16"/>
                <w:szCs w:val="16"/>
                <w:b w:val="1"/>
                <w:bCs w:val="1"/>
                <w:color w:val="auto"/>
                <w:w w:val="87"/>
              </w:rPr>
              <w:t>Total Fee Offsets</w:t>
            </w:r>
            <w:r>
              <w:rPr>
                <w:rFonts w:ascii="Arial" w:cs="Arial" w:eastAsia="Arial" w:hAnsi="Arial"/>
                <w:sz w:val="21"/>
                <w:szCs w:val="21"/>
                <w:b w:val="1"/>
                <w:bCs w:val="1"/>
                <w:color w:val="auto"/>
                <w:w w:val="87"/>
                <w:vertAlign w:val="superscript"/>
              </w:rPr>
              <w:t>(4)</w:t>
            </w:r>
          </w:p>
        </w:tc>
        <w:tc>
          <w:tcPr>
            <w:tcW w:w="152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r>
        <w:trPr>
          <w:trHeight w:val="52"/>
        </w:trPr>
        <w:tc>
          <w:tcPr>
            <w:tcW w:w="1200" w:type="dxa"/>
            <w:vAlign w:val="bottom"/>
            <w:tcBorders>
              <w:left w:val="single" w:sz="8" w:color="auto"/>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23"/>
        </w:trPr>
        <w:tc>
          <w:tcPr>
            <w:tcW w:w="1200" w:type="dxa"/>
            <w:vAlign w:val="bottom"/>
            <w:tcBorders>
              <w:left w:val="single" w:sz="8" w:color="auto"/>
              <w:bottom w:val="single" w:sz="8" w:color="auto"/>
            </w:tcBorders>
          </w:tcPr>
          <w:p>
            <w:pPr>
              <w:spacing w:after="0"/>
              <w:rPr>
                <w:sz w:val="19"/>
                <w:szCs w:val="19"/>
                <w:color w:val="auto"/>
              </w:rPr>
            </w:pPr>
          </w:p>
        </w:tc>
        <w:tc>
          <w:tcPr>
            <w:tcW w:w="2680" w:type="dxa"/>
            <w:vAlign w:val="bottom"/>
            <w:tcBorders>
              <w:bottom w:val="single" w:sz="8" w:color="auto"/>
            </w:tcBorders>
            <w:gridSpan w:val="2"/>
          </w:tcPr>
          <w:p>
            <w:pPr>
              <w:jc w:val="center"/>
              <w:ind w:left="239"/>
              <w:spacing w:after="0"/>
              <w:rPr>
                <w:sz w:val="20"/>
                <w:szCs w:val="20"/>
                <w:color w:val="auto"/>
              </w:rPr>
            </w:pPr>
            <w:r>
              <w:rPr>
                <w:rFonts w:ascii="Arial" w:cs="Arial" w:eastAsia="Arial" w:hAnsi="Arial"/>
                <w:sz w:val="16"/>
                <w:szCs w:val="16"/>
                <w:b w:val="1"/>
                <w:bCs w:val="1"/>
                <w:color w:val="auto"/>
                <w:w w:val="90"/>
              </w:rPr>
              <w:t>Net Fee Due</w:t>
            </w:r>
          </w:p>
        </w:tc>
        <w:tc>
          <w:tcPr>
            <w:tcW w:w="15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$32,508.41</w:t>
            </w:r>
          </w:p>
        </w:tc>
      </w:tr>
    </w:tbl>
    <w:p>
      <w:pPr>
        <w:spacing w:after="0" w:line="314" w:lineRule="exact"/>
        <w:rPr>
          <w:sz w:val="20"/>
          <w:szCs w:val="20"/>
          <w:color w:val="auto"/>
        </w:rPr>
      </w:pPr>
    </w:p>
    <w:p>
      <w:pPr>
        <w:jc w:val="both"/>
        <w:ind w:left="660" w:right="20" w:hanging="652"/>
        <w:spacing w:after="0" w:line="225" w:lineRule="auto"/>
        <w:tabs>
          <w:tab w:leader="none" w:pos="6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Pursuant to Rule 416(a) of the Securities Act of 1933, as amended (the “Securities Act”), this Registration Statement also covers such additional and indeterminate number of securities as may become issuable by reason of any stock dividend, stock split, recapitalization or any other similar transaction effected without Sema4 Holdings Corp.’s (the “Registrant”) receipt of consideration which results in an increase in the number of outstanding shares of Class A common stock, par value $0.0001 per share (the “Class A common stock”) of the Registrant.</w:t>
      </w:r>
    </w:p>
    <w:p>
      <w:pPr>
        <w:spacing w:after="0" w:line="201" w:lineRule="exact"/>
        <w:rPr>
          <w:rFonts w:ascii="Arial" w:cs="Arial" w:eastAsia="Arial" w:hAnsi="Arial"/>
          <w:sz w:val="16"/>
          <w:szCs w:val="16"/>
          <w:color w:val="auto"/>
        </w:rPr>
      </w:pPr>
    </w:p>
    <w:p>
      <w:pPr>
        <w:jc w:val="both"/>
        <w:ind w:left="660" w:right="20" w:hanging="652"/>
        <w:spacing w:after="0" w:line="222" w:lineRule="auto"/>
        <w:tabs>
          <w:tab w:leader="none" w:pos="6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number of shares of Class A common stock being registered represents (i) up to 80,000,000 shares of the Registrant’s Class A common stock issued to OPKO Health, Inc. (“OPKO”) as a portion of the consideration for the Acquisition (as defined in the Registration Statement), (ii) up to 30,864,198 shares of the Registrant’s Class A common stock that may be issuable to OPKO in connection with the achievement of certain revenue-based milestones for each of the fiscal years ending December 31, 2022 and December 31, 2023, and (iii) up to 50,000,000 shares of the Registrant’s Class A common stock issued in a private placement pursuant to subscription agreements each entered into on January 14, 2022.</w:t>
      </w:r>
    </w:p>
    <w:p>
      <w:pPr>
        <w:spacing w:after="0" w:line="202" w:lineRule="exact"/>
        <w:rPr>
          <w:rFonts w:ascii="Arial" w:cs="Arial" w:eastAsia="Arial" w:hAnsi="Arial"/>
          <w:sz w:val="16"/>
          <w:szCs w:val="16"/>
          <w:color w:val="auto"/>
        </w:rPr>
      </w:pPr>
    </w:p>
    <w:p>
      <w:pPr>
        <w:ind w:left="660" w:right="20" w:hanging="652"/>
        <w:spacing w:after="0" w:line="309" w:lineRule="auto"/>
        <w:tabs>
          <w:tab w:leader="none" w:pos="66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Estimated pursuant to Rule 457(c) and Rule 457(h) under the Securities Act solely for the purpose of calculating the registration fee. The price of $2.18 per share represents the average high and low sales prices of the Class A common stock of the Registrant as quoted on The Nasdaq Stock Market on April 25, 2022.</w:t>
      </w:r>
    </w:p>
    <w:p>
      <w:pPr>
        <w:spacing w:after="0" w:line="152" w:lineRule="exact"/>
        <w:rPr>
          <w:rFonts w:ascii="Arial" w:cs="Arial" w:eastAsia="Arial" w:hAnsi="Arial"/>
          <w:sz w:val="14"/>
          <w:szCs w:val="14"/>
          <w:color w:val="auto"/>
        </w:rPr>
      </w:pPr>
    </w:p>
    <w:p>
      <w:pPr>
        <w:ind w:left="660" w:hanging="652"/>
        <w:spacing w:after="0"/>
        <w:tabs>
          <w:tab w:leader="none" w:pos="6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Registrant does not have any fee offsets.</w:t>
      </w:r>
    </w:p>
    <w:p>
      <w:pPr>
        <w:sectPr>
          <w:pgSz w:w="11900" w:h="16838" w:orient="portrait"/>
          <w:cols w:equalWidth="0" w:num="1">
            <w:col w:w="11260"/>
          </w:cols>
          <w:pgMar w:left="320" w:top="1401" w:right="31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900430</wp:posOffset>
            </wp:positionV>
            <wp:extent cx="5186045" cy="6597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4">
                      <a:extLst>
                        <a:ext uri="{28A0092B-C50C-407E-A947-70E740481C1C}"/>
                      </a:extLst>
                    </a:blip>
                    <a:srcRect/>
                    <a:stretch>
                      <a:fillRect/>
                    </a:stretch>
                  </pic:blipFill>
                  <pic:spPr bwMode="auto">
                    <a:xfrm>
                      <a:off x="0" y="0"/>
                      <a:ext cx="518604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color w:val="auto"/>
        </w:rPr>
        <w:t>May 2, 2022</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color w:val="auto"/>
        </w:rPr>
        <w:t>Sema4 Holdings Corp.</w:t>
      </w:r>
    </w:p>
    <w:p>
      <w:pPr>
        <w:spacing w:after="0" w:line="197" w:lineRule="auto"/>
        <w:rPr>
          <w:sz w:val="20"/>
          <w:szCs w:val="20"/>
          <w:color w:val="auto"/>
        </w:rPr>
      </w:pPr>
      <w:r>
        <w:rPr>
          <w:rFonts w:ascii="Arial" w:cs="Arial" w:eastAsia="Arial" w:hAnsi="Arial"/>
          <w:sz w:val="20"/>
          <w:szCs w:val="20"/>
          <w:color w:val="auto"/>
        </w:rPr>
        <w:t>333 Ludlow Street, North Tower, 8th Floor</w:t>
      </w:r>
    </w:p>
    <w:p>
      <w:pPr>
        <w:spacing w:after="0"/>
        <w:rPr>
          <w:sz w:val="20"/>
          <w:szCs w:val="20"/>
          <w:color w:val="auto"/>
        </w:rPr>
      </w:pPr>
      <w:r>
        <w:rPr>
          <w:rFonts w:ascii="Arial" w:cs="Arial" w:eastAsia="Arial" w:hAnsi="Arial"/>
          <w:sz w:val="20"/>
          <w:szCs w:val="20"/>
          <w:color w:val="auto"/>
        </w:rPr>
        <w:t>Stamford, Connecticut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48" w:lineRule="exact"/>
        <w:rPr>
          <w:sz w:val="20"/>
          <w:szCs w:val="20"/>
          <w:color w:val="auto"/>
        </w:rPr>
      </w:pPr>
    </w:p>
    <w:p>
      <w:pPr>
        <w:jc w:val="both"/>
        <w:ind w:firstLine="441"/>
        <w:spacing w:after="0" w:line="225" w:lineRule="auto"/>
        <w:rPr>
          <w:sz w:val="20"/>
          <w:szCs w:val="20"/>
          <w:color w:val="auto"/>
        </w:rPr>
      </w:pPr>
      <w:r>
        <w:rPr>
          <w:rFonts w:ascii="Arial" w:cs="Arial" w:eastAsia="Arial" w:hAnsi="Arial"/>
          <w:sz w:val="18"/>
          <w:szCs w:val="18"/>
          <w:color w:val="auto"/>
        </w:rPr>
        <w:t>At your request, we have examined the Registration Statement on Form S-1 filed by Sema4 Holdings Corp.,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on May 2, 2022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in connection with the registration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of the offer and resale by the selling stockholders defined and listed in the Registration Statement (the “</w:t>
      </w:r>
      <w:r>
        <w:rPr>
          <w:rFonts w:ascii="Arial" w:cs="Arial" w:eastAsia="Arial" w:hAnsi="Arial"/>
          <w:sz w:val="18"/>
          <w:szCs w:val="18"/>
          <w:b w:val="1"/>
          <w:bCs w:val="1"/>
          <w:i w:val="1"/>
          <w:iCs w:val="1"/>
          <w:color w:val="auto"/>
        </w:rPr>
        <w:t>Selling Stockholders</w:t>
      </w:r>
      <w:r>
        <w:rPr>
          <w:rFonts w:ascii="Arial" w:cs="Arial" w:eastAsia="Arial" w:hAnsi="Arial"/>
          <w:sz w:val="18"/>
          <w:szCs w:val="18"/>
          <w:color w:val="auto"/>
        </w:rPr>
        <w:t>”) of up to an aggregate of up to 160,864,198 shares of the Company’s Class A common stock, par value $0.0001 per share (the “</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consisting of (i) up to 80,000,000 shares (the “</w:t>
      </w:r>
      <w:r>
        <w:rPr>
          <w:rFonts w:ascii="Arial" w:cs="Arial" w:eastAsia="Arial" w:hAnsi="Arial"/>
          <w:sz w:val="18"/>
          <w:szCs w:val="18"/>
          <w:b w:val="1"/>
          <w:bCs w:val="1"/>
          <w:i w:val="1"/>
          <w:iCs w:val="1"/>
          <w:color w:val="auto"/>
        </w:rPr>
        <w:t>Merger Shares</w:t>
      </w:r>
      <w:r>
        <w:rPr>
          <w:rFonts w:ascii="Arial" w:cs="Arial" w:eastAsia="Arial" w:hAnsi="Arial"/>
          <w:sz w:val="18"/>
          <w:szCs w:val="18"/>
          <w:color w:val="auto"/>
        </w:rPr>
        <w:t>”) issued pursuant to that certain Agreement and Plan of Merger, dated January 14, 2022 (as amended, the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in connection with the consummation of the Company’s acquisition of GeneDx, Inc., as described in more detail in the Registration Statement; (ii) up to 30,864,198 shares (the “</w:t>
      </w:r>
      <w:r>
        <w:rPr>
          <w:rFonts w:ascii="Arial" w:cs="Arial" w:eastAsia="Arial" w:hAnsi="Arial"/>
          <w:sz w:val="18"/>
          <w:szCs w:val="18"/>
          <w:b w:val="1"/>
          <w:bCs w:val="1"/>
          <w:i w:val="1"/>
          <w:iCs w:val="1"/>
          <w:color w:val="auto"/>
        </w:rPr>
        <w:t>Milestone Shares</w:t>
      </w:r>
      <w:r>
        <w:rPr>
          <w:rFonts w:ascii="Arial" w:cs="Arial" w:eastAsia="Arial" w:hAnsi="Arial"/>
          <w:sz w:val="18"/>
          <w:szCs w:val="18"/>
          <w:color w:val="auto"/>
        </w:rPr>
        <w:t>”) that may be issuable pursuant to the Merger Agreement in connection with the achievement of certain revenue-based milestones, as described in more detail in the Registration Statement; and (iii) up to 50,000,000 shares (the “</w:t>
      </w:r>
      <w:r>
        <w:rPr>
          <w:rFonts w:ascii="Arial" w:cs="Arial" w:eastAsia="Arial" w:hAnsi="Arial"/>
          <w:sz w:val="18"/>
          <w:szCs w:val="18"/>
          <w:b w:val="1"/>
          <w:bCs w:val="1"/>
          <w:i w:val="1"/>
          <w:iCs w:val="1"/>
          <w:color w:val="auto"/>
        </w:rPr>
        <w:t>PIPE Shares</w:t>
      </w:r>
      <w:r>
        <w:rPr>
          <w:rFonts w:ascii="Arial" w:cs="Arial" w:eastAsia="Arial" w:hAnsi="Arial"/>
          <w:sz w:val="18"/>
          <w:szCs w:val="18"/>
          <w:color w:val="auto"/>
        </w:rPr>
        <w:t>”) issued in a private placement pursuant to certain Subscription Agreements, dated January 14, 2022 (the “</w:t>
      </w:r>
      <w:r>
        <w:rPr>
          <w:rFonts w:ascii="Arial" w:cs="Arial" w:eastAsia="Arial" w:hAnsi="Arial"/>
          <w:sz w:val="18"/>
          <w:szCs w:val="18"/>
          <w:b w:val="1"/>
          <w:bCs w:val="1"/>
          <w:i w:val="1"/>
          <w:iCs w:val="1"/>
          <w:color w:val="auto"/>
        </w:rPr>
        <w:t>Subscription Agreements</w:t>
      </w:r>
      <w:r>
        <w:rPr>
          <w:rFonts w:ascii="Arial" w:cs="Arial" w:eastAsia="Arial" w:hAnsi="Arial"/>
          <w:sz w:val="18"/>
          <w:szCs w:val="18"/>
          <w:color w:val="auto"/>
        </w:rPr>
        <w:t>”), as described in more detail in the Registration Statement.</w:t>
      </w:r>
    </w:p>
    <w:p>
      <w:pPr>
        <w:spacing w:after="0" w:line="187"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In connection with our opinion expressed below, we have also examined originals or copies of the prospectus prepared in connection with the Registration Statement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the Company’s Amended and Restated Certificate of Incorporation (as amended,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the Company’s Restated Bylaws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the Merger Agreement, the Subscription Agreements, certain corporate proceedings of the Company’s board of directors and stockholders relating to the Registration Statement, the Certificate of Incorporation and the Bylaws, and such other agreements, documents, certificates and statements of the Company, its transfer agent and public or government officials, as we have deemed advisable, and have examined such questions of law as we have considered necessary. We have assumed the authenticity of all documents submitted to us as originals, the genuineness of all signatures on documents submitted to us, the conformity to originals of all documents submitted to us as copies, and the absence of any undisclosed termination, waiver or amendment to any document reviewed by us. In giving our opinion, we have also relied upon a good standing certificate issued by the Delaware Secretary of State and representations made to us by the Company, including representations that the Company has available a sufficient number of authorized shares of Class A common stock that are not currently outstanding or reserved for issuance under other outstanding securities or equity plans of the Company, to enable the Company to issue and deliver all of the shares of Class A common stock to be sold by the Selling Stockholders pursuant to the Registration Statement and the Prospectus.</w:t>
      </w:r>
    </w:p>
    <w:p>
      <w:pPr>
        <w:spacing w:after="0" w:line="135" w:lineRule="exact"/>
        <w:rPr>
          <w:sz w:val="20"/>
          <w:szCs w:val="20"/>
          <w:color w:val="auto"/>
        </w:rPr>
      </w:pPr>
    </w:p>
    <w:p>
      <w:pPr>
        <w:jc w:val="both"/>
        <w:ind w:firstLine="441"/>
        <w:spacing w:after="0" w:line="229" w:lineRule="auto"/>
        <w:rPr>
          <w:sz w:val="20"/>
          <w:szCs w:val="20"/>
          <w:color w:val="auto"/>
        </w:rPr>
      </w:pPr>
      <w:r>
        <w:rPr>
          <w:rFonts w:ascii="Arial" w:cs="Arial" w:eastAsia="Arial" w:hAnsi="Arial"/>
          <w:sz w:val="20"/>
          <w:szCs w:val="20"/>
          <w:color w:val="auto"/>
        </w:rPr>
        <w:t>We render this opinion only with respect to, and express no opinion herein concerning the application or effect of the laws of any jurisdiction other than, the existing Delaware General Corporation Law.</w:t>
      </w:r>
    </w:p>
    <w:p>
      <w:pPr>
        <w:spacing w:after="0" w:line="182" w:lineRule="exact"/>
        <w:rPr>
          <w:sz w:val="20"/>
          <w:szCs w:val="20"/>
          <w:color w:val="auto"/>
        </w:rPr>
      </w:pPr>
    </w:p>
    <w:p>
      <w:pPr>
        <w:jc w:val="both"/>
        <w:ind w:firstLine="441"/>
        <w:spacing w:after="0" w:line="229" w:lineRule="auto"/>
        <w:rPr>
          <w:sz w:val="20"/>
          <w:szCs w:val="20"/>
          <w:color w:val="auto"/>
        </w:rPr>
      </w:pPr>
      <w:r>
        <w:rPr>
          <w:rFonts w:ascii="Arial" w:cs="Arial" w:eastAsia="Arial" w:hAnsi="Arial"/>
          <w:sz w:val="20"/>
          <w:szCs w:val="20"/>
          <w:color w:val="auto"/>
        </w:rPr>
        <w:t>We express no opinion regarding the effectiveness of any waiver or stay, extension or of unknown future rights. Further, we express no opinion regarding the effect of provisions relating to</w:t>
      </w:r>
    </w:p>
    <w:p>
      <w:pPr>
        <w:sectPr>
          <w:pgSz w:w="11900" w:h="16838" w:orient="portrait"/>
          <w:cols w:equalWidth="0" w:num="1">
            <w:col w:w="11240"/>
          </w:cols>
          <w:pgMar w:left="320" w:top="108" w:right="339" w:bottom="1440" w:gutter="0" w:footer="0" w:header="0"/>
        </w:sectPr>
      </w:pPr>
    </w:p>
    <w:bookmarkStart w:id="248" w:name="page249"/>
    <w:bookmarkEnd w:id="248"/>
    <w:p>
      <w:pPr>
        <w:spacing w:after="0"/>
        <w:rPr>
          <w:sz w:val="20"/>
          <w:szCs w:val="20"/>
          <w:color w:val="auto"/>
        </w:rPr>
      </w:pPr>
      <w:r>
        <w:rPr>
          <w:rFonts w:ascii="Arial" w:cs="Arial" w:eastAsia="Arial" w:hAnsi="Arial"/>
          <w:sz w:val="20"/>
          <w:szCs w:val="20"/>
          <w:color w:val="auto"/>
        </w:rPr>
        <w:t>Sema4 Holdings Corp.</w:t>
      </w:r>
    </w:p>
    <w:p>
      <w:pPr>
        <w:spacing w:after="0" w:line="197" w:lineRule="auto"/>
        <w:rPr>
          <w:sz w:val="20"/>
          <w:szCs w:val="20"/>
          <w:color w:val="auto"/>
        </w:rPr>
      </w:pPr>
      <w:r>
        <w:rPr>
          <w:rFonts w:ascii="Arial" w:cs="Arial" w:eastAsia="Arial" w:hAnsi="Arial"/>
          <w:sz w:val="20"/>
          <w:szCs w:val="20"/>
          <w:color w:val="auto"/>
        </w:rPr>
        <w:t>May 2, 2022</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indemnification, exculpation or contribution to the extent such provisions may be held unenforceable as contrary to federal or state securities laws or public policy.</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20"/>
          <w:szCs w:val="20"/>
          <w:color w:val="auto"/>
        </w:rPr>
        <w:t>Based upon the foregoing, we are of the opinion that,</w:t>
      </w:r>
    </w:p>
    <w:p>
      <w:pPr>
        <w:spacing w:after="0" w:line="202" w:lineRule="exact"/>
        <w:rPr>
          <w:sz w:val="20"/>
          <w:szCs w:val="20"/>
          <w:color w:val="auto"/>
        </w:rPr>
      </w:pPr>
    </w:p>
    <w:p>
      <w:pPr>
        <w:ind w:left="1100" w:hanging="327"/>
        <w:spacing w:after="0"/>
        <w:tabs>
          <w:tab w:leader="none" w:pos="110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Merger Shares have been duly authorized and are validly issued, fully paid and non-assessable.</w:t>
      </w:r>
    </w:p>
    <w:p>
      <w:pPr>
        <w:spacing w:after="0" w:line="202" w:lineRule="exact"/>
        <w:rPr>
          <w:rFonts w:ascii="Arial" w:cs="Arial" w:eastAsia="Arial" w:hAnsi="Arial"/>
          <w:sz w:val="20"/>
          <w:szCs w:val="20"/>
          <w:color w:val="auto"/>
        </w:rPr>
      </w:pPr>
    </w:p>
    <w:p>
      <w:pPr>
        <w:ind w:left="1100" w:hanging="327"/>
        <w:spacing w:after="0" w:line="229" w:lineRule="auto"/>
        <w:tabs>
          <w:tab w:leader="none" w:pos="110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Milestone Shares have been duly authorized, and when issued in accordance with the terms of the Merger Agreement, will be validly issued, fully paid and non-assessable.</w:t>
      </w:r>
    </w:p>
    <w:p>
      <w:pPr>
        <w:spacing w:after="0" w:line="182" w:lineRule="exact"/>
        <w:rPr>
          <w:rFonts w:ascii="Arial" w:cs="Arial" w:eastAsia="Arial" w:hAnsi="Arial"/>
          <w:sz w:val="20"/>
          <w:szCs w:val="20"/>
          <w:color w:val="auto"/>
        </w:rPr>
      </w:pPr>
    </w:p>
    <w:p>
      <w:pPr>
        <w:ind w:left="1100" w:hanging="327"/>
        <w:spacing w:after="0"/>
        <w:tabs>
          <w:tab w:leader="none" w:pos="110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PIPE Shares have been duly authorized and are validly issued, fully paid and non-assessable.</w:t>
      </w:r>
    </w:p>
    <w:p>
      <w:pPr>
        <w:spacing w:after="0" w:line="20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all references to us, if any, in the Registration Statement, the Prospectus and any amendments thereto. We do not thereby admit that we are within the category of persons whose consent is required under Section 7 of the Securities Act or the rules and regulations of the Commission thereunder. This opinion is intended solely for use in connection with sale of the securities to be sold by the Selling Stockholders pursuant to the Registration Statement and the Prospectus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317"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Very Truly Yours,</w:t>
      </w:r>
    </w:p>
    <w:p>
      <w:pPr>
        <w:spacing w:after="0" w:line="148" w:lineRule="exact"/>
        <w:rPr>
          <w:sz w:val="20"/>
          <w:szCs w:val="20"/>
          <w:color w:val="auto"/>
        </w:rPr>
      </w:pPr>
    </w:p>
    <w:p>
      <w:pPr>
        <w:ind w:left="5840"/>
        <w:spacing w:after="0"/>
        <w:rPr>
          <w:sz w:val="20"/>
          <w:szCs w:val="20"/>
          <w:color w:val="auto"/>
        </w:rPr>
      </w:pPr>
      <w:r>
        <w:rPr>
          <w:rFonts w:ascii="Arial" w:cs="Arial" w:eastAsia="Arial" w:hAnsi="Arial"/>
          <w:sz w:val="20"/>
          <w:szCs w:val="20"/>
          <w:i w:val="1"/>
          <w:iCs w:val="1"/>
          <w:color w:val="auto"/>
        </w:rPr>
        <w:t>/s/ Fenwick &amp; West LLP</w:t>
      </w:r>
    </w:p>
    <w:p>
      <w:pPr>
        <w:spacing w:after="0" w:line="148"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Fenwick &amp; West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84" w:right="3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consent to the reference to our firm under the caption "Experts" and to the use of our report dated March 14, 2022, in the in the Registration Statement (Form S-1) and related Prospectus of Sema4 Holdings Corp. for the registration of shares its Class A common stock.</w:t>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2, 2022</w:t>
      </w:r>
    </w:p>
    <w:p>
      <w:pPr>
        <w:sectPr>
          <w:pgSz w:w="11900" w:h="16838" w:orient="portrait"/>
          <w:cols w:equalWidth="0" w:num="1">
            <w:col w:w="11240"/>
          </w:cols>
          <w:pgMar w:left="320" w:top="108" w:right="3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333333"/>
        </w:rPr>
        <w:t>Consent of Independent Auditors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333333"/>
        </w:rPr>
        <w:t xml:space="preserve">We consent to the reference to our firm under the caption "Experts" and to the use of our report dated March 15, 2022, with respect to the combined carve-out financial statements of GeneDx, Inc. and subsidiary in the Registration Statement (Form S-1) and related Prospectus of Sema4 Holdings Corp. for the registration of </w:t>
      </w:r>
      <w:r>
        <w:rPr>
          <w:rFonts w:ascii="Arial" w:cs="Arial" w:eastAsia="Arial" w:hAnsi="Arial"/>
          <w:sz w:val="19"/>
          <w:szCs w:val="19"/>
          <w:color w:val="000000"/>
        </w:rPr>
        <w:t>160,864,198</w:t>
      </w:r>
      <w:r>
        <w:rPr>
          <w:rFonts w:ascii="Arial" w:cs="Arial" w:eastAsia="Arial" w:hAnsi="Arial"/>
          <w:sz w:val="19"/>
          <w:szCs w:val="19"/>
          <w:color w:val="333333"/>
        </w:rPr>
        <w:t xml:space="preserve"> shares of its common stock.</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22"/>
          <w:szCs w:val="22"/>
          <w:color w:val="auto"/>
        </w:rPr>
        <w:t>Miami, Florida</w:t>
      </w:r>
    </w:p>
    <w:p>
      <w:pPr>
        <w:spacing w:after="0"/>
        <w:rPr>
          <w:sz w:val="20"/>
          <w:szCs w:val="20"/>
          <w:color w:val="auto"/>
        </w:rPr>
      </w:pPr>
      <w:r>
        <w:rPr>
          <w:rFonts w:ascii="Arial" w:cs="Arial" w:eastAsia="Arial" w:hAnsi="Arial"/>
          <w:sz w:val="22"/>
          <w:szCs w:val="22"/>
          <w:color w:val="auto"/>
        </w:rPr>
        <w:t>May 2, 2022</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lvl w:ilvl="1">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1)"/>
      <w:numFmt w:val="lowerLetter"/>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
      <w:numFmt w:val="bullet"/>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
      <w:numFmt w:val="bullet"/>
      <w:start w:val="1"/>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1."/>
      <w:numFmt w:val="decimal"/>
      <w:start w:val="1"/>
    </w:lvl>
  </w:abstractNum>
  <w:abstractNum w:abstractNumId="31">
    <w:nsid w:val="A0382C5"/>
    <w:multiLevelType w:val="hybridMultilevel"/>
    <w:lvl w:ilvl="0">
      <w:lvlJc w:val="left"/>
      <w:lvlText w:val="%1."/>
      <w:numFmt w:val="decimal"/>
      <w:start w:val="2"/>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1."/>
      <w:numFmt w:val="decimal"/>
      <w:start w:val="3"/>
    </w:lvl>
  </w:abstractNum>
  <w:abstractNum w:abstractNumId="34">
    <w:nsid w:val="3B0FD379"/>
    <w:multiLevelType w:val="hybridMultilevel"/>
    <w:lvl w:ilvl="0">
      <w:lvlJc w:val="left"/>
      <w:lvlText w:val="$"/>
      <w:numFmt w:val="bullet"/>
      <w:start w:val="1"/>
    </w:lvl>
  </w:abstractNum>
  <w:abstractNum w:abstractNumId="35">
    <w:nsid w:val="68EB2F63"/>
    <w:multiLevelType w:val="hybridMultilevel"/>
    <w:lvl w:ilvl="0">
      <w:lvlJc w:val="left"/>
      <w:lvlText w:val="$"/>
      <w:numFmt w:val="bullet"/>
      <w:start w:val="1"/>
    </w:lvl>
  </w:abstractNum>
  <w:abstractNum w:abstractNumId="36">
    <w:nsid w:val="4962813B"/>
    <w:multiLevelType w:val="hybridMultilevel"/>
    <w:lvl w:ilvl="0">
      <w:lvlJc w:val="left"/>
      <w:lvlText w:val="%1)"/>
      <w:numFmt w:val="lowerLetter"/>
      <w:start w:val="2"/>
    </w:lvl>
  </w:abstractNum>
  <w:abstractNum w:abstractNumId="37">
    <w:nsid w:val="60B6DF70"/>
    <w:multiLevelType w:val="hybridMultilevel"/>
    <w:lvl w:ilvl="0">
      <w:lvlJc w:val="left"/>
      <w:lvlText w:val="%1)"/>
      <w:numFmt w:val="lowerLetter"/>
      <w:start w:val="6"/>
    </w:lvl>
  </w:abstractNum>
  <w:abstractNum w:abstractNumId="38">
    <w:nsid w:val="6A5EE64"/>
    <w:multiLevelType w:val="hybridMultilevel"/>
    <w:lvl w:ilvl="0">
      <w:lvlJc w:val="left"/>
      <w:lvlText w:val="%1)"/>
      <w:numFmt w:val="lowerLetter"/>
      <w:start w:val="7"/>
    </w:lvl>
  </w:abstractNum>
  <w:abstractNum w:abstractNumId="39">
    <w:nsid w:val="14330624"/>
    <w:multiLevelType w:val="hybridMultilevel"/>
    <w:lvl w:ilvl="0">
      <w:lvlJc w:val="left"/>
      <w:lvlText w:val="•"/>
      <w:numFmt w:val="bullet"/>
      <w:start w:val="1"/>
    </w:lvl>
  </w:abstractNum>
  <w:abstractNum w:abstractNumId="40">
    <w:nsid w:val="7FFFCA11"/>
    <w:multiLevelType w:val="hybridMultilevel"/>
    <w:lvl w:ilvl="0">
      <w:lvlJc w:val="left"/>
      <w:lvlText w:val="(%1)"/>
      <w:numFmt w:val="decimal"/>
      <w:start w:val="1"/>
    </w:lvl>
  </w:abstractNum>
  <w:abstractNum w:abstractNumId="41">
    <w:nsid w:val="1A27709E"/>
    <w:multiLevelType w:val="hybridMultilevel"/>
    <w:lvl w:ilvl="0">
      <w:lvlJc w:val="left"/>
      <w:lvlText w:val="(%1)"/>
      <w:numFmt w:val="decimal"/>
      <w:start w:val="1"/>
    </w:lvl>
  </w:abstractNum>
  <w:abstractNum w:abstractNumId="42">
    <w:nsid w:val="71EA1109"/>
    <w:multiLevelType w:val="hybridMultilevel"/>
    <w:lvl w:ilvl="0">
      <w:lvlJc w:val="left"/>
      <w:lvlText w:val="•"/>
      <w:numFmt w:val="bullet"/>
      <w:start w:val="1"/>
    </w:lvl>
  </w:abstractNum>
  <w:abstractNum w:abstractNumId="43">
    <w:nsid w:val="100F59DC"/>
    <w:multiLevelType w:val="hybridMultilevel"/>
    <w:lvl w:ilvl="0">
      <w:lvlJc w:val="left"/>
      <w:lvlText w:val="•"/>
      <w:numFmt w:val="bullet"/>
      <w:start w:val="1"/>
    </w:lvl>
  </w:abstractNum>
  <w:abstractNum w:abstractNumId="44">
    <w:nsid w:val="7FB7E0AA"/>
    <w:multiLevelType w:val="hybridMultilevel"/>
    <w:lvl w:ilvl="0">
      <w:lvlJc w:val="left"/>
      <w:lvlText w:val="•"/>
      <w:numFmt w:val="bullet"/>
      <w:start w:val="1"/>
    </w:lvl>
  </w:abstractNum>
  <w:abstractNum w:abstractNumId="45">
    <w:nsid w:val="6EB5BD4"/>
    <w:multiLevelType w:val="hybridMultilevel"/>
    <w:lvl w:ilvl="0">
      <w:lvlJc w:val="left"/>
      <w:lvlText w:val="•"/>
      <w:numFmt w:val="bullet"/>
      <w:start w:val="1"/>
    </w:lvl>
  </w:abstractNum>
  <w:abstractNum w:abstractNumId="46">
    <w:nsid w:val="6F6DD9AC"/>
    <w:multiLevelType w:val="hybridMultilevel"/>
    <w:lvl w:ilvl="0">
      <w:lvlJc w:val="left"/>
      <w:lvlText w:val="•"/>
      <w:numFmt w:val="bullet"/>
      <w:start w:val="1"/>
    </w:lvl>
  </w:abstractNum>
  <w:abstractNum w:abstractNumId="47">
    <w:nsid w:val="94211F2"/>
    <w:multiLevelType w:val="hybridMultilevel"/>
    <w:lvl w:ilvl="0">
      <w:lvlJc w:val="left"/>
      <w:lvlText w:val="•"/>
      <w:numFmt w:val="bullet"/>
      <w:start w:val="1"/>
    </w:lvl>
  </w:abstractNum>
  <w:abstractNum w:abstractNumId="48">
    <w:nsid w:val="885E1B"/>
    <w:multiLevelType w:val="hybridMultilevel"/>
    <w:lvl w:ilvl="0">
      <w:lvlJc w:val="left"/>
      <w:lvlText w:val="•"/>
      <w:numFmt w:val="bullet"/>
      <w:start w:val="1"/>
    </w:lvl>
  </w:abstractNum>
  <w:abstractNum w:abstractNumId="49">
    <w:nsid w:val="76272110"/>
    <w:multiLevelType w:val="hybridMultilevel"/>
    <w:lvl w:ilvl="0">
      <w:lvlJc w:val="left"/>
      <w:lvlText w:val="•"/>
      <w:numFmt w:val="bullet"/>
      <w:start w:val="1"/>
    </w:lvl>
  </w:abstractNum>
  <w:abstractNum w:abstractNumId="50">
    <w:nsid w:val="4C04A8AF"/>
    <w:multiLevelType w:val="hybridMultilevel"/>
    <w:lvl w:ilvl="0">
      <w:lvlJc w:val="left"/>
      <w:lvlText w:val="(%1)"/>
      <w:numFmt w:val="decimal"/>
      <w:start w:val="1"/>
    </w:lvl>
  </w:abstractNum>
  <w:abstractNum w:abstractNumId="51">
    <w:nsid w:val="1716703B"/>
    <w:multiLevelType w:val="hybridMultilevel"/>
    <w:lvl w:ilvl="0">
      <w:lvlJc w:val="left"/>
      <w:lvlText w:val="•"/>
      <w:numFmt w:val="bullet"/>
      <w:start w:val="1"/>
    </w:lvl>
  </w:abstractNum>
  <w:abstractNum w:abstractNumId="52">
    <w:nsid w:val="14E17E33"/>
    <w:multiLevelType w:val="hybridMultilevel"/>
    <w:lvl w:ilvl="0">
      <w:lvlJc w:val="left"/>
      <w:lvlText w:val="•"/>
      <w:numFmt w:val="bullet"/>
      <w:start w:val="1"/>
    </w:lvl>
  </w:abstractNum>
  <w:abstractNum w:abstractNumId="53">
    <w:nsid w:val="3222E7CD"/>
    <w:multiLevelType w:val="hybridMultilevel"/>
    <w:lvl w:ilvl="0">
      <w:lvlJc w:val="left"/>
      <w:lvlText w:val="•"/>
      <w:numFmt w:val="bullet"/>
      <w:start w:val="1"/>
    </w:lvl>
  </w:abstractNum>
  <w:abstractNum w:abstractNumId="54">
    <w:nsid w:val="74DE0EE3"/>
    <w:multiLevelType w:val="hybridMultilevel"/>
    <w:lvl w:ilvl="0">
      <w:lvlJc w:val="left"/>
      <w:lvlText w:val="•"/>
      <w:numFmt w:val="bullet"/>
      <w:start w:val="1"/>
    </w:lvl>
  </w:abstractNum>
  <w:abstractNum w:abstractNumId="55">
    <w:nsid w:val="68EBC550"/>
    <w:multiLevelType w:val="hybridMultilevel"/>
    <w:lvl w:ilvl="0">
      <w:lvlJc w:val="left"/>
      <w:lvlText w:val="•"/>
      <w:numFmt w:val="bullet"/>
      <w:start w:val="1"/>
    </w:lvl>
  </w:abstractNum>
  <w:abstractNum w:abstractNumId="56">
    <w:nsid w:val="2DF6D648"/>
    <w:multiLevelType w:val="hybridMultilevel"/>
    <w:lvl w:ilvl="0">
      <w:lvlJc w:val="left"/>
      <w:lvlText w:val="•"/>
      <w:numFmt w:val="bullet"/>
      <w:start w:val="1"/>
    </w:lvl>
  </w:abstractNum>
  <w:abstractNum w:abstractNumId="57">
    <w:nsid w:val="46B7D447"/>
    <w:multiLevelType w:val="hybridMultilevel"/>
    <w:lvl w:ilvl="0">
      <w:lvlJc w:val="left"/>
      <w:lvlText w:val="•"/>
      <w:numFmt w:val="bullet"/>
      <w:start w:val="1"/>
    </w:lvl>
  </w:abstractNum>
  <w:abstractNum w:abstractNumId="58">
    <w:nsid w:val="4A2AC315"/>
    <w:multiLevelType w:val="hybridMultilevel"/>
    <w:lvl w:ilvl="0">
      <w:lvlJc w:val="left"/>
      <w:lvlText w:val="(%1)"/>
      <w:numFmt w:val="decimal"/>
      <w:start w:val="1"/>
    </w:lvl>
  </w:abstractNum>
  <w:abstractNum w:abstractNumId="59">
    <w:nsid w:val="39EE015C"/>
    <w:multiLevelType w:val="hybridMultilevel"/>
    <w:lvl w:ilvl="0">
      <w:lvlJc w:val="left"/>
      <w:lvlText w:val="(*)"/>
      <w:numFmt w:val="bullet"/>
      <w:start w:val="1"/>
    </w:lvl>
  </w:abstractNum>
  <w:abstractNum w:abstractNumId="60">
    <w:nsid w:val="57FC4FBB"/>
    <w:multiLevelType w:val="hybridMultilevel"/>
    <w:lvl w:ilvl="0">
      <w:lvlJc w:val="left"/>
      <w:lvlText w:val="(%1)"/>
      <w:numFmt w:val="decimal"/>
      <w:start w:val="1"/>
    </w:lvl>
  </w:abstractNum>
  <w:abstractNum w:abstractNumId="61">
    <w:nsid w:val="CC1016F"/>
    <w:multiLevelType w:val="hybridMultilevel"/>
    <w:lvl w:ilvl="0">
      <w:lvlJc w:val="left"/>
      <w:lvlText w:val="(%1)"/>
      <w:numFmt w:val="decimal"/>
      <w:start w:val="8"/>
    </w:lvl>
  </w:abstractNum>
  <w:abstractNum w:abstractNumId="62">
    <w:nsid w:val="43F18422"/>
    <w:multiLevelType w:val="hybridMultilevel"/>
    <w:lvl w:ilvl="0">
      <w:lvlJc w:val="left"/>
      <w:lvlText w:val="•"/>
      <w:numFmt w:val="bullet"/>
      <w:start w:val="1"/>
    </w:lvl>
  </w:abstractNum>
  <w:abstractNum w:abstractNumId="63">
    <w:nsid w:val="60EF0119"/>
    <w:multiLevelType w:val="hybridMultilevel"/>
    <w:lvl w:ilvl="0">
      <w:lvlJc w:val="left"/>
      <w:lvlText w:val="•"/>
      <w:numFmt w:val="bullet"/>
      <w:start w:val="1"/>
    </w:lvl>
  </w:abstractNum>
  <w:abstractNum w:abstractNumId="64">
    <w:nsid w:val="26F324BA"/>
    <w:multiLevelType w:val="hybridMultilevel"/>
    <w:lvl w:ilvl="0">
      <w:lvlJc w:val="left"/>
      <w:lvlText w:val="•"/>
      <w:numFmt w:val="bullet"/>
      <w:start w:val="1"/>
    </w:lvl>
  </w:abstractNum>
  <w:abstractNum w:abstractNumId="65">
    <w:nsid w:val="7F01579B"/>
    <w:multiLevelType w:val="hybridMultilevel"/>
    <w:lvl w:ilvl="0">
      <w:lvlJc w:val="left"/>
      <w:lvlText w:val="(%1)"/>
      <w:numFmt w:val="decimal"/>
      <w:start w:val="1"/>
    </w:lvl>
  </w:abstractNum>
  <w:abstractNum w:abstractNumId="66">
    <w:nsid w:val="49DA307D"/>
    <w:multiLevelType w:val="hybridMultilevel"/>
    <w:lvl w:ilvl="0">
      <w:lvlJc w:val="left"/>
      <w:lvlText w:val="(%1)"/>
      <w:numFmt w:val="decimal"/>
      <w:start w:val="1"/>
    </w:lvl>
  </w:abstractNum>
  <w:abstractNum w:abstractNumId="67">
    <w:nsid w:val="7055A5F5"/>
    <w:multiLevelType w:val="hybridMultilevel"/>
    <w:lvl w:ilvl="0">
      <w:lvlJc w:val="left"/>
      <w:lvlText w:val="%1."/>
      <w:numFmt w:val="lowerLetter"/>
      <w:start w:val="1"/>
    </w:lvl>
  </w:abstractNum>
  <w:abstractNum w:abstractNumId="68">
    <w:nsid w:val="5FB8370B"/>
    <w:multiLevelType w:val="hybridMultilevel"/>
    <w:lvl w:ilvl="0">
      <w:lvlJc w:val="left"/>
      <w:lvlText w:val="(%1)"/>
      <w:numFmt w:val="decimal"/>
      <w:start w:val="1"/>
    </w:lvl>
  </w:abstractNum>
  <w:abstractNum w:abstractNumId="69">
    <w:nsid w:val="50801EE1"/>
    <w:multiLevelType w:val="hybridMultilevel"/>
    <w:lvl w:ilvl="0">
      <w:lvlJc w:val="left"/>
      <w:lvlText w:val="(%1)"/>
      <w:numFmt w:val="lowerLetter"/>
      <w:start w:val="1"/>
    </w:lvl>
  </w:abstractNum>
  <w:abstractNum w:abstractNumId="70">
    <w:nsid w:val="488AC1A"/>
    <w:multiLevelType w:val="hybridMultilevel"/>
    <w:lvl w:ilvl="0">
      <w:lvlJc w:val="left"/>
      <w:lvlText w:val="(%1)"/>
      <w:numFmt w:val="lowerLetter"/>
      <w:start w:val="3"/>
    </w:lvl>
  </w:abstractNum>
  <w:abstractNum w:abstractNumId="71">
    <w:nsid w:val="5FB8011C"/>
    <w:multiLevelType w:val="hybridMultilevel"/>
    <w:lvl w:ilvl="0">
      <w:lvlJc w:val="left"/>
      <w:lvlText w:val="(%1)"/>
      <w:numFmt w:val="decimal"/>
      <w:start w:val="1"/>
    </w:lvl>
  </w:abstractNum>
  <w:abstractNum w:abstractNumId="72">
    <w:nsid w:val="6AA78F7F"/>
    <w:multiLevelType w:val="hybridMultilevel"/>
    <w:lvl w:ilvl="0">
      <w:lvlJc w:val="left"/>
      <w:lvlText w:val="(%1)"/>
      <w:numFmt w:val="decimal"/>
      <w:start w:val="1"/>
    </w:lvl>
  </w:abstractNum>
  <w:abstractNum w:abstractNumId="73">
    <w:nsid w:val="7672BD23"/>
    <w:multiLevelType w:val="hybridMultilevel"/>
    <w:lvl w:ilvl="0">
      <w:lvlJc w:val="left"/>
      <w:lvlText w:val="•"/>
      <w:numFmt w:val="bullet"/>
      <w:start w:val="1"/>
    </w:lvl>
  </w:abstractNum>
  <w:abstractNum w:abstractNumId="74">
    <w:nsid w:val="6FC75AF8"/>
    <w:multiLevelType w:val="hybridMultilevel"/>
    <w:lvl w:ilvl="0">
      <w:lvlJc w:val="left"/>
      <w:lvlText w:val="*"/>
      <w:numFmt w:val="bullet"/>
      <w:start w:val="1"/>
    </w:lvl>
  </w:abstractNum>
  <w:abstractNum w:abstractNumId="75">
    <w:nsid w:val="6A5F7029"/>
    <w:multiLevelType w:val="hybridMultilevel"/>
    <w:lvl w:ilvl="0">
      <w:lvlJc w:val="left"/>
      <w:lvlText w:val="(%1)"/>
      <w:numFmt w:val="decimal"/>
      <w:start w:val="1"/>
    </w:lvl>
  </w:abstractNum>
  <w:abstractNum w:abstractNumId="76">
    <w:nsid w:val="7D5E18F8"/>
    <w:multiLevelType w:val="hybridMultilevel"/>
    <w:lvl w:ilvl="0">
      <w:lvlJc w:val="left"/>
      <w:lvlText w:val="%1"/>
      <w:numFmt w:val="decimal"/>
      <w:start w:val="1"/>
    </w:lvl>
    <w:lvl w:ilvl="1">
      <w:lvlJc w:val="left"/>
      <w:lvlText w:val="(%2)"/>
      <w:numFmt w:val="lowerRoman"/>
      <w:start w:val="4"/>
    </w:lvl>
  </w:abstractNum>
  <w:abstractNum w:abstractNumId="77">
    <w:nsid w:val="5F3534A4"/>
    <w:multiLevelType w:val="hybridMultilevel"/>
    <w:lvl w:ilvl="0">
      <w:lvlJc w:val="left"/>
      <w:lvlText w:val="%1"/>
      <w:numFmt w:val="decimal"/>
      <w:start w:val="1"/>
    </w:lvl>
    <w:lvl w:ilvl="1">
      <w:lvlJc w:val="left"/>
      <w:lvlText w:val="(%2)"/>
      <w:numFmt w:val="lowerRoman"/>
      <w:start w:val="3"/>
    </w:lvl>
  </w:abstractNum>
  <w:abstractNum w:abstractNumId="78">
    <w:nsid w:val="73A1821B"/>
    <w:multiLevelType w:val="hybridMultilevel"/>
    <w:lvl w:ilvl="0">
      <w:lvlJc w:val="left"/>
      <w:lvlText w:val="(%1)"/>
      <w:numFmt w:val="decimal"/>
      <w:start w:val="2"/>
    </w:lvl>
    <w:lvl w:ilvl="1">
      <w:lvlJc w:val="left"/>
      <w:lvlText w:val="%2"/>
      <w:numFmt w:val="lowerRoman"/>
      <w:start w:val="1"/>
    </w:lvl>
  </w:abstractNum>
  <w:abstractNum w:abstractNumId="79">
    <w:nsid w:val="7DE67713"/>
    <w:multiLevelType w:val="hybridMultilevel"/>
    <w:lvl w:ilvl="0">
      <w:lvlJc w:val="left"/>
      <w:lvlText w:val="(%1)"/>
      <w:numFmt w:val="decimal"/>
      <w:start w:val="11"/>
    </w:lvl>
  </w:abstractNum>
  <w:abstractNum w:abstractNumId="80">
    <w:nsid w:val="555C55B5"/>
    <w:multiLevelType w:val="hybridMultilevel"/>
    <w:lvl w:ilvl="0">
      <w:lvlJc w:val="left"/>
      <w:lvlText w:val="•"/>
      <w:numFmt w:val="bullet"/>
      <w:start w:val="1"/>
    </w:lvl>
  </w:abstractNum>
  <w:abstractNum w:abstractNumId="81">
    <w:nsid w:val="3FA62ACA"/>
    <w:multiLevelType w:val="hybridMultilevel"/>
    <w:lvl w:ilvl="0">
      <w:lvlJc w:val="left"/>
      <w:lvlText w:val="•"/>
      <w:numFmt w:val="bullet"/>
      <w:start w:val="1"/>
    </w:lvl>
  </w:abstractNum>
  <w:abstractNum w:abstractNumId="82">
    <w:nsid w:val="14FCE74E"/>
    <w:multiLevelType w:val="hybridMultilevel"/>
    <w:lvl w:ilvl="0">
      <w:lvlJc w:val="left"/>
      <w:lvlText w:val="•"/>
      <w:numFmt w:val="bullet"/>
      <w:start w:val="1"/>
    </w:lvl>
  </w:abstractNum>
  <w:abstractNum w:abstractNumId="83">
    <w:nsid w:val="6A3DD3E8"/>
    <w:multiLevelType w:val="hybridMultilevel"/>
    <w:lvl w:ilvl="0">
      <w:lvlJc w:val="left"/>
      <w:lvlText w:val="•"/>
      <w:numFmt w:val="bullet"/>
      <w:start w:val="1"/>
    </w:lvl>
  </w:abstractNum>
  <w:abstractNum w:abstractNumId="84">
    <w:nsid w:val="71C91298"/>
    <w:multiLevelType w:val="hybridMultilevel"/>
    <w:lvl w:ilvl="0">
      <w:lvlJc w:val="left"/>
      <w:lvlText w:val="•"/>
      <w:numFmt w:val="bullet"/>
      <w:start w:val="1"/>
    </w:lvl>
  </w:abstractNum>
  <w:abstractNum w:abstractNumId="85">
    <w:nsid w:val="9DAF632"/>
    <w:multiLevelType w:val="hybridMultilevel"/>
    <w:lvl w:ilvl="0">
      <w:lvlJc w:val="left"/>
      <w:lvlText w:val="*"/>
      <w:numFmt w:val="bullet"/>
      <w:start w:val="1"/>
    </w:lvl>
  </w:abstractNum>
  <w:abstractNum w:abstractNumId="86">
    <w:nsid w:val="53299938"/>
    <w:multiLevelType w:val="hybridMultilevel"/>
    <w:lvl w:ilvl="0">
      <w:lvlJc w:val="left"/>
      <w:lvlText w:val="(%1)"/>
      <w:numFmt w:val="decimal"/>
      <w:start w:val="1"/>
    </w:lvl>
  </w:abstractNum>
  <w:abstractNum w:abstractNumId="87">
    <w:nsid w:val="1FBFE8E0"/>
    <w:multiLevelType w:val="hybridMultilevel"/>
    <w:lvl w:ilvl="0">
      <w:lvlJc w:val="left"/>
      <w:lvlText w:val="(%1)"/>
      <w:numFmt w:val="lowerRoman"/>
      <w:start w:val="1"/>
    </w:lvl>
  </w:abstractNum>
  <w:abstractNum w:abstractNumId="88">
    <w:nsid w:val="5092CA79"/>
    <w:multiLevelType w:val="hybridMultilevel"/>
    <w:lvl w:ilvl="0">
      <w:lvlJc w:val="left"/>
      <w:lvlText w:val="•"/>
      <w:numFmt w:val="bullet"/>
      <w:start w:val="1"/>
    </w:lvl>
  </w:abstractNum>
  <w:abstractNum w:abstractNumId="89">
    <w:nsid w:val="1D545C4D"/>
    <w:multiLevelType w:val="hybridMultilevel"/>
    <w:lvl w:ilvl="0">
      <w:lvlJc w:val="left"/>
      <w:lvlText w:val="•"/>
      <w:numFmt w:val="bullet"/>
      <w:start w:val="1"/>
    </w:lvl>
  </w:abstractNum>
  <w:abstractNum w:abstractNumId="90">
    <w:nsid w:val="59ADEA3D"/>
    <w:multiLevelType w:val="hybridMultilevel"/>
    <w:lvl w:ilvl="0">
      <w:lvlJc w:val="left"/>
      <w:lvlText w:val="•"/>
      <w:numFmt w:val="bullet"/>
      <w:start w:val="1"/>
    </w:lvl>
  </w:abstractNum>
  <w:abstractNum w:abstractNumId="91">
    <w:nsid w:val="288F1A34"/>
    <w:multiLevelType w:val="hybridMultilevel"/>
    <w:lvl w:ilvl="0">
      <w:lvlJc w:val="left"/>
      <w:lvlText w:val="•"/>
      <w:numFmt w:val="bullet"/>
      <w:start w:val="1"/>
    </w:lvl>
  </w:abstractNum>
  <w:abstractNum w:abstractNumId="92">
    <w:nsid w:val="2A155DBC"/>
    <w:multiLevelType w:val="hybridMultilevel"/>
    <w:lvl w:ilvl="0">
      <w:lvlJc w:val="left"/>
      <w:lvlText w:val="•"/>
      <w:numFmt w:val="bullet"/>
      <w:start w:val="1"/>
    </w:lvl>
  </w:abstractNum>
  <w:abstractNum w:abstractNumId="93">
    <w:nsid w:val="1D9F6E5F"/>
    <w:multiLevelType w:val="hybridMultilevel"/>
    <w:lvl w:ilvl="0">
      <w:lvlJc w:val="left"/>
      <w:lvlText w:val="•"/>
      <w:numFmt w:val="bullet"/>
      <w:start w:val="1"/>
    </w:lvl>
  </w:abstractNum>
  <w:abstractNum w:abstractNumId="94">
    <w:nsid w:val="97E1B4E"/>
    <w:multiLevelType w:val="hybridMultilevel"/>
    <w:lvl w:ilvl="0">
      <w:lvlJc w:val="left"/>
      <w:lvlText w:val="(%1)"/>
      <w:numFmt w:val="lowerRoman"/>
      <w:start w:val="3"/>
    </w:lvl>
  </w:abstractNum>
  <w:abstractNum w:abstractNumId="95">
    <w:nsid w:val="51088277"/>
    <w:multiLevelType w:val="hybridMultilevel"/>
    <w:lvl w:ilvl="0">
      <w:lvlJc w:val="left"/>
      <w:lvlText w:val="(%1)"/>
      <w:numFmt w:val="decimal"/>
      <w:start w:val="1"/>
    </w:lvl>
  </w:abstractNum>
  <w:abstractNum w:abstractNumId="96">
    <w:nsid w:val="1CA0C5FA"/>
    <w:multiLevelType w:val="hybridMultilevel"/>
    <w:lvl w:ilvl="0">
      <w:lvlJc w:val="left"/>
      <w:lvlText w:val="*"/>
      <w:numFmt w:val="bullet"/>
      <w:start w:val="1"/>
    </w:lvl>
  </w:abstractNum>
  <w:abstractNum w:abstractNumId="97">
    <w:nsid w:val="53584BCB"/>
    <w:multiLevelType w:val="hybridMultilevel"/>
    <w:lvl w:ilvl="0">
      <w:lvlJc w:val="left"/>
      <w:lvlText w:val="•"/>
      <w:numFmt w:val="bullet"/>
      <w:start w:val="1"/>
    </w:lvl>
  </w:abstractNum>
  <w:abstractNum w:abstractNumId="98">
    <w:nsid w:val="415E286C"/>
    <w:multiLevelType w:val="hybridMultilevel"/>
    <w:lvl w:ilvl="0">
      <w:lvlJc w:val="left"/>
      <w:lvlText w:val="•"/>
      <w:numFmt w:val="bullet"/>
      <w:start w:val="1"/>
    </w:lvl>
  </w:abstractNum>
  <w:abstractNum w:abstractNumId="99">
    <w:nsid w:val="7C58FD05"/>
    <w:multiLevelType w:val="hybridMultilevel"/>
    <w:lvl w:ilvl="0">
      <w:lvlJc w:val="left"/>
      <w:lvlText w:val="•"/>
      <w:numFmt w:val="bullet"/>
      <w:start w:val="1"/>
    </w:lvl>
  </w:abstractNum>
  <w:abstractNum w:abstractNumId="100">
    <w:nsid w:val="23D86AAC"/>
    <w:multiLevelType w:val="hybridMultilevel"/>
    <w:lvl w:ilvl="0">
      <w:lvlJc w:val="left"/>
      <w:lvlText w:val="•"/>
      <w:numFmt w:val="bullet"/>
      <w:start w:val="1"/>
    </w:lvl>
  </w:abstractNum>
  <w:abstractNum w:abstractNumId="101">
    <w:nsid w:val="45E6D486"/>
    <w:multiLevelType w:val="hybridMultilevel"/>
    <w:lvl w:ilvl="0">
      <w:lvlJc w:val="left"/>
      <w:lvlText w:val="•"/>
      <w:numFmt w:val="bullet"/>
      <w:start w:val="1"/>
    </w:lvl>
  </w:abstractNum>
  <w:abstractNum w:abstractNumId="102">
    <w:nsid w:val="5C10FE21"/>
    <w:multiLevelType w:val="hybridMultilevel"/>
    <w:lvl w:ilvl="0">
      <w:lvlJc w:val="left"/>
      <w:lvlText w:val="(%1)"/>
      <w:numFmt w:val="lowerRoman"/>
      <w:start w:val="1"/>
    </w:lvl>
  </w:abstractNum>
  <w:abstractNum w:abstractNumId="103">
    <w:nsid w:val="E7FFA2B"/>
    <w:multiLevelType w:val="hybridMultilevel"/>
    <w:lvl w:ilvl="0">
      <w:lvlJc w:val="left"/>
      <w:lvlText w:val="\endash "/>
      <w:numFmt w:val="bullet"/>
      <w:start w:val="1"/>
    </w:lvl>
  </w:abstractNum>
  <w:abstractNum w:abstractNumId="104">
    <w:nsid w:val="3C5991AA"/>
    <w:multiLevelType w:val="hybridMultilevel"/>
    <w:lvl w:ilvl="0">
      <w:lvlJc w:val="left"/>
      <w:lvlText w:val="\endash "/>
      <w:numFmt w:val="bullet"/>
      <w:start w:val="1"/>
    </w:lvl>
  </w:abstractNum>
  <w:abstractNum w:abstractNumId="105">
    <w:nsid w:val="4BD8591A"/>
    <w:multiLevelType w:val="hybridMultilevel"/>
    <w:lvl w:ilvl="0">
      <w:lvlJc w:val="left"/>
      <w:lvlText w:val="(%1)"/>
      <w:numFmt w:val="decimal"/>
      <w:start w:val="1"/>
    </w:lvl>
  </w:abstractNum>
  <w:abstractNum w:abstractNumId="106">
    <w:nsid w:val="78DF6A55"/>
    <w:multiLevelType w:val="hybridMultilevel"/>
    <w:lvl w:ilvl="0">
      <w:lvlJc w:val="left"/>
      <w:lvlText w:val="•"/>
      <w:numFmt w:val="bullet"/>
      <w:start w:val="1"/>
    </w:lvl>
  </w:abstractNum>
  <w:abstractNum w:abstractNumId="107">
    <w:nsid w:val="39B7AAA2"/>
    <w:multiLevelType w:val="hybridMultilevel"/>
    <w:lvl w:ilvl="0">
      <w:lvlJc w:val="left"/>
      <w:lvlText w:val="•"/>
      <w:numFmt w:val="bullet"/>
      <w:start w:val="1"/>
    </w:lvl>
  </w:abstractNum>
  <w:abstractNum w:abstractNumId="108">
    <w:nsid w:val="2B0D8DBE"/>
    <w:multiLevelType w:val="hybridMultilevel"/>
    <w:lvl w:ilvl="0">
      <w:lvlJc w:val="left"/>
      <w:lvlText w:val="•"/>
      <w:numFmt w:val="bullet"/>
      <w:start w:val="1"/>
    </w:lvl>
  </w:abstractNum>
  <w:abstractNum w:abstractNumId="109">
    <w:nsid w:val="6C80EC70"/>
    <w:multiLevelType w:val="hybridMultilevel"/>
    <w:lvl w:ilvl="0">
      <w:lvlJc w:val="left"/>
      <w:lvlText w:val="•"/>
      <w:numFmt w:val="bullet"/>
      <w:start w:val="1"/>
    </w:lvl>
  </w:abstractNum>
  <w:abstractNum w:abstractNumId="110">
    <w:nsid w:val="379E21B5"/>
    <w:multiLevelType w:val="hybridMultilevel"/>
    <w:lvl w:ilvl="0">
      <w:lvlJc w:val="left"/>
      <w:lvlText w:val="*"/>
      <w:numFmt w:val="bullet"/>
      <w:start w:val="1"/>
    </w:lvl>
  </w:abstractNum>
  <w:abstractNum w:abstractNumId="111">
    <w:nsid w:val="69E373"/>
    <w:multiLevelType w:val="hybridMultilevel"/>
    <w:lvl w:ilvl="0">
      <w:lvlJc w:val="left"/>
      <w:lvlText w:val="•"/>
      <w:numFmt w:val="bullet"/>
      <w:start w:val="1"/>
    </w:lvl>
  </w:abstractNum>
  <w:abstractNum w:abstractNumId="112">
    <w:nsid w:val="2C27173B"/>
    <w:multiLevelType w:val="hybridMultilevel"/>
    <w:lvl w:ilvl="0">
      <w:lvlJc w:val="left"/>
      <w:lvlText w:val="•"/>
      <w:numFmt w:val="bullet"/>
      <w:start w:val="1"/>
    </w:lvl>
  </w:abstractNum>
  <w:abstractNum w:abstractNumId="113">
    <w:nsid w:val="4C9B0904"/>
    <w:multiLevelType w:val="hybridMultilevel"/>
    <w:lvl w:ilvl="0">
      <w:lvlJc w:val="left"/>
      <w:lvlText w:val="%1."/>
      <w:numFmt w:val="lowerLetter"/>
      <w:start w:val="1"/>
    </w:lvl>
  </w:abstractNum>
  <w:abstractNum w:abstractNumId="114">
    <w:nsid w:val="6AA7B75C"/>
    <w:multiLevelType w:val="hybridMultilevel"/>
    <w:lvl w:ilvl="0">
      <w:lvlJc w:val="left"/>
      <w:lvlText w:val="%1."/>
      <w:numFmt w:val="lowerLetter"/>
      <w:start w:val="8"/>
    </w:lvl>
  </w:abstractNum>
  <w:abstractNum w:abstractNumId="115">
    <w:nsid w:val="1DF029D3"/>
    <w:multiLevelType w:val="hybridMultilevel"/>
    <w:lvl w:ilvl="0">
      <w:lvlJc w:val="left"/>
      <w:lvlText w:val="(%1)"/>
      <w:numFmt w:val="lowerLetter"/>
      <w:start w:val="1"/>
    </w:lvl>
  </w:abstractNum>
  <w:abstractNum w:abstractNumId="116">
    <w:nsid w:val="5675FF36"/>
    <w:multiLevelType w:val="hybridMultilevel"/>
    <w:lvl w:ilvl="0">
      <w:lvlJc w:val="left"/>
      <w:lvlText w:val="+"/>
      <w:numFmt w:val="bullet"/>
      <w:start w:val="1"/>
    </w:lvl>
  </w:abstractNum>
  <w:abstractNum w:abstractNumId="117">
    <w:nsid w:val="3DD15094"/>
    <w:multiLevelType w:val="hybridMultilevel"/>
    <w:lvl w:ilvl="0">
      <w:lvlJc w:val="left"/>
      <w:lvlText w:val="#"/>
      <w:numFmt w:val="bullet"/>
      <w:start w:val="1"/>
    </w:lvl>
  </w:abstractNum>
  <w:abstractNum w:abstractNumId="118">
    <w:nsid w:val="3DB012B3"/>
    <w:multiLevelType w:val="hybridMultilevel"/>
    <w:lvl w:ilvl="0">
      <w:lvlJc w:val="left"/>
      <w:lvlText w:val="%1."/>
      <w:numFmt w:val="lowerRoman"/>
      <w:start w:val="1"/>
    </w:lvl>
  </w:abstractNum>
  <w:abstractNum w:abstractNumId="119">
    <w:nsid w:val="2708C9AF"/>
    <w:multiLevelType w:val="hybridMultilevel"/>
    <w:lvl w:ilvl="0">
      <w:lvlJc w:val="left"/>
      <w:lvlText w:val="(%1)"/>
      <w:numFmt w:val="decimal"/>
      <w:start w:val="2"/>
    </w:lvl>
  </w:abstractNum>
  <w:abstractNum w:abstractNumId="120">
    <w:nsid w:val="5B25ACE2"/>
    <w:multiLevelType w:val="hybridMultilevel"/>
    <w:lvl w:ilvl="0">
      <w:lvlJc w:val="left"/>
      <w:lvlText w:val="(%1)"/>
      <w:numFmt w:val="decimal"/>
      <w:start w:val="5"/>
    </w:lvl>
  </w:abstractNum>
  <w:abstractNum w:abstractNumId="121">
    <w:nsid w:val="175DFCF0"/>
    <w:multiLevelType w:val="hybridMultilevel"/>
    <w:lvl w:ilvl="0">
      <w:lvlJc w:val="left"/>
      <w:lvlText w:val="(%1)"/>
      <w:numFmt w:val="lowerLetter"/>
      <w:start w:val="1"/>
    </w:lvl>
  </w:abstractNum>
  <w:abstractNum w:abstractNumId="122">
    <w:nsid w:val="4F97E3E4"/>
    <w:multiLevelType w:val="hybridMultilevel"/>
    <w:lvl w:ilvl="0">
      <w:lvlJc w:val="left"/>
      <w:lvlText w:val="(%1)"/>
      <w:numFmt w:val="decimal"/>
      <w:start w:val="1"/>
    </w:lvl>
  </w:abstractNum>
  <w:abstractNum w:abstractNumId="123">
    <w:nsid w:val="53B0A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81" Type="http://schemas.openxmlformats.org/officeDocument/2006/relationships/image" Target="media/image267.png"/><Relationship Id="rId282" Type="http://schemas.openxmlformats.org/officeDocument/2006/relationships/image" Target="media/image268.png"/><Relationship Id="rId305" Type="http://schemas.openxmlformats.org/officeDocument/2006/relationships/image" Target="media/image269.png"/><Relationship Id="rId323" Type="http://schemas.openxmlformats.org/officeDocument/2006/relationships/image" Target="media/image270.png"/><Relationship Id="rId324" Type="http://schemas.openxmlformats.org/officeDocument/2006/relationships/image" Target="media/image271.png"/><Relationship Id="rId325" Type="http://schemas.openxmlformats.org/officeDocument/2006/relationships/image" Target="media/image272.png"/><Relationship Id="rId326" Type="http://schemas.openxmlformats.org/officeDocument/2006/relationships/image" Target="media/image273.png"/><Relationship Id="rId327" Type="http://schemas.openxmlformats.org/officeDocument/2006/relationships/image" Target="media/image274.png"/><Relationship Id="rId328" Type="http://schemas.openxmlformats.org/officeDocument/2006/relationships/image" Target="media/image275.png"/><Relationship Id="rId329" Type="http://schemas.openxmlformats.org/officeDocument/2006/relationships/image" Target="media/image276.png"/><Relationship Id="rId330" Type="http://schemas.openxmlformats.org/officeDocument/2006/relationships/image" Target="media/image277.png"/><Relationship Id="rId331" Type="http://schemas.openxmlformats.org/officeDocument/2006/relationships/image" Target="media/image278.png"/><Relationship Id="rId332" Type="http://schemas.openxmlformats.org/officeDocument/2006/relationships/image" Target="media/image279.png"/><Relationship Id="rId333" Type="http://schemas.openxmlformats.org/officeDocument/2006/relationships/image" Target="media/image280.png"/><Relationship Id="rId334" Type="http://schemas.openxmlformats.org/officeDocument/2006/relationships/image" Target="media/image281.png"/><Relationship Id="rId335" Type="http://schemas.openxmlformats.org/officeDocument/2006/relationships/image" Target="media/image282.png"/><Relationship Id="rId336" Type="http://schemas.openxmlformats.org/officeDocument/2006/relationships/image" Target="media/image283.png"/><Relationship Id="rId337" Type="http://schemas.openxmlformats.org/officeDocument/2006/relationships/image" Target="media/image284.png"/><Relationship Id="rId338" Type="http://schemas.openxmlformats.org/officeDocument/2006/relationships/image" Target="media/image285.png"/><Relationship Id="rId339" Type="http://schemas.openxmlformats.org/officeDocument/2006/relationships/image" Target="media/image286.png"/><Relationship Id="rId340" Type="http://schemas.openxmlformats.org/officeDocument/2006/relationships/image" Target="media/image287.png"/><Relationship Id="rId341" Type="http://schemas.openxmlformats.org/officeDocument/2006/relationships/image" Target="media/image288.png"/><Relationship Id="rId342" Type="http://schemas.openxmlformats.org/officeDocument/2006/relationships/image" Target="media/image289.png"/><Relationship Id="rId343" Type="http://schemas.openxmlformats.org/officeDocument/2006/relationships/image" Target="media/image290.png"/><Relationship Id="rId344" Type="http://schemas.openxmlformats.org/officeDocument/2006/relationships/image" Target="media/image291.jpeg"/><Relationship Id="rId274" Type="http://schemas.openxmlformats.org/officeDocument/2006/relationships/hyperlink" Target="https://www.sec.gov/Archives/edgar/data/1818331/000162828021013404/sema4proxy.htm#i8b8880c1ddfa423593153735d1fc233d_1878" TargetMode="External"/><Relationship Id="rId275" Type="http://schemas.openxmlformats.org/officeDocument/2006/relationships/hyperlink" Target="https://www.sec.gov/Archives/edgar/data/0001818331/000181833122000010/exhibit21-mergeragreement2.htm" TargetMode="External"/><Relationship Id="rId276" Type="http://schemas.openxmlformats.org/officeDocument/2006/relationships/hyperlink" Target="https://www.sec.gov/Archives/edgar/data/0001818331/000162828022011605/exhibit992closing8-k.htm" TargetMode="External"/><Relationship Id="rId277" Type="http://schemas.openxmlformats.org/officeDocument/2006/relationships/hyperlink" Target="https://www.sec.gov/Archives/edgar/data/1818331/000162828021014760/exhibit31-super8xk.htm" TargetMode="External"/><Relationship Id="rId278" Type="http://schemas.openxmlformats.org/officeDocument/2006/relationships/hyperlink" Target="https://www.sec.gov/Archives/edgar/data/0001818331/000162828022011605/exhibit31-closing8xk.htm" TargetMode="External"/><Relationship Id="rId279" Type="http://schemas.openxmlformats.org/officeDocument/2006/relationships/hyperlink" Target="https://www.sec.gov/Archives/edgar/data/1818331/000162828021014760/exhibit32-super8xk.htm" TargetMode="External"/><Relationship Id="rId280" Type="http://schemas.openxmlformats.org/officeDocument/2006/relationships/hyperlink" Target="https://www.sec.gov/Archives/edgar/data/1818331/000121390020023383/fs12020a1ex4-3_cmlifesci.htm" TargetMode="External"/><Relationship Id="rId283" Type="http://schemas.openxmlformats.org/officeDocument/2006/relationships/hyperlink" Target="https://www.sec.gov/Archives/edgar/data/1818331/000121390020025454/ea126481ex10-1_cmlife.htm" TargetMode="External"/><Relationship Id="rId284" Type="http://schemas.openxmlformats.org/officeDocument/2006/relationships/hyperlink" Target="https://www.sec.gov/Archives/edgar/data/1818331/000162828021014760/exhibit104-super8xk.htm" TargetMode="External"/><Relationship Id="rId285" Type="http://schemas.openxmlformats.org/officeDocument/2006/relationships/hyperlink" Target="https://www.sec.gov/Archives/edgar/data/1818331/000121390021008253/ea135116ex10-1_cmlife.htm" TargetMode="External"/><Relationship Id="rId286" Type="http://schemas.openxmlformats.org/officeDocument/2006/relationships/hyperlink" Target="https://www.sec.gov/Archives/edgar/data/1818331/000162828021014760/exhibit102-super8xk.htm" TargetMode="External"/><Relationship Id="rId287" Type="http://schemas.openxmlformats.org/officeDocument/2006/relationships/hyperlink" Target="https://www.sec.gov/Archives/edgar/data/1818331/000121390021008253/ea135116ex10-2_cmlife.htm" TargetMode="External"/><Relationship Id="rId288" Type="http://schemas.openxmlformats.org/officeDocument/2006/relationships/hyperlink" Target="https://www.sec.gov/Archives/edgar/data/1818331/000162828021014760/exhibit106-super8xk.htm" TargetMode="External"/><Relationship Id="rId289" Type="http://schemas.openxmlformats.org/officeDocument/2006/relationships/hyperlink" Target="https://www.sec.gov/Archives/edgar/data/1818331/000162828021014760/exhibit107-super8xk.htm" TargetMode="External"/><Relationship Id="rId290" Type="http://schemas.openxmlformats.org/officeDocument/2006/relationships/hyperlink" Target="https://www.sec.gov/Archives/edgar/data/1818331/000162828021014760/exhibit108-super8xk.htm" TargetMode="External"/><Relationship Id="rId291" Type="http://schemas.openxmlformats.org/officeDocument/2006/relationships/hyperlink" Target="https://www.sec.gov/Archives/edgar/data/1818331/000162828021014760/exhibit105-super8xk.htm" TargetMode="External"/><Relationship Id="rId292" Type="http://schemas.openxmlformats.org/officeDocument/2006/relationships/hyperlink" Target="https://www.sec.gov/Archives/edgar/data/1818331/000162828021014760/exhibit109-super8xk.htm" TargetMode="External"/><Relationship Id="rId293" Type="http://schemas.openxmlformats.org/officeDocument/2006/relationships/hyperlink" Target="https://www.sec.gov/Archives/edgar/data/1818331/000162828021014760/exhibit1010-super8xk.htm" TargetMode="External"/><Relationship Id="rId294" Type="http://schemas.openxmlformats.org/officeDocument/2006/relationships/hyperlink" Target="https://www.sec.gov/Archives/edgar/data/1818331/000162828021014760/exhibit1011-super8xk.htm" TargetMode="External"/><Relationship Id="rId295" Type="http://schemas.openxmlformats.org/officeDocument/2006/relationships/hyperlink" Target="https://www.sec.gov/Archives/edgar/data/1818331/000162828021014760/exhibit1012-super8xk.htm" TargetMode="External"/><Relationship Id="rId296" Type="http://schemas.openxmlformats.org/officeDocument/2006/relationships/hyperlink" Target="https://www.sec.gov/Archives/edgar/data/1818331/000162828021014760/exhibit1013-super8xk.htm" TargetMode="External"/><Relationship Id="rId297" Type="http://schemas.openxmlformats.org/officeDocument/2006/relationships/hyperlink" Target="https://www.sec.gov/Archives/edgar/data/1818331/000162828021014760/exhibit1014-super8xk.htm" TargetMode="External"/><Relationship Id="rId298" Type="http://schemas.openxmlformats.org/officeDocument/2006/relationships/hyperlink" Target="https://www.sec.gov/Archives/edgar/data/1818331/000162828021014760/exhibit1015-super8xk.htm" TargetMode="External"/><Relationship Id="rId299" Type="http://schemas.openxmlformats.org/officeDocument/2006/relationships/hyperlink" Target="https://www.sec.gov/Archives/edgar/data/1818331/000162828021014760/exhibit1016-super8xk.htm" TargetMode="External"/><Relationship Id="rId300" Type="http://schemas.openxmlformats.org/officeDocument/2006/relationships/hyperlink" Target="https://www.sec.gov/Archives/edgar/data/1818331/000162828021014760/exhibit1017-super8xk.htm" TargetMode="External"/><Relationship Id="rId301" Type="http://schemas.openxmlformats.org/officeDocument/2006/relationships/hyperlink" Target="https://www.sec.gov/Archives/edgar/data/1818331/000162828021014760/exhibit1018-super8xk.htm" TargetMode="External"/><Relationship Id="rId302" Type="http://schemas.openxmlformats.org/officeDocument/2006/relationships/hyperlink" Target="https://www.sec.gov/Archives/edgar/data/1818331/000162828021014760/exhibit1019-super8xk.htm" TargetMode="External"/><Relationship Id="rId303" Type="http://schemas.openxmlformats.org/officeDocument/2006/relationships/hyperlink" Target="https://www.sec.gov/Archives/edgar/data/1818331/000162828021014760/exhibit1020-super8xk.htm" TargetMode="External"/><Relationship Id="rId304" Type="http://schemas.openxmlformats.org/officeDocument/2006/relationships/hyperlink" Target="https://www.sec.gov/Archives/edgar/data/1818331/000162828021014760/exhibit1021-super8xk.htm" TargetMode="External"/><Relationship Id="rId306" Type="http://schemas.openxmlformats.org/officeDocument/2006/relationships/hyperlink" Target="https://www.sec.gov/Archives/edgar/data/1818331/000162828021014760/exhibit1022-super8xk.htm" TargetMode="External"/><Relationship Id="rId307" Type="http://schemas.openxmlformats.org/officeDocument/2006/relationships/hyperlink" Target="https://www.sec.gov/Archives/edgar/data/1818331/000162828021014760/exhibit1023-super8xk.htm" TargetMode="External"/><Relationship Id="rId308" Type="http://schemas.openxmlformats.org/officeDocument/2006/relationships/hyperlink" Target="https://www.sec.gov/Archives/edgar/data/1818331/000162828021014760/exhibit1024-super8xk.htm" TargetMode="External"/><Relationship Id="rId309" Type="http://schemas.openxmlformats.org/officeDocument/2006/relationships/hyperlink" Target="https://www.sec.gov/Archives/edgar/data/1818331/000162828021014760/exhibit1025-super8xk.htm" TargetMode="External"/><Relationship Id="rId310" Type="http://schemas.openxmlformats.org/officeDocument/2006/relationships/hyperlink" Target="https://www.sec.gov/Archives/edgar/data/1818331/000162828021014760/exhibit1026-super8xk.htm" TargetMode="External"/><Relationship Id="rId311" Type="http://schemas.openxmlformats.org/officeDocument/2006/relationships/hyperlink" Target="https://www.sec.gov/Archives/edgar/data/1818331/000162828021014760/exhibit1027-super8xk.htm" TargetMode="External"/><Relationship Id="rId312" Type="http://schemas.openxmlformats.org/officeDocument/2006/relationships/hyperlink" Target="https://www.sec.gov/Archives/edgar/data/1818331/000162828021019193/exhibit996-sx8.htm" TargetMode="External"/><Relationship Id="rId313" Type="http://schemas.openxmlformats.org/officeDocument/2006/relationships/hyperlink" Target="https://www.sec.gov/Archives/edgar/data/0001818331/000181833121000012/sema4-svbxxloanandsecurity.htm" TargetMode="External"/><Relationship Id="rId314" Type="http://schemas.openxmlformats.org/officeDocument/2006/relationships/hyperlink" Target="https://www.sec.gov/Archives/edgar/data/0001818331/000121390021008253/ea135116ex10-1_cmlife.htm" TargetMode="External"/><Relationship Id="rId315" Type="http://schemas.openxmlformats.org/officeDocument/2006/relationships/hyperlink" Target="https://www.sec.gov/Archives/edgar/data/1818331/000181833122000010/exhibit102-formofsharehold.htm" TargetMode="External"/><Relationship Id="rId316" Type="http://schemas.openxmlformats.org/officeDocument/2006/relationships/hyperlink" Target="https://www.sec.gov/Archives/edgar/data/1818331/000181833122000010/exhibit103-formofstockhold.htm" TargetMode="External"/><Relationship Id="rId317" Type="http://schemas.openxmlformats.org/officeDocument/2006/relationships/hyperlink" Target="https://www.sec.gov/Archives/edgar/data/1818331/000181833122000010/exhibit104-formofpipeinves.htm" TargetMode="External"/><Relationship Id="rId318" Type="http://schemas.openxmlformats.org/officeDocument/2006/relationships/hyperlink" Target="https://www.sec.gov/Archives/edgar/data/1818331/000181833122000022/sema4-separationagreement.htm" TargetMode="External"/><Relationship Id="rId319" Type="http://schemas.openxmlformats.org/officeDocument/2006/relationships/hyperlink" Target="https://www.sec.gov/Archives/edgar/data/0001818331/000181833122000037/fw_15470948x3xsema4-execut.htm" TargetMode="External"/><Relationship Id="rId320" Type="http://schemas.openxmlformats.org/officeDocument/2006/relationships/hyperlink" Target="https://www.sec.gov/Archives/edgar/data/0001818331/000162828022011605/exhibit102-closing8xk.htm" TargetMode="External"/><Relationship Id="rId321" Type="http://schemas.openxmlformats.org/officeDocument/2006/relationships/hyperlink" Target="https://www.sec.gov/Archives/edgar/data/0001818331/000162828022011605/exhibit101closing8-k.htm" TargetMode="External"/><Relationship Id="rId322" Type="http://schemas.openxmlformats.org/officeDocument/2006/relationships/hyperlink" Target="https://www.sec.gov/Archives/edgar/data/0001818331/000181833122000037/sema4-10xkfy2021xex211sub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2022-05-03T05:23:54Z</dcterms:created>
  <dcterms:modified xsi:type="dcterms:W3CDTF">2022-05-03T05:23:54Z</dcterms:modified>
</cp:coreProperties>
</file>