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CM Life Sciences,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1" w:right="339" w:bottom="0" w:gutter="0" w:footer="0" w:header="0"/>
        </w:sectPr>
      </w:pPr>
    </w:p>
    <w:p>
      <w:pPr>
        <w:spacing w:after="0" w:line="200" w:lineRule="exact"/>
        <w:rPr>
          <w:sz w:val="24"/>
          <w:szCs w:val="24"/>
          <w:color w:val="auto"/>
        </w:rPr>
      </w:pPr>
    </w:p>
    <w:p>
      <w:pPr>
        <w:spacing w:after="0" w:line="289"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001-39482</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85-1966622</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400" w:space="720"/>
            <w:col w:w="2900" w:space="720"/>
            <w:col w:w="2500"/>
          </w:cols>
          <w:pgMar w:left="320" w:top="1151" w:right="339" w:bottom="0" w:gutter="0" w:footer="0" w:header="0"/>
          <w:type w:val="continuous"/>
        </w:sectPr>
      </w:pPr>
    </w:p>
    <w:p>
      <w:pPr>
        <w:spacing w:after="0" w:line="7"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c/o Corvex Management LP</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98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10065</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400" w:space="720"/>
            <w:col w:w="3120"/>
          </w:cols>
          <w:pgMar w:left="320" w:top="1151" w:right="3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474-6745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191"/>
        </w:trPr>
        <w:tc>
          <w:tcPr>
            <w:tcW w:w="362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86"/>
              </w:rPr>
              <w:t>Units, each consisting of one share of Class A</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rPr>
              <w:t>CMLFU</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8"/>
              </w:rPr>
              <w:t>common stock and one-third of one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1"/>
              </w:rPr>
              <w:t>redeemable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Class A common stock, par value $0.0001 per</w:t>
            </w:r>
          </w:p>
        </w:tc>
        <w:tc>
          <w:tcPr>
            <w:tcW w:w="380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rPr>
              <w:t>CMLF</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Redeemable warrants, each whole warrant</w:t>
            </w:r>
          </w:p>
        </w:tc>
        <w:tc>
          <w:tcPr>
            <w:tcW w:w="3800" w:type="dxa"/>
            <w:vAlign w:val="bottom"/>
            <w:gridSpan w:val="2"/>
            <w:shd w:val="clear" w:color="auto" w:fill="CCEEFF"/>
          </w:tcPr>
          <w:p>
            <w:pPr>
              <w:jc w:val="center"/>
              <w:ind w:right="200"/>
              <w:spacing w:after="0" w:line="198" w:lineRule="exact"/>
              <w:rPr>
                <w:sz w:val="20"/>
                <w:szCs w:val="20"/>
                <w:color w:val="auto"/>
              </w:rPr>
            </w:pPr>
            <w:r>
              <w:rPr>
                <w:rFonts w:ascii="Arial" w:cs="Arial" w:eastAsia="Arial" w:hAnsi="Arial"/>
                <w:sz w:val="18"/>
                <w:szCs w:val="18"/>
                <w:b w:val="1"/>
                <w:bCs w:val="1"/>
                <w:color w:val="auto"/>
              </w:rPr>
              <w:t>CMLFW</w:t>
            </w:r>
          </w:p>
        </w:tc>
        <w:tc>
          <w:tcPr>
            <w:tcW w:w="36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7"/>
              </w:rPr>
              <w:t>exercisable for one share of Class A common</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7"/>
              </w:rPr>
              <w:t>stock, each at an exercise price of $11.50 per</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previously reported on February 11, 2021, CM Life Sciences, Inc., a Delaware corporation (the “Company”), entered into an agreement and plan of merger (the “Merger Agreement”), by and among the Company, Mount Sinai Genomics, Inc., a Delaware corporation, d/b/a Sema4 (“Sema4”) and S-IV Sub, Inc., a Delaware corporation and a direct, wholly-owned subsidiary of the Company (“Merger Sub”) (the transactions contemplated by the Merger Agreement, the “Business Combination”). In connection with the Business Combination between the Company and Sema4, the Company filed a preliminary proxy statement (File No. 001-39482) (as amended, the “Preliminary Proxy Statement”) with the U.S. Securities and Exchange Commission (the “SEC”) on May 6, 2021. On July 2, 2021, the Company filed a Definitive Proxy Statement relating to the Company’s special meeting scheduled to be held on July 21, 2021 (the “Definitive Proxy Statement”), to, among other things, obtain the approvals required to consummate the Business Combination.</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the initial filing of the Preliminary Proxy Statement, purported shareholders of the Company have sent demand letters in connection with the Business Combination (the “Demand Letters”).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including in this Current Report on Form 8-K certain supplemental disclosures regarding the Business Combination. The Company and its board of directors believe that the allegations and claims asserted in the Demand Letters lack merit, and that the supplemental disclosures set forth herein are not required or necessary under applicable laws. However, solely in order to avoid the risk of the Demand Letters delaying or otherwise adversely affecting the Business Combination and to minimize the costs, risks, and uncertainties inherent in defending the claims, the Company hereby voluntarily amends and supplements the Definitive Proxy Statement, as set forth in this Current Report on Form 8-K. The Company and the members of its board of directors deny any liability or wrongdoing in connection with the Definitive Proxy Statement, and nothing in this Current Report on Form 8-K should be construed as an admission of the legal necessity or materiality under applicable laws of any of the supplemental disclosures.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SUPPLEMENT TO DEFINITIVE PROXY STATEMENT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This supplemental information should be read in conjunction with the Definitive Proxy Statement, which should be read in its entirety and is available free of charge on the Internet site maintained by the SEC at http://www.sec.gov. Page references in the below disclosures are to pages in the Definitive Proxy Statement, and defined terms used but not defined herein have the meanings set forth in the Definitive Proxy Statement. To the extent the following information differs from or conflicts with the information contained in the Definitive Proxy Statement, the information set forth below shall be deemed to supersede the respective information in the Definitive Proxy Statement. New text is underlined, and deleted text is stricken through.</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disclosure on page 157 of the Definitive Proxy Statement is hereby supplemented by adding in an additional paragraph as follows:</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On February 8, 2021, the Company retained Cowen and Company LLC (“Cowen”) as its capital markets advisor to assist the Company with various aspects of investor outreach. Cowen is entitled to customary advisory fees, consistent with market practice. On February 9, 2021, the Company retained Jefferies as its placement agent and merger and acquisitions advisor in connection with the proposed PIPE financing transaction in connection with the Business Combination. Jefferies will receive customary PIPE placement agent fees and merger and acquisitions fees, consistent with market practice. All of the aforementioned fees are contingent on the Closing of the PIPE financing transaction and/or the Business Combination.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disclosure on page 156 of the Definitive Proxy Statement regarding the meeting held on January 14, 2021, is hereby supplemented by adding a new sentence at the end of the eleventh paragraph as follows: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The parties also discussed the possibility of having Mr. Casdin and certain other directors of the Company join the board of the post- combination company, which the parties later agreed to do.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disclosure on page 160 of the Definitive Proxy Statement is hereby supplemented by adding in the following disclosure as footnote 1 to the chart regarding comparable companies:</w:t>
      </w:r>
    </w:p>
    <w:p>
      <w:pPr>
        <w:spacing w:after="0" w:line="170" w:lineRule="exact"/>
        <w:rPr>
          <w:sz w:val="20"/>
          <w:szCs w:val="20"/>
          <w:color w:val="auto"/>
        </w:rPr>
      </w:pPr>
    </w:p>
    <w:p>
      <w:pPr>
        <w:ind w:firstLine="8"/>
        <w:spacing w:after="0" w:line="308" w:lineRule="auto"/>
        <w:tabs>
          <w:tab w:leader="none" w:pos="274" w:val="left"/>
        </w:tabs>
        <w:numPr>
          <w:ilvl w:val="0"/>
          <w:numId w:val="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Enterprise Value/CY21 Revenue for the individual comparable companies identified above were as follows: Progenity, Inc.: 2.9x, Myriad Genetics, Inc.: 2.3x, Natera, Inc.: 15.3x, Invitae Corporation: 17.1x, Guardant Health, Inc.: 32.4x, and NeoGenomics Laboratories, Inc.: 11.3x.</w:t>
      </w:r>
    </w:p>
    <w:p>
      <w:pPr>
        <w:spacing w:after="0" w:line="142" w:lineRule="exact"/>
        <w:rPr>
          <w:rFonts w:ascii="Arial" w:cs="Arial" w:eastAsia="Arial" w:hAnsi="Arial"/>
          <w:sz w:val="17"/>
          <w:szCs w:val="17"/>
          <w:u w:val="single" w:color="auto"/>
          <w:color w:val="auto"/>
        </w:rPr>
      </w:pPr>
    </w:p>
    <w:p>
      <w:pPr>
        <w:ind w:left="3560" w:hanging="98"/>
        <w:spacing w:after="0"/>
        <w:tabs>
          <w:tab w:leader="none" w:pos="356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END OF SUPPLEMENT TO PROXY STATEMENT –</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About the Proposed Business Combination and Where to Find It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Business Combination, the Company has filed with the SEC a definitive proxy statement (the “Proxy Statement”), which includes the proxy statement and certain other related documents and is both the proxy statement distributed to holders of shares of the Company’s common stock in connection with the Company’s solicitation of proxies for the vote by the Company’s stockholders with respect to the Business Combination and other matters as may be described in the Proxy Statement. The Proxy Statement was filed with the SEC on July 2, 2021, and the Company commenced mailing the proxy statement to its stockholders on or about July 6, 2021. The Company’s stockholders and other interested persons are advised to read the Proxy Statement and any amendments thereto, as well as other documents filed with the SEC in connection with the Business Combination, as these materials contain important information about the parties to the Merger Agreement and the Business Combination. Stockholders may also obtain copies of the proxy statement, and other documents filed with the SEC, without charge, at the SEC’s web site at www.sec.gov. These documents may also be obtained free of charge at CM Life Sciences’ website at https://cmlifesciencesspac.com/ or upon written request to CM Life Sciences: c/o Corvex Management, 667 Madison Ave, New York, NY 10065.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and Sema4 and their respective directors and executive officers may be deemed to be participants in the solicitation of proxies from the Company’s shareholders in connection with the proposed transaction. Information about the Company’s directors and executive officers and their ownership of the Company’s securities is set forth in the Company’s filings with the SEC. To the extent that holdings of the Company’s securities have changed since the amounts reported in the Company’s proxy statement, such changes have been or will be reflected on Statements of Change in Ownership on Form 4 filed with the SEC. A list of the names of such directors and executive officers and information regarding their interests in the Business Combination are contained in the definitive proxy statement. You may obtain free copies of these documents as described in the preceding paragraph.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Current Report on Form 8-K shall not constitute a solicitation of a proxy, consent or authorization with respect to any securities or in respect of the Business Combination. This Current Report on Form 8-K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1920"/>
              <w:spacing w:after="0"/>
              <w:rPr>
                <w:sz w:val="20"/>
                <w:szCs w:val="20"/>
                <w:color w:val="auto"/>
              </w:rPr>
            </w:pPr>
            <w:r>
              <w:rPr>
                <w:rFonts w:ascii="Arial" w:cs="Arial" w:eastAsia="Arial" w:hAnsi="Arial"/>
                <w:sz w:val="18"/>
                <w:szCs w:val="18"/>
                <w:b w:val="1"/>
                <w:bCs w:val="1"/>
                <w:color w:val="auto"/>
              </w:rPr>
              <w:t>CM LIFE SCIENCES, INC.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Dated: July 19, 2021</w:t>
            </w:r>
          </w:p>
        </w:tc>
        <w:tc>
          <w:tcPr>
            <w:tcW w:w="7800" w:type="dxa"/>
            <w:vAlign w:val="bottom"/>
            <w:gridSpan w:val="2"/>
          </w:tcPr>
          <w:p>
            <w:pPr>
              <w:ind w:left="1920"/>
              <w:spacing w:after="0"/>
              <w:rPr>
                <w:sz w:val="20"/>
                <w:szCs w:val="20"/>
                <w:color w:val="auto"/>
              </w:rPr>
            </w:pPr>
            <w:r>
              <w:rPr>
                <w:rFonts w:ascii="Arial" w:cs="Arial" w:eastAsia="Arial" w:hAnsi="Arial"/>
                <w:sz w:val="18"/>
                <w:szCs w:val="18"/>
                <w:color w:val="auto"/>
              </w:rPr>
              <w:t>By:   /s/ Eli Casdin</w:t>
            </w:r>
          </w:p>
        </w:tc>
      </w:tr>
      <w:tr>
        <w:trPr>
          <w:trHeight w:val="20"/>
        </w:trPr>
        <w:tc>
          <w:tcPr>
            <w:tcW w:w="3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r>
      <w:tr>
        <w:trPr>
          <w:trHeight w:val="195"/>
        </w:trPr>
        <w:tc>
          <w:tcPr>
            <w:tcW w:w="3440" w:type="dxa"/>
            <w:vAlign w:val="bottom"/>
          </w:tcPr>
          <w:p>
            <w:pPr>
              <w:spacing w:after="0"/>
              <w:rPr>
                <w:sz w:val="16"/>
                <w:szCs w:val="16"/>
                <w:color w:val="auto"/>
              </w:rPr>
            </w:pPr>
          </w:p>
        </w:tc>
        <w:tc>
          <w:tcPr>
            <w:tcW w:w="7800" w:type="dxa"/>
            <w:vAlign w:val="bottom"/>
            <w:gridSpan w:val="2"/>
          </w:tcPr>
          <w:p>
            <w:pPr>
              <w:ind w:left="1920"/>
              <w:spacing w:after="0" w:line="195" w:lineRule="exact"/>
              <w:rPr>
                <w:sz w:val="20"/>
                <w:szCs w:val="20"/>
                <w:color w:val="auto"/>
              </w:rPr>
            </w:pPr>
            <w:r>
              <w:rPr>
                <w:rFonts w:ascii="Arial" w:cs="Arial" w:eastAsia="Arial" w:hAnsi="Arial"/>
                <w:sz w:val="18"/>
                <w:szCs w:val="18"/>
                <w:color w:val="auto"/>
              </w:rPr>
              <w:t>Name:Eli Casdin</w:t>
            </w:r>
          </w:p>
        </w:tc>
      </w:tr>
      <w:tr>
        <w:trPr>
          <w:trHeight w:val="230"/>
        </w:trPr>
        <w:tc>
          <w:tcPr>
            <w:tcW w:w="3440" w:type="dxa"/>
            <w:vAlign w:val="bottom"/>
          </w:tcPr>
          <w:p>
            <w:pPr>
              <w:spacing w:after="0"/>
              <w:rPr>
                <w:sz w:val="20"/>
                <w:szCs w:val="20"/>
                <w:color w:val="auto"/>
              </w:rPr>
            </w:pPr>
          </w:p>
        </w:tc>
        <w:tc>
          <w:tcPr>
            <w:tcW w:w="7800" w:type="dxa"/>
            <w:vAlign w:val="bottom"/>
            <w:gridSpan w:val="2"/>
          </w:tcPr>
          <w:p>
            <w:pPr>
              <w:ind w:left="1920"/>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3440" w:type="dxa"/>
            <w:vAlign w:val="bottom"/>
          </w:tcPr>
          <w:p>
            <w:pPr>
              <w:spacing w:after="0"/>
              <w:rPr>
                <w:sz w:val="24"/>
                <w:szCs w:val="24"/>
                <w:color w:val="auto"/>
              </w:rPr>
            </w:pPr>
          </w:p>
        </w:tc>
        <w:tc>
          <w:tcPr>
            <w:tcW w:w="2420" w:type="dxa"/>
            <w:vAlign w:val="bottom"/>
          </w:tcPr>
          <w:p>
            <w:pPr>
              <w:ind w:left="2140"/>
              <w:spacing w:after="0"/>
              <w:rPr>
                <w:sz w:val="20"/>
                <w:szCs w:val="20"/>
                <w:color w:val="auto"/>
              </w:rPr>
            </w:pPr>
            <w:r>
              <w:rPr>
                <w:rFonts w:ascii="Arial" w:cs="Arial" w:eastAsia="Arial" w:hAnsi="Arial"/>
                <w:sz w:val="18"/>
                <w:szCs w:val="18"/>
                <w:color w:val="auto"/>
              </w:rPr>
              <w:t>4</w:t>
            </w:r>
          </w:p>
        </w:tc>
        <w:tc>
          <w:tcPr>
            <w:tcW w:w="5380" w:type="dxa"/>
            <w:vAlign w:val="bottom"/>
          </w:tcPr>
          <w:p>
            <w:pPr>
              <w:spacing w:after="0"/>
              <w:rPr>
                <w:sz w:val="24"/>
                <w:szCs w:val="24"/>
                <w:color w:val="auto"/>
              </w:rPr>
            </w:pPr>
          </w:p>
        </w:tc>
      </w:tr>
      <w:tr>
        <w:trPr>
          <w:trHeight w:val="223"/>
        </w:trPr>
        <w:tc>
          <w:tcPr>
            <w:tcW w:w="34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5380" w:type="dxa"/>
            <w:vAlign w:val="bottom"/>
            <w:tcBorders>
              <w:bottom w:val="single" w:sz="8" w:color="auto"/>
            </w:tcBorders>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240"/>
      </w:cols>
      <w:pgMar w:left="320" w:top="13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2021-07-19T15:54:12Z</dcterms:created>
  <dcterms:modified xsi:type="dcterms:W3CDTF">2021-07-19T15:54:12Z</dcterms:modified>
</cp:coreProperties>
</file>