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Leproust Emily M.</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10/15/2021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restart"/>
          </w:tcPr>
          <w:p>
            <w:pPr>
              <w:ind w:left="20"/>
              <w:spacing w:after="0"/>
              <w:rPr>
                <w:sz w:val="20"/>
                <w:szCs w:val="20"/>
                <w:color w:val="auto"/>
              </w:rPr>
            </w:pPr>
            <w:r>
              <w:rPr>
                <w:rFonts w:ascii="Arial" w:cs="Arial" w:eastAsia="Arial" w:hAnsi="Arial"/>
                <w:sz w:val="17"/>
                <w:szCs w:val="17"/>
                <w:color w:val="0000FF"/>
                <w:w w:val="95"/>
              </w:rPr>
              <w:t>333 LUDLOW STREET, NORTH TOWER, 8TH FL.</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STAMFORD</w:t>
            </w:r>
          </w:p>
        </w:tc>
        <w:tc>
          <w:tcPr>
            <w:tcW w:w="1220" w:type="dxa"/>
            <w:vAlign w:val="bottom"/>
            <w:gridSpan w:val="3"/>
          </w:tcPr>
          <w:p>
            <w:pPr>
              <w:spacing w:after="0"/>
              <w:rPr>
                <w:sz w:val="20"/>
                <w:szCs w:val="20"/>
                <w:color w:val="auto"/>
              </w:rPr>
            </w:pPr>
            <w:r>
              <w:rPr>
                <w:rFonts w:ascii="Arial" w:cs="Arial" w:eastAsia="Arial" w:hAnsi="Arial"/>
                <w:sz w:val="17"/>
                <w:szCs w:val="17"/>
                <w:color w:val="0000FF"/>
              </w:rPr>
              <w:t>CT</w:t>
            </w:r>
          </w:p>
        </w:tc>
        <w:tc>
          <w:tcPr>
            <w:tcW w:w="1100" w:type="dxa"/>
            <w:vAlign w:val="bottom"/>
          </w:tcPr>
          <w:p>
            <w:pPr>
              <w:spacing w:after="0"/>
              <w:rPr>
                <w:sz w:val="20"/>
                <w:szCs w:val="20"/>
                <w:color w:val="auto"/>
              </w:rPr>
            </w:pPr>
            <w:r>
              <w:rPr>
                <w:rFonts w:ascii="Arial" w:cs="Arial" w:eastAsia="Arial" w:hAnsi="Arial"/>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right="2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7.79</w:t>
            </w:r>
          </w:p>
        </w:tc>
        <w:tc>
          <w:tcPr>
            <w:tcW w:w="140" w:type="dxa"/>
            <w:vAlign w:val="bottom"/>
          </w:tcPr>
          <w:p>
            <w:pPr>
              <w:spacing w:after="0"/>
              <w:rPr>
                <w:sz w:val="12"/>
                <w:szCs w:val="12"/>
                <w:color w:val="auto"/>
              </w:rPr>
            </w:pPr>
          </w:p>
        </w:tc>
        <w:tc>
          <w:tcPr>
            <w:tcW w:w="1080" w:type="dxa"/>
            <w:vAlign w:val="bottom"/>
            <w:gridSpan w:val="2"/>
          </w:tcPr>
          <w:p>
            <w:pPr>
              <w:jc w:val="right"/>
              <w:ind w:right="156"/>
              <w:spacing w:after="0" w:line="142" w:lineRule="exact"/>
              <w:rPr>
                <w:sz w:val="20"/>
                <w:szCs w:val="20"/>
                <w:color w:val="auto"/>
              </w:rPr>
            </w:pPr>
            <w:r>
              <w:rPr>
                <w:rFonts w:ascii="Arial" w:cs="Arial" w:eastAsia="Arial" w:hAnsi="Arial"/>
                <w:sz w:val="13"/>
                <w:szCs w:val="13"/>
                <w:color w:val="0000FF"/>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3"/>
              <w:spacing w:after="0" w:line="142" w:lineRule="exact"/>
              <w:rPr>
                <w:sz w:val="20"/>
                <w:szCs w:val="20"/>
                <w:color w:val="auto"/>
              </w:rPr>
            </w:pPr>
            <w:r>
              <w:rPr>
                <w:rFonts w:ascii="Arial" w:cs="Arial" w:eastAsia="Arial" w:hAnsi="Arial"/>
                <w:sz w:val="13"/>
                <w:szCs w:val="13"/>
                <w:color w:val="0000FF"/>
                <w:w w:val="95"/>
              </w:rPr>
              <w:t>10/14/2031</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Arial" w:cs="Arial" w:eastAsia="Arial" w:hAnsi="Arial"/>
                <w:sz w:val="13"/>
                <w:szCs w:val="13"/>
                <w:color w:val="0000FF"/>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and restricted stock units ("RSUs") will vest on the earlier of (i) the date of the next annual meeting of the Issuer's shareholders following the grant date and (i) the first anniversary of the grant date, in each case so long as the Reporting Person continues to provide services to the Issuer through such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1 share of the Issuer's Class A Common Stock upon settlement for no consideration.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65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2021-10-19T18:24:01Z</dcterms:created>
  <dcterms:modified xsi:type="dcterms:W3CDTF">2021-10-19T18:24:01Z</dcterms:modified>
</cp:coreProperties>
</file>