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6"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-220345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40" w:type="dxa"/>
            <w:vAlign w:val="bottom"/>
          </w:tcPr>
          <w:p>
            <w:pPr>
              <w:jc w:val="center"/>
              <w:ind w:right="34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41"/>
              <w:spacing w:after="0" w:line="134"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61"/>
              <w:spacing w:after="0" w:line="178"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5172075</wp:posOffset>
            </wp:positionH>
            <wp:positionV relativeFrom="paragraph">
              <wp:posOffset>-593090</wp:posOffset>
            </wp:positionV>
            <wp:extent cx="5651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642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-593090</wp:posOffset>
            </wp:positionV>
            <wp:extent cx="5651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642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21590</wp:posOffset>
            </wp:positionV>
            <wp:extent cx="7000875" cy="8372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0875" cy="83724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40" w:space="580"/>
            <w:col w:w="8360"/>
          </w:cols>
          <w:pgMar w:left="460" w:top="218"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Meister Keith A.</w:t>
        </w:r>
      </w:hyperlink>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Arial" w:cs="Arial" w:eastAsia="Arial" w:hAnsi="Arial"/>
                <w:sz w:val="12"/>
                <w:szCs w:val="12"/>
                <w:color w:val="auto"/>
              </w:rPr>
              <w:t>(Last)</w:t>
            </w:r>
          </w:p>
        </w:tc>
        <w:tc>
          <w:tcPr>
            <w:tcW w:w="1380" w:type="dxa"/>
            <w:vAlign w:val="bottom"/>
          </w:tcPr>
          <w:p>
            <w:pPr>
              <w:ind w:left="180"/>
              <w:spacing w:after="0"/>
              <w:rPr>
                <w:sz w:val="20"/>
                <w:szCs w:val="20"/>
                <w:color w:val="auto"/>
              </w:rPr>
            </w:pPr>
            <w:r>
              <w:rPr>
                <w:rFonts w:ascii="Arial" w:cs="Arial" w:eastAsia="Arial" w:hAnsi="Arial"/>
                <w:sz w:val="12"/>
                <w:szCs w:val="12"/>
                <w:color w:val="auto"/>
              </w:rPr>
              <w:t>(First)</w:t>
            </w:r>
          </w:p>
        </w:tc>
        <w:tc>
          <w:tcPr>
            <w:tcW w:w="1240" w:type="dxa"/>
            <w:vAlign w:val="bottom"/>
          </w:tcPr>
          <w:p>
            <w:pPr>
              <w:ind w:left="40"/>
              <w:spacing w:after="0"/>
              <w:rPr>
                <w:sz w:val="20"/>
                <w:szCs w:val="20"/>
                <w:color w:val="auto"/>
              </w:rPr>
            </w:pPr>
            <w:r>
              <w:rPr>
                <w:rFonts w:ascii="Arial" w:cs="Arial" w:eastAsia="Arial" w:hAnsi="Arial"/>
                <w:sz w:val="12"/>
                <w:szCs w:val="12"/>
                <w:color w:val="auto"/>
              </w:rPr>
              <w:t>(Middle)</w:t>
            </w:r>
          </w:p>
        </w:tc>
      </w:tr>
      <w:tr>
        <w:trPr>
          <w:trHeight w:val="254"/>
        </w:trPr>
        <w:tc>
          <w:tcPr>
            <w:tcW w:w="20" w:type="dxa"/>
            <w:vAlign w:val="bottom"/>
          </w:tcPr>
          <w:p>
            <w:pPr>
              <w:spacing w:after="0"/>
              <w:rPr>
                <w:sz w:val="22"/>
                <w:szCs w:val="22"/>
                <w:color w:val="auto"/>
              </w:rPr>
            </w:pPr>
          </w:p>
        </w:tc>
        <w:tc>
          <w:tcPr>
            <w:tcW w:w="2420" w:type="dxa"/>
            <w:vAlign w:val="bottom"/>
            <w:gridSpan w:val="2"/>
          </w:tcPr>
          <w:p>
            <w:pPr>
              <w:spacing w:after="0"/>
              <w:rPr>
                <w:sz w:val="20"/>
                <w:szCs w:val="20"/>
                <w:color w:val="auto"/>
              </w:rPr>
            </w:pPr>
            <w:r>
              <w:rPr>
                <w:rFonts w:ascii="Arial" w:cs="Arial" w:eastAsia="Arial" w:hAnsi="Arial"/>
                <w:sz w:val="16"/>
                <w:szCs w:val="16"/>
                <w:color w:val="0000FF"/>
                <w:w w:val="98"/>
              </w:rPr>
              <w:t>C/O CORVEX MANAGEMENT LP</w:t>
            </w:r>
          </w:p>
        </w:tc>
        <w:tc>
          <w:tcPr>
            <w:tcW w:w="1240" w:type="dxa"/>
            <w:vAlign w:val="bottom"/>
          </w:tcPr>
          <w:p>
            <w:pPr>
              <w:spacing w:after="0"/>
              <w:rPr>
                <w:sz w:val="22"/>
                <w:szCs w:val="22"/>
                <w:color w:val="auto"/>
              </w:rPr>
            </w:pPr>
          </w:p>
        </w:tc>
      </w:tr>
      <w:tr>
        <w:trPr>
          <w:trHeight w:val="244"/>
        </w:trPr>
        <w:tc>
          <w:tcPr>
            <w:tcW w:w="2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Arial" w:cs="Arial" w:eastAsia="Arial" w:hAnsi="Arial"/>
                <w:sz w:val="16"/>
                <w:szCs w:val="16"/>
                <w:color w:val="0000FF"/>
              </w:rPr>
              <w:t>667 MADISON AVENUE</w:t>
            </w:r>
          </w:p>
        </w:tc>
        <w:tc>
          <w:tcPr>
            <w:tcW w:w="1240" w:type="dxa"/>
            <w:vAlign w:val="bottom"/>
          </w:tcPr>
          <w:p>
            <w:pPr>
              <w:spacing w:after="0"/>
              <w:rPr>
                <w:sz w:val="21"/>
                <w:szCs w:val="21"/>
                <w:color w:val="auto"/>
              </w:rPr>
            </w:pPr>
          </w:p>
        </w:tc>
      </w:tr>
      <w:tr>
        <w:trPr>
          <w:trHeight w:val="141"/>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43"/>
        </w:trPr>
        <w:tc>
          <w:tcPr>
            <w:tcW w:w="10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6"/>
                <w:szCs w:val="16"/>
                <w:color w:val="0000FF"/>
              </w:rPr>
              <w:t>NEW YORK</w:t>
            </w:r>
          </w:p>
        </w:tc>
        <w:tc>
          <w:tcPr>
            <w:tcW w:w="1380" w:type="dxa"/>
            <w:vAlign w:val="bottom"/>
          </w:tcPr>
          <w:p>
            <w:pPr>
              <w:ind w:left="180"/>
              <w:spacing w:after="0"/>
              <w:rPr>
                <w:sz w:val="20"/>
                <w:szCs w:val="20"/>
                <w:color w:val="auto"/>
              </w:rPr>
            </w:pPr>
            <w:r>
              <w:rPr>
                <w:rFonts w:ascii="Arial" w:cs="Arial" w:eastAsia="Arial" w:hAnsi="Arial"/>
                <w:sz w:val="16"/>
                <w:szCs w:val="16"/>
                <w:color w:val="0000FF"/>
              </w:rPr>
              <w:t>NY</w:t>
            </w:r>
          </w:p>
        </w:tc>
        <w:tc>
          <w:tcPr>
            <w:tcW w:w="1240" w:type="dxa"/>
            <w:vAlign w:val="bottom"/>
          </w:tcPr>
          <w:p>
            <w:pPr>
              <w:ind w:left="40"/>
              <w:spacing w:after="0"/>
              <w:rPr>
                <w:sz w:val="20"/>
                <w:szCs w:val="20"/>
                <w:color w:val="auto"/>
              </w:rPr>
            </w:pPr>
            <w:r>
              <w:rPr>
                <w:rFonts w:ascii="Arial" w:cs="Arial" w:eastAsia="Arial" w:hAnsi="Arial"/>
                <w:sz w:val="16"/>
                <w:szCs w:val="16"/>
                <w:color w:val="0000FF"/>
              </w:rPr>
              <w:t>10065</w:t>
            </w:r>
          </w:p>
        </w:tc>
      </w:tr>
      <w:tr>
        <w:trPr>
          <w:trHeight w:val="141"/>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80"/>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2"/>
                <w:szCs w:val="12"/>
                <w:color w:val="auto"/>
              </w:rPr>
              <w:t>(City)</w:t>
            </w:r>
          </w:p>
        </w:tc>
        <w:tc>
          <w:tcPr>
            <w:tcW w:w="1380" w:type="dxa"/>
            <w:vAlign w:val="bottom"/>
          </w:tcPr>
          <w:p>
            <w:pPr>
              <w:ind w:left="180"/>
              <w:spacing w:after="0"/>
              <w:rPr>
                <w:sz w:val="20"/>
                <w:szCs w:val="20"/>
                <w:color w:val="auto"/>
              </w:rPr>
            </w:pPr>
            <w:r>
              <w:rPr>
                <w:rFonts w:ascii="Arial" w:cs="Arial" w:eastAsia="Arial" w:hAnsi="Arial"/>
                <w:sz w:val="12"/>
                <w:szCs w:val="12"/>
                <w:color w:val="auto"/>
              </w:rPr>
              <w:t>(State)</w:t>
            </w:r>
          </w:p>
        </w:tc>
        <w:tc>
          <w:tcPr>
            <w:tcW w:w="1240" w:type="dxa"/>
            <w:vAlign w:val="bottom"/>
          </w:tcPr>
          <w:p>
            <w:pPr>
              <w:ind w:left="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20" w:type="dxa"/>
            <w:vAlign w:val="bottom"/>
            <w:gridSpan w:val="3"/>
          </w:tcPr>
          <w:p>
            <w:pPr>
              <w:ind w:left="20"/>
              <w:spacing w:after="0"/>
              <w:rPr>
                <w:sz w:val="20"/>
                <w:szCs w:val="20"/>
                <w:color w:val="auto"/>
              </w:rPr>
            </w:pPr>
            <w:r>
              <w:rPr>
                <w:rFonts w:ascii="Arial" w:cs="Arial" w:eastAsia="Arial" w:hAnsi="Arial"/>
                <w:sz w:val="12"/>
                <w:szCs w:val="12"/>
                <w:color w:val="auto"/>
              </w:rPr>
              <w:t>Relationship of Reporting Person(s) to Issuer</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3780" w:type="dxa"/>
            <w:vAlign w:val="bottom"/>
            <w:gridSpan w:val="3"/>
          </w:tcPr>
          <w:p>
            <w:pPr>
              <w:spacing w:after="0" w:line="129" w:lineRule="exact"/>
              <w:rPr>
                <w:rFonts w:ascii="Arial" w:cs="Arial" w:eastAsia="Arial" w:hAnsi="Arial"/>
                <w:sz w:val="14"/>
                <w:szCs w:val="14"/>
                <w:color w:val="0000EE"/>
              </w:rPr>
            </w:pPr>
            <w:hyperlink r:id="rId13">
              <w:r>
                <w:rPr>
                  <w:rFonts w:ascii="Arial" w:cs="Arial" w:eastAsia="Arial" w:hAnsi="Arial"/>
                  <w:sz w:val="14"/>
                  <w:szCs w:val="14"/>
                  <w:color w:val="0000EE"/>
                </w:rPr>
                <w:t xml:space="preserve">GeneDx Holdings Corp.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WGS</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64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40" w:type="dxa"/>
            <w:vAlign w:val="bottom"/>
            <w:gridSpan w:val="3"/>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restart"/>
          </w:tcPr>
          <w:p>
            <w:pPr>
              <w:ind w:left="80"/>
              <w:spacing w:after="0" w:line="152" w:lineRule="exact"/>
              <w:rPr>
                <w:sz w:val="20"/>
                <w:szCs w:val="20"/>
                <w:color w:val="auto"/>
              </w:rPr>
            </w:pPr>
            <w:r>
              <w:rPr>
                <w:rFonts w:ascii="Arial" w:cs="Arial" w:eastAsia="Arial" w:hAnsi="Arial"/>
                <w:sz w:val="16"/>
                <w:szCs w:val="16"/>
                <w:color w:val="0000FF"/>
              </w:rPr>
              <w:t>X</w:t>
            </w:r>
          </w:p>
        </w:tc>
        <w:tc>
          <w:tcPr>
            <w:tcW w:w="116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660" w:type="dxa"/>
            <w:vAlign w:val="bottom"/>
            <w:vMerge w:val="restart"/>
          </w:tcPr>
          <w:p>
            <w:pPr>
              <w:ind w:left="200"/>
              <w:spacing w:after="0" w:line="152"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660" w:type="dxa"/>
            <w:vAlign w:val="bottom"/>
          </w:tcPr>
          <w:p>
            <w:pPr>
              <w:ind w:left="5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1"/>
        </w:trPr>
        <w:tc>
          <w:tcPr>
            <w:tcW w:w="1960" w:type="dxa"/>
            <w:vAlign w:val="bottom"/>
            <w:gridSpan w:val="3"/>
          </w:tcPr>
          <w:p>
            <w:pPr>
              <w:ind w:left="60"/>
              <w:spacing w:after="0"/>
              <w:rPr>
                <w:sz w:val="20"/>
                <w:szCs w:val="20"/>
                <w:color w:val="auto"/>
              </w:rPr>
            </w:pPr>
            <w:r>
              <w:rPr>
                <w:rFonts w:ascii="Arial" w:cs="Arial" w:eastAsia="Arial" w:hAnsi="Arial"/>
                <w:sz w:val="16"/>
                <w:szCs w:val="16"/>
                <w:color w:val="0000FF"/>
              </w:rPr>
              <w:t>11/15/2023</w:t>
            </w: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Arial" w:cs="Arial" w:eastAsia="Arial" w:hAnsi="Arial"/>
                <w:sz w:val="12"/>
                <w:szCs w:val="12"/>
                <w:color w:val="auto"/>
              </w:rPr>
              <w:t>below)</w:t>
            </w:r>
          </w:p>
        </w:tc>
        <w:tc>
          <w:tcPr>
            <w:tcW w:w="1660" w:type="dxa"/>
            <w:vAlign w:val="bottom"/>
          </w:tcPr>
          <w:p>
            <w:pPr>
              <w:ind w:left="5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20" w:type="dxa"/>
            <w:vAlign w:val="bottom"/>
            <w:gridSpan w:val="3"/>
          </w:tcPr>
          <w:p>
            <w:pPr>
              <w:ind w:left="20"/>
              <w:spacing w:after="0"/>
              <w:rPr>
                <w:sz w:val="20"/>
                <w:szCs w:val="20"/>
                <w:color w:val="auto"/>
              </w:rPr>
            </w:pPr>
            <w:r>
              <w:rPr>
                <w:rFonts w:ascii="Arial" w:cs="Arial" w:eastAsia="Arial" w:hAnsi="Arial"/>
                <w:sz w:val="12"/>
                <w:szCs w:val="12"/>
                <w:color w:val="auto"/>
              </w:rPr>
              <w:t>Individual or Joint/Group Filing (Check Applicable Line)</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2"/>
          </w:tcPr>
          <w:p>
            <w:pPr>
              <w:ind w:left="1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Arial" w:cs="Arial" w:eastAsia="Arial" w:hAnsi="Arial"/>
                <w:sz w:val="16"/>
                <w:szCs w:val="16"/>
                <w:color w:val="0000FF"/>
              </w:rPr>
              <w:t>X</w:t>
            </w:r>
          </w:p>
        </w:tc>
        <w:tc>
          <w:tcPr>
            <w:tcW w:w="282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4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195" w:lineRule="exact"/>
        <w:rPr>
          <w:sz w:val="24"/>
          <w:szCs w:val="24"/>
          <w:color w:val="auto"/>
        </w:rPr>
      </w:pPr>
    </w:p>
    <w:p>
      <w:pPr>
        <w:ind w:left="300" w:right="480"/>
        <w:spacing w:after="0" w:line="25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4" w:lineRule="exact"/>
        <w:rPr>
          <w:sz w:val="24"/>
          <w:szCs w:val="24"/>
          <w:color w:val="auto"/>
        </w:rPr>
      </w:pPr>
    </w:p>
    <w:p>
      <w:pPr>
        <w:sectPr>
          <w:pgSz w:w="11900" w:h="16838" w:orient="portrait"/>
          <w:cols w:equalWidth="0" w:num="2">
            <w:col w:w="3760" w:space="80"/>
            <w:col w:w="724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80" w:type="dxa"/>
            <w:vAlign w:val="bottom"/>
            <w:gridSpan w:val="6"/>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66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100" w:type="dxa"/>
            <w:vAlign w:val="bottom"/>
          </w:tcPr>
          <w:p>
            <w:pPr>
              <w:spacing w:after="0"/>
              <w:rPr>
                <w:sz w:val="12"/>
                <w:szCs w:val="12"/>
                <w:color w:val="auto"/>
              </w:rPr>
            </w:pPr>
          </w:p>
        </w:tc>
        <w:tc>
          <w:tcPr>
            <w:tcW w:w="660" w:type="dxa"/>
            <w:vAlign w:val="bottom"/>
            <w:gridSpan w:val="4"/>
          </w:tcPr>
          <w:p>
            <w:pPr>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460" w:type="dxa"/>
            <w:vAlign w:val="bottom"/>
          </w:tcPr>
          <w:p>
            <w:pPr>
              <w:spacing w:after="0"/>
              <w:rPr>
                <w:sz w:val="12"/>
                <w:szCs w:val="12"/>
                <w:color w:val="auto"/>
              </w:rPr>
            </w:pPr>
          </w:p>
        </w:tc>
        <w:tc>
          <w:tcPr>
            <w:tcW w:w="1540" w:type="dxa"/>
            <w:vAlign w:val="bottom"/>
            <w:gridSpan w:val="6"/>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320" w:type="dxa"/>
            <w:vAlign w:val="bottom"/>
          </w:tcPr>
          <w:p>
            <w:pPr>
              <w:spacing w:after="0"/>
              <w:rPr>
                <w:sz w:val="12"/>
                <w:szCs w:val="12"/>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200"/>
              <w:spacing w:after="0"/>
              <w:rPr>
                <w:sz w:val="20"/>
                <w:szCs w:val="20"/>
                <w:color w:val="auto"/>
              </w:rPr>
            </w:pPr>
            <w:r>
              <w:rPr>
                <w:rFonts w:ascii="Arial" w:cs="Arial" w:eastAsia="Arial" w:hAnsi="Arial"/>
                <w:sz w:val="11"/>
                <w:szCs w:val="11"/>
                <w:b w:val="1"/>
                <w:bCs w:val="1"/>
                <w:color w:val="auto"/>
                <w:w w:val="98"/>
              </w:rPr>
              <w:t>6. Ownership</w:t>
            </w:r>
          </w:p>
        </w:tc>
        <w:tc>
          <w:tcPr>
            <w:tcW w:w="1340" w:type="dxa"/>
            <w:vAlign w:val="bottom"/>
            <w:gridSpan w:val="3"/>
          </w:tcPr>
          <w:p>
            <w:pPr>
              <w:ind w:left="2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740"/>
              <w:spacing w:after="0" w:line="119"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5"/>
          </w:tcPr>
          <w:p>
            <w:pPr>
              <w:spacing w:after="0" w:line="119"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7"/>
          </w:tcPr>
          <w:p>
            <w:pPr>
              <w:ind w:left="2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9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200"/>
              <w:spacing w:after="0" w:line="119" w:lineRule="exact"/>
              <w:rPr>
                <w:sz w:val="20"/>
                <w:szCs w:val="20"/>
                <w:color w:val="auto"/>
              </w:rPr>
            </w:pPr>
            <w:r>
              <w:rPr>
                <w:rFonts w:ascii="Arial" w:cs="Arial" w:eastAsia="Arial" w:hAnsi="Arial"/>
                <w:sz w:val="11"/>
                <w:szCs w:val="11"/>
                <w:b w:val="1"/>
                <w:bCs w:val="1"/>
                <w:color w:val="auto"/>
              </w:rPr>
              <w:t>Form: Direct</w:t>
            </w:r>
          </w:p>
        </w:tc>
        <w:tc>
          <w:tcPr>
            <w:tcW w:w="1340" w:type="dxa"/>
            <w:vAlign w:val="bottom"/>
            <w:gridSpan w:val="3"/>
          </w:tcPr>
          <w:p>
            <w:pPr>
              <w:ind w:left="220"/>
              <w:spacing w:after="0" w:line="119"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60" w:type="dxa"/>
            <w:vAlign w:val="bottom"/>
            <w:gridSpan w:val="3"/>
          </w:tcPr>
          <w:p>
            <w:pPr>
              <w:ind w:left="74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100" w:type="dxa"/>
            <w:vAlign w:val="bottom"/>
          </w:tcPr>
          <w:p>
            <w:pPr>
              <w:spacing w:after="0"/>
              <w:rPr>
                <w:sz w:val="10"/>
                <w:szCs w:val="10"/>
                <w:color w:val="auto"/>
              </w:rPr>
            </w:pPr>
          </w:p>
        </w:tc>
        <w:tc>
          <w:tcPr>
            <w:tcW w:w="66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8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Code (Instr.</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w:t>
            </w:r>
          </w:p>
        </w:tc>
        <w:tc>
          <w:tcPr>
            <w:tcW w:w="2240" w:type="dxa"/>
            <w:vAlign w:val="bottom"/>
            <w:gridSpan w:val="4"/>
          </w:tcPr>
          <w:p>
            <w:pPr>
              <w:ind w:left="200"/>
              <w:spacing w:after="0" w:line="122" w:lineRule="exact"/>
              <w:rPr>
                <w:sz w:val="20"/>
                <w:szCs w:val="20"/>
                <w:color w:val="auto"/>
              </w:rPr>
            </w:pPr>
            <w:r>
              <w:rPr>
                <w:rFonts w:ascii="Arial" w:cs="Arial" w:eastAsia="Arial" w:hAnsi="Arial"/>
                <w:sz w:val="11"/>
                <w:szCs w:val="11"/>
                <w:b w:val="1"/>
                <w:bCs w:val="1"/>
                <w:color w:val="auto"/>
              </w:rPr>
              <w:t>(D) or Indirect   Ownership (Instr.</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3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8)</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98"/>
              </w:rPr>
              <w:t>Owned Following</w:t>
            </w:r>
          </w:p>
        </w:tc>
        <w:tc>
          <w:tcPr>
            <w:tcW w:w="900" w:type="dxa"/>
            <w:vAlign w:val="bottom"/>
          </w:tcPr>
          <w:p>
            <w:pPr>
              <w:ind w:left="200"/>
              <w:spacing w:after="0" w:line="122"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ind w:left="220"/>
              <w:spacing w:after="0" w:line="122" w:lineRule="exact"/>
              <w:rPr>
                <w:sz w:val="20"/>
                <w:szCs w:val="20"/>
                <w:color w:val="auto"/>
              </w:rPr>
            </w:pPr>
            <w:r>
              <w:rPr>
                <w:rFonts w:ascii="Arial" w:cs="Arial" w:eastAsia="Arial" w:hAnsi="Arial"/>
                <w:sz w:val="11"/>
                <w:szCs w:val="11"/>
                <w:b w:val="1"/>
                <w:bCs w:val="1"/>
                <w:color w:val="auto"/>
              </w:rPr>
              <w:t>4)</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87"/>
              </w:rPr>
              <w:t>Code</w:t>
            </w:r>
          </w:p>
        </w:tc>
        <w:tc>
          <w:tcPr>
            <w:tcW w:w="4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V</w:t>
            </w: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400" w:type="dxa"/>
            <w:vAlign w:val="bottom"/>
            <w:gridSpan w:val="2"/>
            <w:vMerge w:val="continue"/>
          </w:tcPr>
          <w:p>
            <w:pPr>
              <w:spacing w:after="0"/>
              <w:rPr>
                <w:sz w:val="10"/>
                <w:szCs w:val="10"/>
                <w:color w:val="auto"/>
              </w:rPr>
            </w:pPr>
          </w:p>
        </w:tc>
        <w:tc>
          <w:tcPr>
            <w:tcW w:w="620" w:type="dxa"/>
            <w:vAlign w:val="bottom"/>
            <w:gridSpan w:val="3"/>
            <w:vMerge w:val="restart"/>
          </w:tcPr>
          <w:p>
            <w:pPr>
              <w:jc w:val="right"/>
              <w:ind w:right="215"/>
              <w:spacing w:after="0"/>
              <w:rPr>
                <w:sz w:val="20"/>
                <w:szCs w:val="20"/>
                <w:color w:val="auto"/>
              </w:rPr>
            </w:pPr>
            <w:r>
              <w:rPr>
                <w:rFonts w:ascii="Arial" w:cs="Arial" w:eastAsia="Arial" w:hAnsi="Arial"/>
                <w:sz w:val="11"/>
                <w:szCs w:val="11"/>
                <w:b w:val="1"/>
                <w:bCs w:val="1"/>
                <w:color w:val="auto"/>
              </w:rPr>
              <w:t>Price</w:t>
            </w:r>
          </w:p>
        </w:tc>
        <w:tc>
          <w:tcPr>
            <w:tcW w:w="9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60" w:type="dxa"/>
            <w:vAlign w:val="bottom"/>
            <w:vMerge w:val="restart"/>
          </w:tcPr>
          <w:p>
            <w:pPr>
              <w:spacing w:after="0"/>
              <w:rPr>
                <w:sz w:val="20"/>
                <w:szCs w:val="20"/>
                <w:color w:val="auto"/>
              </w:rPr>
            </w:pPr>
            <w:r>
              <w:rPr>
                <w:rFonts w:ascii="Arial" w:cs="Arial" w:eastAsia="Arial" w:hAnsi="Arial"/>
                <w:sz w:val="11"/>
                <w:szCs w:val="11"/>
                <w:b w:val="1"/>
                <w:bCs w:val="1"/>
                <w:color w:val="auto"/>
                <w:w w:val="91"/>
              </w:rPr>
              <w:t>(D)</w:t>
            </w:r>
          </w:p>
        </w:tc>
        <w:tc>
          <w:tcPr>
            <w:tcW w:w="24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480" w:type="dxa"/>
            <w:vAlign w:val="bottom"/>
            <w:gridSpan w:val="6"/>
            <w:vMerge w:val="restart"/>
          </w:tcPr>
          <w:p>
            <w:pPr>
              <w:ind w:left="80"/>
              <w:spacing w:after="0"/>
              <w:rPr>
                <w:sz w:val="20"/>
                <w:szCs w:val="20"/>
                <w:color w:val="auto"/>
              </w:rPr>
            </w:pPr>
            <w:r>
              <w:rPr>
                <w:rFonts w:ascii="Arial" w:cs="Arial" w:eastAsia="Arial" w:hAnsi="Arial"/>
                <w:sz w:val="16"/>
                <w:szCs w:val="16"/>
                <w:color w:val="0000FF"/>
              </w:rPr>
              <w:t>Class A Common Stock</w:t>
            </w:r>
          </w:p>
        </w:tc>
        <w:tc>
          <w:tcPr>
            <w:tcW w:w="1660" w:type="dxa"/>
            <w:vAlign w:val="bottom"/>
            <w:gridSpan w:val="3"/>
            <w:vMerge w:val="restart"/>
          </w:tcPr>
          <w:p>
            <w:pPr>
              <w:ind w:left="840"/>
              <w:spacing w:after="0"/>
              <w:rPr>
                <w:sz w:val="20"/>
                <w:szCs w:val="20"/>
                <w:color w:val="auto"/>
              </w:rPr>
            </w:pPr>
            <w:r>
              <w:rPr>
                <w:rFonts w:ascii="Arial" w:cs="Arial" w:eastAsia="Arial" w:hAnsi="Arial"/>
                <w:sz w:val="16"/>
                <w:szCs w:val="16"/>
                <w:color w:val="0000FF"/>
                <w:w w:val="99"/>
              </w:rPr>
              <w:t>11/15/2023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vMerge w:val="restart"/>
          </w:tcPr>
          <w:p>
            <w:pPr>
              <w:ind w:left="180"/>
              <w:spacing w:after="0"/>
              <w:rPr>
                <w:sz w:val="20"/>
                <w:szCs w:val="20"/>
                <w:color w:val="auto"/>
              </w:rPr>
            </w:pPr>
            <w:r>
              <w:rPr>
                <w:rFonts w:ascii="Arial" w:cs="Arial" w:eastAsia="Arial" w:hAnsi="Arial"/>
                <w:sz w:val="12"/>
                <w:szCs w:val="12"/>
                <w:color w:val="0000FF"/>
              </w:rPr>
              <w:t>S</w:t>
            </w:r>
          </w:p>
        </w:tc>
        <w:tc>
          <w:tcPr>
            <w:tcW w:w="460" w:type="dxa"/>
            <w:vAlign w:val="bottom"/>
          </w:tcPr>
          <w:p>
            <w:pPr>
              <w:spacing w:after="0"/>
              <w:rPr>
                <w:sz w:val="20"/>
                <w:szCs w:val="20"/>
                <w:color w:val="auto"/>
              </w:rPr>
            </w:pPr>
          </w:p>
        </w:tc>
        <w:tc>
          <w:tcPr>
            <w:tcW w:w="840" w:type="dxa"/>
            <w:vAlign w:val="bottom"/>
            <w:gridSpan w:val="2"/>
            <w:vMerge w:val="restart"/>
          </w:tcPr>
          <w:p>
            <w:pPr>
              <w:jc w:val="right"/>
              <w:ind w:right="168"/>
              <w:spacing w:after="0"/>
              <w:rPr>
                <w:sz w:val="20"/>
                <w:szCs w:val="20"/>
                <w:color w:val="auto"/>
              </w:rPr>
            </w:pPr>
            <w:r>
              <w:rPr>
                <w:rFonts w:ascii="Arial" w:cs="Arial" w:eastAsia="Arial" w:hAnsi="Arial"/>
                <w:sz w:val="16"/>
                <w:szCs w:val="16"/>
                <w:color w:val="0000FF"/>
              </w:rPr>
              <w:t>883,742</w:t>
            </w:r>
          </w:p>
        </w:tc>
        <w:tc>
          <w:tcPr>
            <w:tcW w:w="400" w:type="dxa"/>
            <w:vAlign w:val="bottom"/>
            <w:gridSpan w:val="2"/>
            <w:vMerge w:val="restart"/>
          </w:tcPr>
          <w:p>
            <w:pPr>
              <w:ind w:left="120"/>
              <w:spacing w:after="0"/>
              <w:rPr>
                <w:sz w:val="20"/>
                <w:szCs w:val="20"/>
                <w:color w:val="auto"/>
              </w:rPr>
            </w:pPr>
            <w:r>
              <w:rPr>
                <w:rFonts w:ascii="Arial" w:cs="Arial" w:eastAsia="Arial" w:hAnsi="Arial"/>
                <w:sz w:val="16"/>
                <w:szCs w:val="16"/>
                <w:color w:val="0000FF"/>
              </w:rPr>
              <w:t>D</w:t>
            </w:r>
          </w:p>
        </w:tc>
        <w:tc>
          <w:tcPr>
            <w:tcW w:w="120" w:type="dxa"/>
            <w:vAlign w:val="bottom"/>
          </w:tcPr>
          <w:p>
            <w:pPr>
              <w:spacing w:after="0"/>
              <w:rPr>
                <w:sz w:val="20"/>
                <w:szCs w:val="20"/>
                <w:color w:val="auto"/>
              </w:rPr>
            </w:pPr>
          </w:p>
        </w:tc>
        <w:tc>
          <w:tcPr>
            <w:tcW w:w="500" w:type="dxa"/>
            <w:vAlign w:val="bottom"/>
            <w:gridSpan w:val="2"/>
            <w:vMerge w:val="restart"/>
          </w:tcPr>
          <w:p>
            <w:pPr>
              <w:jc w:val="right"/>
              <w:ind w:right="55"/>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1.29</w:t>
            </w: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color w:val="0000FF"/>
              </w:rPr>
              <w:t>3,011,066</w:t>
            </w:r>
            <w:r>
              <w:rPr>
                <w:rFonts w:ascii="Arial" w:cs="Arial" w:eastAsia="Arial" w:hAnsi="Arial"/>
                <w:sz w:val="20"/>
                <w:szCs w:val="20"/>
                <w:color w:val="008000"/>
                <w:vertAlign w:val="superscript"/>
              </w:rPr>
              <w:t>(8)</w:t>
            </w:r>
          </w:p>
        </w:tc>
        <w:tc>
          <w:tcPr>
            <w:tcW w:w="900" w:type="dxa"/>
            <w:vAlign w:val="bottom"/>
            <w:vMerge w:val="restart"/>
          </w:tcPr>
          <w:p>
            <w:pPr>
              <w:ind w:left="580"/>
              <w:spacing w:after="0"/>
              <w:rPr>
                <w:sz w:val="20"/>
                <w:szCs w:val="20"/>
                <w:color w:val="auto"/>
              </w:rPr>
            </w:pPr>
            <w:r>
              <w:rPr>
                <w:rFonts w:ascii="Arial" w:cs="Arial" w:eastAsia="Arial" w:hAnsi="Arial"/>
                <w:sz w:val="16"/>
                <w:szCs w:val="16"/>
                <w:color w:val="0000FF"/>
              </w:rPr>
              <w:t>I</w:t>
            </w:r>
          </w:p>
        </w:tc>
        <w:tc>
          <w:tcPr>
            <w:tcW w:w="620" w:type="dxa"/>
            <w:vAlign w:val="bottom"/>
          </w:tcPr>
          <w:p>
            <w:pPr>
              <w:ind w:left="220"/>
              <w:spacing w:after="0"/>
              <w:rPr>
                <w:sz w:val="20"/>
                <w:szCs w:val="20"/>
                <w:color w:val="auto"/>
              </w:rPr>
            </w:pPr>
            <w:r>
              <w:rPr>
                <w:rFonts w:ascii="Arial" w:cs="Arial" w:eastAsia="Arial" w:hAnsi="Arial"/>
                <w:sz w:val="16"/>
                <w:szCs w:val="16"/>
                <w:color w:val="0000FF"/>
              </w:rPr>
              <w:t>See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480" w:type="dxa"/>
            <w:vAlign w:val="bottom"/>
            <w:gridSpan w:val="6"/>
            <w:vMerge w:val="continue"/>
          </w:tcPr>
          <w:p>
            <w:pPr>
              <w:spacing w:after="0"/>
              <w:rPr>
                <w:sz w:val="13"/>
                <w:szCs w:val="13"/>
                <w:color w:val="auto"/>
              </w:rPr>
            </w:pPr>
          </w:p>
        </w:tc>
        <w:tc>
          <w:tcPr>
            <w:tcW w:w="16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340" w:type="dxa"/>
            <w:vAlign w:val="bottom"/>
            <w:gridSpan w:val="3"/>
            <w:vMerge w:val="restart"/>
          </w:tcPr>
          <w:p>
            <w:pPr>
              <w:ind w:left="22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(1)(2)(3)</w:t>
            </w: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2480" w:type="dxa"/>
            <w:vAlign w:val="bottom"/>
            <w:tcBorders>
              <w:top w:val="single" w:sz="8" w:color="2C2C2C"/>
              <w:bottom w:val="single" w:sz="8" w:color="2C2C2C"/>
            </w:tcBorders>
            <w:gridSpan w:val="6"/>
          </w:tcPr>
          <w:p>
            <w:pPr>
              <w:ind w:left="80"/>
              <w:spacing w:after="0"/>
              <w:rPr>
                <w:sz w:val="20"/>
                <w:szCs w:val="20"/>
                <w:color w:val="auto"/>
              </w:rPr>
            </w:pPr>
            <w:r>
              <w:rPr>
                <w:rFonts w:ascii="Arial" w:cs="Arial" w:eastAsia="Arial" w:hAnsi="Arial"/>
                <w:sz w:val="16"/>
                <w:szCs w:val="16"/>
                <w:color w:val="0000FF"/>
              </w:rPr>
              <w:t>Class A Common Stock</w:t>
            </w:r>
          </w:p>
        </w:tc>
        <w:tc>
          <w:tcPr>
            <w:tcW w:w="9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jc w:val="center"/>
              <w:ind w:right="103"/>
              <w:spacing w:after="0"/>
              <w:rPr>
                <w:sz w:val="20"/>
                <w:szCs w:val="20"/>
                <w:color w:val="auto"/>
              </w:rPr>
            </w:pPr>
            <w:r>
              <w:rPr>
                <w:rFonts w:ascii="Arial" w:cs="Arial" w:eastAsia="Arial" w:hAnsi="Arial"/>
                <w:sz w:val="16"/>
                <w:szCs w:val="16"/>
                <w:color w:val="0000FF"/>
                <w:w w:val="88"/>
              </w:rPr>
              <w:t>1,377</w:t>
            </w:r>
            <w:r>
              <w:rPr>
                <w:rFonts w:ascii="Arial" w:cs="Arial" w:eastAsia="Arial" w:hAnsi="Arial"/>
                <w:sz w:val="20"/>
                <w:szCs w:val="20"/>
                <w:color w:val="008000"/>
                <w:w w:val="88"/>
                <w:vertAlign w:val="superscript"/>
              </w:rPr>
              <w:t>(8)</w:t>
            </w:r>
          </w:p>
        </w:tc>
        <w:tc>
          <w:tcPr>
            <w:tcW w:w="900" w:type="dxa"/>
            <w:vAlign w:val="bottom"/>
            <w:tcBorders>
              <w:top w:val="single" w:sz="8" w:color="2C2C2C"/>
              <w:bottom w:val="single" w:sz="8" w:color="2C2C2C"/>
            </w:tcBorders>
          </w:tcPr>
          <w:p>
            <w:pPr>
              <w:ind w:left="540"/>
              <w:spacing w:after="0"/>
              <w:rPr>
                <w:sz w:val="20"/>
                <w:szCs w:val="20"/>
                <w:color w:val="auto"/>
              </w:rPr>
            </w:pPr>
            <w:r>
              <w:rPr>
                <w:rFonts w:ascii="Arial" w:cs="Arial" w:eastAsia="Arial" w:hAnsi="Arial"/>
                <w:sz w:val="16"/>
                <w:szCs w:val="16"/>
                <w:color w:val="0000FF"/>
              </w:rPr>
              <w:t>D</w:t>
            </w:r>
          </w:p>
        </w:tc>
        <w:tc>
          <w:tcPr>
            <w:tcW w:w="6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360" w:type="dxa"/>
            <w:vAlign w:val="bottom"/>
            <w:gridSpan w:val="20"/>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80" w:type="dxa"/>
            <w:vAlign w:val="bottom"/>
            <w:gridSpan w:val="18"/>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6"/>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3A. Deemed</w:t>
            </w:r>
          </w:p>
        </w:tc>
        <w:tc>
          <w:tcPr>
            <w:tcW w:w="1720" w:type="dxa"/>
            <w:vAlign w:val="bottom"/>
            <w:gridSpan w:val="7"/>
          </w:tcPr>
          <w:p>
            <w:pPr>
              <w:ind w:left="40"/>
              <w:spacing w:after="0"/>
              <w:rPr>
                <w:sz w:val="20"/>
                <w:szCs w:val="20"/>
                <w:color w:val="auto"/>
              </w:rPr>
            </w:pPr>
            <w:r>
              <w:rPr>
                <w:rFonts w:ascii="Arial" w:cs="Arial" w:eastAsia="Arial" w:hAnsi="Arial"/>
                <w:sz w:val="11"/>
                <w:szCs w:val="11"/>
                <w:b w:val="1"/>
                <w:bCs w:val="1"/>
                <w:color w:val="auto"/>
              </w:rPr>
              <w:t>4. Transaction  5. Number of</w:t>
            </w:r>
          </w:p>
        </w:tc>
        <w:tc>
          <w:tcPr>
            <w:tcW w:w="34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6"/>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spacing w:after="0"/>
              <w:rPr>
                <w:sz w:val="20"/>
                <w:szCs w:val="20"/>
                <w:color w:val="auto"/>
              </w:rPr>
            </w:pPr>
            <w:r>
              <w:rPr>
                <w:rFonts w:ascii="Arial" w:cs="Arial" w:eastAsia="Arial" w:hAnsi="Arial"/>
                <w:sz w:val="11"/>
                <w:szCs w:val="11"/>
                <w:b w:val="1"/>
                <w:bCs w:val="1"/>
                <w:color w:val="auto"/>
              </w:rPr>
              <w:t>10.</w:t>
            </w:r>
          </w:p>
        </w:tc>
        <w:tc>
          <w:tcPr>
            <w:tcW w:w="720" w:type="dxa"/>
            <w:vAlign w:val="bottom"/>
            <w:tcBorders>
              <w:right w:val="single" w:sz="8" w:color="2C2C2C"/>
            </w:tcBorders>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w w:val="94"/>
              </w:rPr>
              <w:t>Code (Instr. 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94"/>
              </w:rPr>
              <w:t>Derivative</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020" w:type="dxa"/>
            <w:vAlign w:val="bottom"/>
            <w:gridSpan w:val="5"/>
          </w:tcPr>
          <w:p>
            <w:pPr>
              <w:ind w:left="120"/>
              <w:spacing w:after="0" w:line="122" w:lineRule="exact"/>
              <w:rPr>
                <w:sz w:val="20"/>
                <w:szCs w:val="20"/>
                <w:color w:val="auto"/>
              </w:rPr>
            </w:pPr>
            <w:r>
              <w:rPr>
                <w:rFonts w:ascii="Arial" w:cs="Arial" w:eastAsia="Arial" w:hAnsi="Arial"/>
                <w:sz w:val="11"/>
                <w:szCs w:val="11"/>
                <w:b w:val="1"/>
                <w:bCs w:val="1"/>
                <w:color w:val="auto"/>
              </w:rPr>
              <w:t>of Securities</w:t>
            </w:r>
          </w:p>
        </w:tc>
        <w:tc>
          <w:tcPr>
            <w:tcW w:w="28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620" w:type="dxa"/>
            <w:vAlign w:val="bottom"/>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2"/>
          </w:tcPr>
          <w:p>
            <w:pPr>
              <w:ind w:left="8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Securities Acquired</w:t>
            </w:r>
          </w:p>
        </w:tc>
        <w:tc>
          <w:tcPr>
            <w:tcW w:w="13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4"/>
          </w:tcPr>
          <w:p>
            <w:pPr>
              <w:ind w:left="120"/>
              <w:spacing w:after="0" w:line="122" w:lineRule="exact"/>
              <w:rPr>
                <w:sz w:val="20"/>
                <w:szCs w:val="20"/>
                <w:color w:val="auto"/>
              </w:rPr>
            </w:pPr>
            <w:r>
              <w:rPr>
                <w:rFonts w:ascii="Arial" w:cs="Arial" w:eastAsia="Arial" w:hAnsi="Arial"/>
                <w:sz w:val="11"/>
                <w:szCs w:val="11"/>
                <w:b w:val="1"/>
                <w:bCs w:val="1"/>
                <w:color w:val="auto"/>
                <w:w w:val="97"/>
              </w:rPr>
              <w:t>Underlying</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spacing w:after="0" w:line="122" w:lineRule="exact"/>
              <w:rPr>
                <w:sz w:val="20"/>
                <w:szCs w:val="20"/>
                <w:color w:val="auto"/>
              </w:rPr>
            </w:pPr>
            <w:r>
              <w:rPr>
                <w:rFonts w:ascii="Arial" w:cs="Arial" w:eastAsia="Arial" w:hAnsi="Arial"/>
                <w:sz w:val="11"/>
                <w:szCs w:val="11"/>
                <w:b w:val="1"/>
                <w:bCs w:val="1"/>
                <w:color w:val="auto"/>
              </w:rPr>
              <w:t>Form:</w:t>
            </w:r>
          </w:p>
        </w:tc>
        <w:tc>
          <w:tcPr>
            <w:tcW w:w="720" w:type="dxa"/>
            <w:vAlign w:val="bottom"/>
            <w:tcBorders>
              <w:right w:val="single" w:sz="8" w:color="2C2C2C"/>
            </w:tcBorders>
            <w:gridSpan w:val="2"/>
          </w:tcPr>
          <w:p>
            <w:pPr>
              <w:ind w:left="8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(A) or Disposed of</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00" w:type="dxa"/>
            <w:vAlign w:val="bottom"/>
            <w:gridSpan w:val="6"/>
          </w:tcPr>
          <w:p>
            <w:pPr>
              <w:ind w:left="120"/>
              <w:spacing w:after="0" w:line="122"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spacing w:after="0" w:line="122"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2"/>
          </w:tcPr>
          <w:p>
            <w:pPr>
              <w:ind w:left="8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(D) (Instr. 3, 4 and 5)</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gridSpan w:val="5"/>
          </w:tcPr>
          <w:p>
            <w:pPr>
              <w:ind w:left="120"/>
              <w:spacing w:after="0" w:line="122" w:lineRule="exact"/>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620" w:type="dxa"/>
            <w:vAlign w:val="bottom"/>
          </w:tcPr>
          <w:p>
            <w:pPr>
              <w:spacing w:after="0" w:line="122"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2"/>
          </w:tcPr>
          <w:p>
            <w:pPr>
              <w:ind w:left="8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gridSpan w:val="2"/>
            <w:vMerge w:val="restart"/>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vMerge w:val="restart"/>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620" w:type="dxa"/>
            <w:vAlign w:val="bottom"/>
            <w:vMerge w:val="restart"/>
          </w:tcPr>
          <w:p>
            <w:pPr>
              <w:spacing w:after="0" w:line="122"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6"/>
              </w:rPr>
              <w:t>Expiration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or</w:t>
            </w: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w:t>
            </w:r>
          </w:p>
        </w:tc>
        <w:tc>
          <w:tcPr>
            <w:tcW w:w="100" w:type="dxa"/>
            <w:vAlign w:val="bottom"/>
            <w:vMerge w:val="restart"/>
          </w:tcPr>
          <w:p>
            <w:pPr>
              <w:ind w:left="40"/>
              <w:spacing w:after="0"/>
              <w:rPr>
                <w:sz w:val="20"/>
                <w:szCs w:val="20"/>
                <w:color w:val="auto"/>
              </w:rPr>
            </w:pPr>
            <w:r>
              <w:rPr>
                <w:rFonts w:ascii="Arial" w:cs="Arial" w:eastAsia="Arial" w:hAnsi="Arial"/>
                <w:sz w:val="8"/>
                <w:szCs w:val="8"/>
                <w:b w:val="1"/>
                <w:bCs w:val="1"/>
                <w:color w:val="auto"/>
                <w:w w:val="74"/>
              </w:rPr>
              <w:t>V</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3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9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4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Total</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8"/>
              </w:rPr>
              <w:t>(4)(5)(6)</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Arial" w:cs="Arial" w:eastAsia="Arial" w:hAnsi="Arial"/>
                <w:sz w:val="24"/>
                <w:szCs w:val="24"/>
                <w:color w:val="0000FF"/>
                <w:vertAlign w:val="subscript"/>
              </w:rPr>
              <w:t>J/K</w:t>
            </w:r>
            <w:r>
              <w:rPr>
                <w:rFonts w:ascii="Arial" w:cs="Arial" w:eastAsia="Arial" w:hAnsi="Arial"/>
                <w:sz w:val="10"/>
                <w:szCs w:val="10"/>
                <w:color w:val="008000"/>
              </w:rPr>
              <w:t>(4)(5)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2"/>
                <w:szCs w:val="12"/>
                <w:color w:val="0000FF"/>
              </w:rPr>
              <w:t>205,738</w:t>
            </w:r>
            <w:r>
              <w:rPr>
                <w:rFonts w:ascii="Arial" w:cs="Arial" w:eastAsia="Arial" w:hAnsi="Arial"/>
                <w:sz w:val="20"/>
                <w:szCs w:val="20"/>
                <w:color w:val="008000"/>
                <w:vertAlign w:val="superscript"/>
              </w:rPr>
              <w:t>(8)</w:t>
            </w:r>
          </w:p>
        </w:tc>
        <w:tc>
          <w:tcPr>
            <w:tcW w:w="68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8"/>
              </w:rPr>
              <w:t>(4)(5)(6)</w:t>
            </w:r>
          </w:p>
        </w:tc>
        <w:tc>
          <w:tcPr>
            <w:tcW w:w="620" w:type="dxa"/>
            <w:vAlign w:val="bottom"/>
            <w:vMerge w:val="restart"/>
          </w:tcPr>
          <w:p>
            <w:pPr>
              <w:jc w:val="center"/>
              <w:ind w:left="28"/>
              <w:spacing w:after="0"/>
              <w:rPr>
                <w:sz w:val="20"/>
                <w:szCs w:val="20"/>
                <w:color w:val="auto"/>
              </w:rPr>
            </w:pPr>
            <w:r>
              <w:rPr>
                <w:rFonts w:ascii="Arial" w:cs="Arial" w:eastAsia="Arial" w:hAnsi="Arial"/>
                <w:sz w:val="10"/>
                <w:szCs w:val="10"/>
                <w:color w:val="008000"/>
                <w:w w:val="92"/>
              </w:rPr>
              <w:t>(4)(5)(6)</w:t>
            </w:r>
          </w:p>
        </w:tc>
        <w:tc>
          <w:tcPr>
            <w:tcW w:w="160" w:type="dxa"/>
            <w:vAlign w:val="bottom"/>
          </w:tcPr>
          <w:p>
            <w:pPr>
              <w:spacing w:after="0"/>
              <w:rPr>
                <w:sz w:val="15"/>
                <w:szCs w:val="15"/>
                <w:color w:val="auto"/>
              </w:rPr>
            </w:pPr>
          </w:p>
        </w:tc>
        <w:tc>
          <w:tcPr>
            <w:tcW w:w="540" w:type="dxa"/>
            <w:vAlign w:val="bottom"/>
            <w:gridSpan w:val="3"/>
          </w:tcPr>
          <w:p>
            <w:pPr>
              <w:jc w:val="center"/>
              <w:ind w:right="61"/>
              <w:spacing w:after="0"/>
              <w:rPr>
                <w:sz w:val="20"/>
                <w:szCs w:val="20"/>
                <w:color w:val="auto"/>
              </w:rPr>
            </w:pPr>
            <w:r>
              <w:rPr>
                <w:rFonts w:ascii="Arial" w:cs="Arial" w:eastAsia="Arial" w:hAnsi="Arial"/>
                <w:sz w:val="12"/>
                <w:szCs w:val="12"/>
                <w:color w:val="0000FF"/>
                <w:w w:val="96"/>
              </w:rPr>
              <w:t>Class A</w:t>
            </w:r>
          </w:p>
        </w:tc>
        <w:tc>
          <w:tcPr>
            <w:tcW w:w="320" w:type="dxa"/>
            <w:vAlign w:val="bottom"/>
            <w:vMerge w:val="restart"/>
          </w:tcPr>
          <w:p>
            <w:pPr>
              <w:jc w:val="center"/>
              <w:ind w:left="175"/>
              <w:spacing w:after="0"/>
              <w:rPr>
                <w:sz w:val="20"/>
                <w:szCs w:val="20"/>
                <w:color w:val="auto"/>
              </w:rPr>
            </w:pPr>
            <w:r>
              <w:rPr>
                <w:rFonts w:ascii="Arial" w:cs="Arial" w:eastAsia="Arial" w:hAnsi="Arial"/>
                <w:sz w:val="16"/>
                <w:szCs w:val="16"/>
                <w:color w:val="0000FF"/>
                <w:w w:val="89"/>
              </w:rPr>
              <w:t>0</w:t>
            </w:r>
          </w:p>
        </w:tc>
        <w:tc>
          <w:tcPr>
            <w:tcW w:w="2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2"/>
              </w:rPr>
              <w:t>(4)(5)(6)</w:t>
            </w: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2C2C2C"/>
            </w:tcBorders>
            <w:gridSpan w:val="2"/>
            <w:vMerge w:val="restart"/>
          </w:tcPr>
          <w:p>
            <w:pPr>
              <w:ind w:left="8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660" w:type="dxa"/>
            <w:vAlign w:val="bottom"/>
            <w:gridSpan w:val="2"/>
            <w:vMerge w:val="restart"/>
          </w:tcPr>
          <w:p>
            <w:pPr>
              <w:ind w:left="80"/>
              <w:spacing w:after="0" w:line="131" w:lineRule="exact"/>
              <w:rPr>
                <w:sz w:val="20"/>
                <w:szCs w:val="20"/>
                <w:color w:val="auto"/>
              </w:rPr>
            </w:pPr>
            <w:r>
              <w:rPr>
                <w:rFonts w:ascii="Arial" w:cs="Arial" w:eastAsia="Arial" w:hAnsi="Arial"/>
                <w:sz w:val="12"/>
                <w:szCs w:val="12"/>
                <w:color w:val="0000FF"/>
              </w:rPr>
              <w:t>Return</w:t>
            </w: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gridSpan w:val="2"/>
            <w:vMerge w:val="restart"/>
          </w:tcPr>
          <w:p>
            <w:pPr>
              <w:ind w:left="200"/>
              <w:spacing w:after="0" w:line="131" w:lineRule="exact"/>
              <w:rPr>
                <w:sz w:val="20"/>
                <w:szCs w:val="20"/>
                <w:color w:val="auto"/>
              </w:rPr>
            </w:pPr>
            <w:r>
              <w:rPr>
                <w:rFonts w:ascii="Arial" w:cs="Arial" w:eastAsia="Arial" w:hAnsi="Arial"/>
                <w:sz w:val="12"/>
                <w:szCs w:val="12"/>
                <w:color w:val="0000FF"/>
              </w:rPr>
              <w:t>11/15/2023</w:t>
            </w: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00" w:type="dxa"/>
            <w:vAlign w:val="bottom"/>
            <w:gridSpan w:val="4"/>
            <w:vMerge w:val="restart"/>
          </w:tcPr>
          <w:p>
            <w:pPr>
              <w:ind w:left="140"/>
              <w:spacing w:after="0" w:line="131" w:lineRule="exact"/>
              <w:rPr>
                <w:sz w:val="20"/>
                <w:szCs w:val="20"/>
                <w:color w:val="auto"/>
              </w:rPr>
            </w:pPr>
            <w:r>
              <w:rPr>
                <w:rFonts w:ascii="Arial" w:cs="Arial" w:eastAsia="Arial" w:hAnsi="Arial"/>
                <w:sz w:val="12"/>
                <w:szCs w:val="12"/>
                <w:color w:val="0000FF"/>
              </w:rPr>
              <w:t>Common</w:t>
            </w:r>
          </w:p>
        </w:tc>
        <w:tc>
          <w:tcPr>
            <w:tcW w:w="3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00" w:type="dxa"/>
            <w:vAlign w:val="bottom"/>
            <w:vMerge w:val="restart"/>
          </w:tcPr>
          <w:p>
            <w:pPr>
              <w:jc w:val="center"/>
              <w:ind w:right="61"/>
              <w:spacing w:after="0" w:line="131" w:lineRule="exact"/>
              <w:rPr>
                <w:sz w:val="20"/>
                <w:szCs w:val="20"/>
                <w:color w:val="auto"/>
              </w:rPr>
            </w:pPr>
            <w:r>
              <w:rPr>
                <w:rFonts w:ascii="Arial" w:cs="Arial" w:eastAsia="Arial" w:hAnsi="Arial"/>
                <w:sz w:val="12"/>
                <w:szCs w:val="12"/>
                <w:color w:val="0000FF"/>
                <w:w w:val="89"/>
              </w:rPr>
              <w:t>0</w:t>
            </w:r>
          </w:p>
        </w:tc>
        <w:tc>
          <w:tcPr>
            <w:tcW w:w="620" w:type="dxa"/>
            <w:vAlign w:val="bottom"/>
            <w:vMerge w:val="restart"/>
          </w:tcPr>
          <w:p>
            <w:pPr>
              <w:ind w:left="260"/>
              <w:spacing w:after="0" w:line="131" w:lineRule="exact"/>
              <w:rPr>
                <w:sz w:val="20"/>
                <w:szCs w:val="20"/>
                <w:color w:val="auto"/>
              </w:rPr>
            </w:pPr>
            <w:r>
              <w:rPr>
                <w:rFonts w:ascii="Arial" w:cs="Arial" w:eastAsia="Arial" w:hAnsi="Arial"/>
                <w:sz w:val="12"/>
                <w:szCs w:val="12"/>
                <w:color w:val="0000FF"/>
              </w:rPr>
              <w:t>I</w:t>
            </w:r>
          </w:p>
        </w:tc>
        <w:tc>
          <w:tcPr>
            <w:tcW w:w="720" w:type="dxa"/>
            <w:vAlign w:val="bottom"/>
            <w:tcBorders>
              <w:right w:val="single" w:sz="8" w:color="2C2C2C"/>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6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tcBorders>
              <w:right w:val="single" w:sz="8" w:color="2C2C2C"/>
            </w:tcBorders>
            <w:gridSpan w:val="2"/>
          </w:tcPr>
          <w:p>
            <w:pPr>
              <w:ind w:left="520"/>
              <w:spacing w:after="0" w:line="87" w:lineRule="exact"/>
              <w:rPr>
                <w:sz w:val="20"/>
                <w:szCs w:val="20"/>
                <w:color w:val="auto"/>
              </w:rPr>
            </w:pPr>
            <w:r>
              <w:rPr>
                <w:rFonts w:ascii="Arial" w:cs="Arial" w:eastAsia="Arial" w:hAnsi="Arial"/>
                <w:sz w:val="10"/>
                <w:szCs w:val="10"/>
                <w:color w:val="008000"/>
              </w:rPr>
              <w:t>(7)</w:t>
            </w:r>
          </w:p>
        </w:tc>
        <w:tc>
          <w:tcPr>
            <w:tcW w:w="0" w:type="dxa"/>
            <w:vAlign w:val="bottom"/>
          </w:tcPr>
          <w:p>
            <w:pPr>
              <w:spacing w:after="0"/>
              <w:rPr>
                <w:sz w:val="1"/>
                <w:szCs w:val="1"/>
                <w:color w:val="auto"/>
              </w:rPr>
            </w:pPr>
          </w:p>
        </w:tc>
      </w:tr>
      <w:tr>
        <w:trPr>
          <w:trHeight w:val="122"/>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Swaps</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Borders>
              <w:right w:val="single" w:sz="8" w:color="2C2C2C"/>
            </w:tcBorders>
            <w:gridSpan w:val="2"/>
          </w:tcPr>
          <w:p>
            <w:pPr>
              <w:ind w:left="80"/>
              <w:spacing w:after="0" w:line="122" w:lineRule="exact"/>
              <w:rPr>
                <w:sz w:val="20"/>
                <w:szCs w:val="20"/>
                <w:color w:val="auto"/>
              </w:rPr>
            </w:pPr>
            <w:r>
              <w:rPr>
                <w:rFonts w:ascii="Arial" w:cs="Arial" w:eastAsia="Arial" w:hAnsi="Arial"/>
                <w:sz w:val="12"/>
                <w:szCs w:val="12"/>
                <w:color w:val="0000FF"/>
              </w:rPr>
              <w:t>footnotes</w:t>
            </w: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Total</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(5)(6)</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tcPr>
          <w:p>
            <w:pPr>
              <w:ind w:left="40"/>
              <w:spacing w:after="0"/>
              <w:rPr>
                <w:sz w:val="20"/>
                <w:szCs w:val="20"/>
                <w:color w:val="auto"/>
              </w:rPr>
            </w:pPr>
            <w:r>
              <w:rPr>
                <w:rFonts w:ascii="Arial" w:cs="Arial" w:eastAsia="Arial" w:hAnsi="Arial"/>
                <w:sz w:val="24"/>
                <w:szCs w:val="24"/>
                <w:color w:val="0000FF"/>
                <w:vertAlign w:val="subscript"/>
              </w:rPr>
              <w:t>J/K</w:t>
            </w:r>
            <w:r>
              <w:rPr>
                <w:rFonts w:ascii="Arial" w:cs="Arial" w:eastAsia="Arial" w:hAnsi="Arial"/>
                <w:sz w:val="10"/>
                <w:szCs w:val="10"/>
                <w:color w:val="008000"/>
              </w:rPr>
              <w:t>(5)(6)(7)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vMerge w:val="restart"/>
          </w:tcPr>
          <w:p>
            <w:pPr>
              <w:jc w:val="center"/>
              <w:ind w:left="126"/>
              <w:spacing w:after="0"/>
              <w:rPr>
                <w:sz w:val="20"/>
                <w:szCs w:val="20"/>
                <w:color w:val="auto"/>
              </w:rPr>
            </w:pPr>
            <w:r>
              <w:rPr>
                <w:rFonts w:ascii="Arial" w:cs="Arial" w:eastAsia="Arial" w:hAnsi="Arial"/>
                <w:sz w:val="10"/>
                <w:szCs w:val="10"/>
                <w:color w:val="008000"/>
                <w:w w:val="97"/>
              </w:rPr>
              <w:t>(5)(6)</w:t>
            </w:r>
          </w:p>
        </w:tc>
        <w:tc>
          <w:tcPr>
            <w:tcW w:w="220" w:type="dxa"/>
            <w:vAlign w:val="bottom"/>
          </w:tcPr>
          <w:p>
            <w:pPr>
              <w:spacing w:after="0"/>
              <w:rPr>
                <w:sz w:val="15"/>
                <w:szCs w:val="15"/>
                <w:color w:val="auto"/>
              </w:rPr>
            </w:pPr>
          </w:p>
        </w:tc>
        <w:tc>
          <w:tcPr>
            <w:tcW w:w="620" w:type="dxa"/>
            <w:vAlign w:val="bottom"/>
            <w:vMerge w:val="restart"/>
          </w:tcPr>
          <w:p>
            <w:pPr>
              <w:jc w:val="center"/>
              <w:ind w:left="28"/>
              <w:spacing w:after="0"/>
              <w:rPr>
                <w:sz w:val="20"/>
                <w:szCs w:val="20"/>
                <w:color w:val="auto"/>
              </w:rPr>
            </w:pPr>
            <w:r>
              <w:rPr>
                <w:rFonts w:ascii="Arial" w:cs="Arial" w:eastAsia="Arial" w:hAnsi="Arial"/>
                <w:sz w:val="10"/>
                <w:szCs w:val="10"/>
                <w:color w:val="008000"/>
                <w:w w:val="89"/>
              </w:rPr>
              <w:t>(5)(6)</w:t>
            </w:r>
          </w:p>
        </w:tc>
        <w:tc>
          <w:tcPr>
            <w:tcW w:w="160" w:type="dxa"/>
            <w:vAlign w:val="bottom"/>
          </w:tcPr>
          <w:p>
            <w:pPr>
              <w:spacing w:after="0"/>
              <w:rPr>
                <w:sz w:val="15"/>
                <w:szCs w:val="15"/>
                <w:color w:val="auto"/>
              </w:rPr>
            </w:pPr>
          </w:p>
        </w:tc>
        <w:tc>
          <w:tcPr>
            <w:tcW w:w="540" w:type="dxa"/>
            <w:vAlign w:val="bottom"/>
            <w:gridSpan w:val="3"/>
          </w:tcPr>
          <w:p>
            <w:pPr>
              <w:jc w:val="center"/>
              <w:ind w:right="61"/>
              <w:spacing w:after="0"/>
              <w:rPr>
                <w:sz w:val="20"/>
                <w:szCs w:val="20"/>
                <w:color w:val="auto"/>
              </w:rPr>
            </w:pPr>
            <w:r>
              <w:rPr>
                <w:rFonts w:ascii="Arial" w:cs="Arial" w:eastAsia="Arial" w:hAnsi="Arial"/>
                <w:sz w:val="12"/>
                <w:szCs w:val="12"/>
                <w:color w:val="0000FF"/>
                <w:w w:val="96"/>
              </w:rPr>
              <w:t>Class A</w:t>
            </w:r>
          </w:p>
        </w:tc>
        <w:tc>
          <w:tcPr>
            <w:tcW w:w="6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205,738</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2C2C2C"/>
            </w:tcBorders>
            <w:gridSpan w:val="2"/>
            <w:vMerge w:val="restart"/>
          </w:tcPr>
          <w:p>
            <w:pPr>
              <w:ind w:left="8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660" w:type="dxa"/>
            <w:vAlign w:val="bottom"/>
            <w:gridSpan w:val="2"/>
            <w:vMerge w:val="restart"/>
          </w:tcPr>
          <w:p>
            <w:pPr>
              <w:ind w:left="80"/>
              <w:spacing w:after="0" w:line="119" w:lineRule="exact"/>
              <w:rPr>
                <w:sz w:val="20"/>
                <w:szCs w:val="20"/>
                <w:color w:val="auto"/>
              </w:rPr>
            </w:pPr>
            <w:r>
              <w:rPr>
                <w:rFonts w:ascii="Arial" w:cs="Arial" w:eastAsia="Arial" w:hAnsi="Arial"/>
                <w:sz w:val="12"/>
                <w:szCs w:val="12"/>
                <w:color w:val="0000FF"/>
              </w:rPr>
              <w:t>Return</w:t>
            </w: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gridSpan w:val="2"/>
            <w:vMerge w:val="restart"/>
          </w:tcPr>
          <w:p>
            <w:pPr>
              <w:ind w:left="200"/>
              <w:spacing w:after="0" w:line="119" w:lineRule="exact"/>
              <w:rPr>
                <w:sz w:val="20"/>
                <w:szCs w:val="20"/>
                <w:color w:val="auto"/>
              </w:rPr>
            </w:pPr>
            <w:r>
              <w:rPr>
                <w:rFonts w:ascii="Arial" w:cs="Arial" w:eastAsia="Arial" w:hAnsi="Arial"/>
                <w:sz w:val="12"/>
                <w:szCs w:val="12"/>
                <w:color w:val="0000FF"/>
              </w:rPr>
              <w:t>11/15/2023</w:t>
            </w: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4"/>
            <w:vMerge w:val="restart"/>
          </w:tcPr>
          <w:p>
            <w:pPr>
              <w:ind w:left="140"/>
              <w:spacing w:after="0" w:line="119" w:lineRule="exact"/>
              <w:rPr>
                <w:sz w:val="20"/>
                <w:szCs w:val="20"/>
                <w:color w:val="auto"/>
              </w:rPr>
            </w:pPr>
            <w:r>
              <w:rPr>
                <w:rFonts w:ascii="Arial" w:cs="Arial" w:eastAsia="Arial" w:hAnsi="Arial"/>
                <w:sz w:val="12"/>
                <w:szCs w:val="12"/>
                <w:color w:val="0000FF"/>
              </w:rPr>
              <w:t>205,738</w:t>
            </w: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700" w:type="dxa"/>
            <w:vAlign w:val="bottom"/>
            <w:gridSpan w:val="4"/>
            <w:vMerge w:val="restart"/>
          </w:tcPr>
          <w:p>
            <w:pPr>
              <w:ind w:left="140"/>
              <w:spacing w:after="0" w:line="119" w:lineRule="exact"/>
              <w:rPr>
                <w:sz w:val="20"/>
                <w:szCs w:val="20"/>
                <w:color w:val="auto"/>
              </w:rPr>
            </w:pPr>
            <w:r>
              <w:rPr>
                <w:rFonts w:ascii="Arial" w:cs="Arial" w:eastAsia="Arial" w:hAnsi="Arial"/>
                <w:sz w:val="12"/>
                <w:szCs w:val="12"/>
                <w:color w:val="0000FF"/>
              </w:rPr>
              <w:t>Common</w:t>
            </w:r>
          </w:p>
        </w:tc>
        <w:tc>
          <w:tcPr>
            <w:tcW w:w="600" w:type="dxa"/>
            <w:vAlign w:val="bottom"/>
            <w:gridSpan w:val="2"/>
            <w:vMerge w:val="continue"/>
          </w:tcPr>
          <w:p>
            <w:pPr>
              <w:spacing w:after="0"/>
              <w:rPr>
                <w:sz w:val="3"/>
                <w:szCs w:val="3"/>
                <w:color w:val="auto"/>
              </w:rPr>
            </w:pPr>
          </w:p>
        </w:tc>
        <w:tc>
          <w:tcPr>
            <w:tcW w:w="700" w:type="dxa"/>
            <w:vAlign w:val="bottom"/>
            <w:vMerge w:val="restart"/>
          </w:tcPr>
          <w:p>
            <w:pPr>
              <w:jc w:val="center"/>
              <w:spacing w:after="0" w:line="119" w:lineRule="exact"/>
              <w:rPr>
                <w:sz w:val="20"/>
                <w:szCs w:val="20"/>
                <w:color w:val="auto"/>
              </w:rPr>
            </w:pPr>
            <w:r>
              <w:rPr>
                <w:rFonts w:ascii="Arial" w:cs="Arial" w:eastAsia="Arial" w:hAnsi="Arial"/>
                <w:sz w:val="11"/>
                <w:szCs w:val="11"/>
                <w:color w:val="auto"/>
                <w:w w:val="88"/>
              </w:rPr>
              <w:t>$</w:t>
            </w:r>
            <w:r>
              <w:rPr>
                <w:rFonts w:ascii="Arial" w:cs="Arial" w:eastAsia="Arial" w:hAnsi="Arial"/>
                <w:sz w:val="12"/>
                <w:szCs w:val="12"/>
                <w:color w:val="0000FF"/>
                <w:w w:val="88"/>
              </w:rPr>
              <w:t>1.29</w:t>
            </w:r>
          </w:p>
        </w:tc>
        <w:tc>
          <w:tcPr>
            <w:tcW w:w="900" w:type="dxa"/>
            <w:vAlign w:val="bottom"/>
            <w:vMerge w:val="restart"/>
          </w:tcPr>
          <w:p>
            <w:pPr>
              <w:jc w:val="center"/>
              <w:ind w:right="41"/>
              <w:spacing w:after="0" w:line="119" w:lineRule="exact"/>
              <w:rPr>
                <w:sz w:val="20"/>
                <w:szCs w:val="20"/>
                <w:color w:val="auto"/>
              </w:rPr>
            </w:pPr>
            <w:r>
              <w:rPr>
                <w:rFonts w:ascii="Arial" w:cs="Arial" w:eastAsia="Arial" w:hAnsi="Arial"/>
                <w:sz w:val="12"/>
                <w:szCs w:val="12"/>
                <w:color w:val="0000FF"/>
                <w:w w:val="92"/>
              </w:rPr>
              <w:t>205,738</w:t>
            </w:r>
          </w:p>
        </w:tc>
        <w:tc>
          <w:tcPr>
            <w:tcW w:w="620" w:type="dxa"/>
            <w:vAlign w:val="bottom"/>
            <w:vMerge w:val="restart"/>
          </w:tcPr>
          <w:p>
            <w:pPr>
              <w:ind w:left="260"/>
              <w:spacing w:after="0" w:line="119" w:lineRule="exact"/>
              <w:rPr>
                <w:sz w:val="20"/>
                <w:szCs w:val="20"/>
                <w:color w:val="auto"/>
              </w:rPr>
            </w:pPr>
            <w:r>
              <w:rPr>
                <w:rFonts w:ascii="Arial" w:cs="Arial" w:eastAsia="Arial" w:hAnsi="Arial"/>
                <w:sz w:val="12"/>
                <w:szCs w:val="12"/>
                <w:color w:val="0000FF"/>
              </w:rPr>
              <w:t>I</w:t>
            </w:r>
          </w:p>
        </w:tc>
        <w:tc>
          <w:tcPr>
            <w:tcW w:w="720" w:type="dxa"/>
            <w:vAlign w:val="bottom"/>
            <w:tcBorders>
              <w:right w:val="single" w:sz="8" w:color="2C2C2C"/>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tcBorders>
              <w:right w:val="single" w:sz="8" w:color="2C2C2C"/>
            </w:tcBorders>
            <w:gridSpan w:val="2"/>
          </w:tcPr>
          <w:p>
            <w:pPr>
              <w:ind w:left="520"/>
              <w:spacing w:after="0" w:line="74" w:lineRule="exact"/>
              <w:rPr>
                <w:sz w:val="20"/>
                <w:szCs w:val="20"/>
                <w:color w:val="auto"/>
              </w:rPr>
            </w:pPr>
            <w:r>
              <w:rPr>
                <w:rFonts w:ascii="Arial" w:cs="Arial" w:eastAsia="Arial" w:hAnsi="Arial"/>
                <w:sz w:val="8"/>
                <w:szCs w:val="8"/>
                <w:color w:val="008000"/>
              </w:rPr>
              <w:t>(7)</w:t>
            </w: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Swaps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Borders>
              <w:right w:val="single" w:sz="8" w:color="2C2C2C"/>
            </w:tcBorders>
            <w:gridSpan w:val="2"/>
          </w:tcPr>
          <w:p>
            <w:pPr>
              <w:ind w:left="80"/>
              <w:spacing w:after="0" w:line="134" w:lineRule="exact"/>
              <w:rPr>
                <w:sz w:val="20"/>
                <w:szCs w:val="20"/>
                <w:color w:val="auto"/>
              </w:rPr>
            </w:pPr>
            <w:r>
              <w:rPr>
                <w:rFonts w:ascii="Arial" w:cs="Arial" w:eastAsia="Arial" w:hAnsi="Arial"/>
                <w:sz w:val="12"/>
                <w:szCs w:val="12"/>
                <w:color w:val="0000FF"/>
              </w:rPr>
              <w:t>footnotes</w:t>
            </w: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Total</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(5)(6)</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tcPr>
          <w:p>
            <w:pPr>
              <w:ind w:left="40"/>
              <w:spacing w:after="0"/>
              <w:rPr>
                <w:sz w:val="20"/>
                <w:szCs w:val="20"/>
                <w:color w:val="auto"/>
              </w:rPr>
            </w:pPr>
            <w:r>
              <w:rPr>
                <w:rFonts w:ascii="Arial" w:cs="Arial" w:eastAsia="Arial" w:hAnsi="Arial"/>
                <w:sz w:val="24"/>
                <w:szCs w:val="24"/>
                <w:color w:val="0000FF"/>
                <w:vertAlign w:val="subscript"/>
              </w:rPr>
              <w:t>J/K</w:t>
            </w:r>
            <w:r>
              <w:rPr>
                <w:rFonts w:ascii="Arial" w:cs="Arial" w:eastAsia="Arial" w:hAnsi="Arial"/>
                <w:sz w:val="10"/>
                <w:szCs w:val="10"/>
                <w:color w:val="008000"/>
              </w:rPr>
              <w:t>(5)(6)(7)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vMerge w:val="restart"/>
          </w:tcPr>
          <w:p>
            <w:pPr>
              <w:jc w:val="center"/>
              <w:ind w:left="126"/>
              <w:spacing w:after="0"/>
              <w:rPr>
                <w:sz w:val="20"/>
                <w:szCs w:val="20"/>
                <w:color w:val="auto"/>
              </w:rPr>
            </w:pPr>
            <w:r>
              <w:rPr>
                <w:rFonts w:ascii="Arial" w:cs="Arial" w:eastAsia="Arial" w:hAnsi="Arial"/>
                <w:sz w:val="10"/>
                <w:szCs w:val="10"/>
                <w:color w:val="008000"/>
                <w:w w:val="97"/>
              </w:rPr>
              <w:t>(5)(6)</w:t>
            </w:r>
          </w:p>
        </w:tc>
        <w:tc>
          <w:tcPr>
            <w:tcW w:w="220" w:type="dxa"/>
            <w:vAlign w:val="bottom"/>
          </w:tcPr>
          <w:p>
            <w:pPr>
              <w:spacing w:after="0"/>
              <w:rPr>
                <w:sz w:val="15"/>
                <w:szCs w:val="15"/>
                <w:color w:val="auto"/>
              </w:rPr>
            </w:pPr>
          </w:p>
        </w:tc>
        <w:tc>
          <w:tcPr>
            <w:tcW w:w="620" w:type="dxa"/>
            <w:vAlign w:val="bottom"/>
            <w:vMerge w:val="restart"/>
          </w:tcPr>
          <w:p>
            <w:pPr>
              <w:jc w:val="center"/>
              <w:ind w:left="28"/>
              <w:spacing w:after="0"/>
              <w:rPr>
                <w:sz w:val="20"/>
                <w:szCs w:val="20"/>
                <w:color w:val="auto"/>
              </w:rPr>
            </w:pPr>
            <w:r>
              <w:rPr>
                <w:rFonts w:ascii="Arial" w:cs="Arial" w:eastAsia="Arial" w:hAnsi="Arial"/>
                <w:sz w:val="10"/>
                <w:szCs w:val="10"/>
                <w:color w:val="008000"/>
                <w:w w:val="89"/>
              </w:rPr>
              <w:t>(5)(6)</w:t>
            </w:r>
          </w:p>
        </w:tc>
        <w:tc>
          <w:tcPr>
            <w:tcW w:w="160" w:type="dxa"/>
            <w:vAlign w:val="bottom"/>
          </w:tcPr>
          <w:p>
            <w:pPr>
              <w:spacing w:after="0"/>
              <w:rPr>
                <w:sz w:val="15"/>
                <w:szCs w:val="15"/>
                <w:color w:val="auto"/>
              </w:rPr>
            </w:pPr>
          </w:p>
        </w:tc>
        <w:tc>
          <w:tcPr>
            <w:tcW w:w="540" w:type="dxa"/>
            <w:vAlign w:val="bottom"/>
            <w:gridSpan w:val="3"/>
          </w:tcPr>
          <w:p>
            <w:pPr>
              <w:jc w:val="center"/>
              <w:ind w:right="61"/>
              <w:spacing w:after="0"/>
              <w:rPr>
                <w:sz w:val="20"/>
                <w:szCs w:val="20"/>
                <w:color w:val="auto"/>
              </w:rPr>
            </w:pPr>
            <w:r>
              <w:rPr>
                <w:rFonts w:ascii="Arial" w:cs="Arial" w:eastAsia="Arial" w:hAnsi="Arial"/>
                <w:sz w:val="12"/>
                <w:szCs w:val="12"/>
                <w:color w:val="0000FF"/>
                <w:w w:val="96"/>
              </w:rPr>
              <w:t>Class A</w:t>
            </w:r>
          </w:p>
        </w:tc>
        <w:tc>
          <w:tcPr>
            <w:tcW w:w="6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883,742</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Borders>
              <w:right w:val="single" w:sz="8" w:color="2C2C2C"/>
            </w:tcBorders>
            <w:gridSpan w:val="2"/>
            <w:vMerge w:val="restart"/>
          </w:tcPr>
          <w:p>
            <w:pPr>
              <w:ind w:left="8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660" w:type="dxa"/>
            <w:vAlign w:val="bottom"/>
            <w:gridSpan w:val="2"/>
            <w:vMerge w:val="restart"/>
          </w:tcPr>
          <w:p>
            <w:pPr>
              <w:ind w:left="80"/>
              <w:spacing w:after="0" w:line="119" w:lineRule="exact"/>
              <w:rPr>
                <w:sz w:val="20"/>
                <w:szCs w:val="20"/>
                <w:color w:val="auto"/>
              </w:rPr>
            </w:pPr>
            <w:r>
              <w:rPr>
                <w:rFonts w:ascii="Arial" w:cs="Arial" w:eastAsia="Arial" w:hAnsi="Arial"/>
                <w:sz w:val="12"/>
                <w:szCs w:val="12"/>
                <w:color w:val="0000FF"/>
              </w:rPr>
              <w:t>Return</w:t>
            </w: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gridSpan w:val="2"/>
            <w:vMerge w:val="restart"/>
          </w:tcPr>
          <w:p>
            <w:pPr>
              <w:ind w:left="200"/>
              <w:spacing w:after="0" w:line="119" w:lineRule="exact"/>
              <w:rPr>
                <w:sz w:val="20"/>
                <w:szCs w:val="20"/>
                <w:color w:val="auto"/>
              </w:rPr>
            </w:pPr>
            <w:r>
              <w:rPr>
                <w:rFonts w:ascii="Arial" w:cs="Arial" w:eastAsia="Arial" w:hAnsi="Arial"/>
                <w:sz w:val="12"/>
                <w:szCs w:val="12"/>
                <w:color w:val="0000FF"/>
              </w:rPr>
              <w:t>11/15/2023</w:t>
            </w: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4"/>
            <w:vMerge w:val="restart"/>
          </w:tcPr>
          <w:p>
            <w:pPr>
              <w:ind w:left="140"/>
              <w:spacing w:after="0" w:line="119" w:lineRule="exact"/>
              <w:rPr>
                <w:sz w:val="20"/>
                <w:szCs w:val="20"/>
                <w:color w:val="auto"/>
              </w:rPr>
            </w:pPr>
            <w:r>
              <w:rPr>
                <w:rFonts w:ascii="Arial" w:cs="Arial" w:eastAsia="Arial" w:hAnsi="Arial"/>
                <w:sz w:val="12"/>
                <w:szCs w:val="12"/>
                <w:color w:val="0000FF"/>
              </w:rPr>
              <w:t>883,742</w:t>
            </w: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700" w:type="dxa"/>
            <w:vAlign w:val="bottom"/>
            <w:gridSpan w:val="4"/>
            <w:vMerge w:val="restart"/>
          </w:tcPr>
          <w:p>
            <w:pPr>
              <w:ind w:left="140"/>
              <w:spacing w:after="0" w:line="119" w:lineRule="exact"/>
              <w:rPr>
                <w:sz w:val="20"/>
                <w:szCs w:val="20"/>
                <w:color w:val="auto"/>
              </w:rPr>
            </w:pPr>
            <w:r>
              <w:rPr>
                <w:rFonts w:ascii="Arial" w:cs="Arial" w:eastAsia="Arial" w:hAnsi="Arial"/>
                <w:sz w:val="12"/>
                <w:szCs w:val="12"/>
                <w:color w:val="0000FF"/>
              </w:rPr>
              <w:t>Common</w:t>
            </w:r>
          </w:p>
        </w:tc>
        <w:tc>
          <w:tcPr>
            <w:tcW w:w="600" w:type="dxa"/>
            <w:vAlign w:val="bottom"/>
            <w:gridSpan w:val="2"/>
            <w:vMerge w:val="continue"/>
          </w:tcPr>
          <w:p>
            <w:pPr>
              <w:spacing w:after="0"/>
              <w:rPr>
                <w:sz w:val="3"/>
                <w:szCs w:val="3"/>
                <w:color w:val="auto"/>
              </w:rPr>
            </w:pPr>
          </w:p>
        </w:tc>
        <w:tc>
          <w:tcPr>
            <w:tcW w:w="700" w:type="dxa"/>
            <w:vAlign w:val="bottom"/>
            <w:vMerge w:val="restart"/>
          </w:tcPr>
          <w:p>
            <w:pPr>
              <w:jc w:val="center"/>
              <w:spacing w:after="0" w:line="119" w:lineRule="exact"/>
              <w:rPr>
                <w:sz w:val="20"/>
                <w:szCs w:val="20"/>
                <w:color w:val="auto"/>
              </w:rPr>
            </w:pPr>
            <w:r>
              <w:rPr>
                <w:rFonts w:ascii="Arial" w:cs="Arial" w:eastAsia="Arial" w:hAnsi="Arial"/>
                <w:sz w:val="11"/>
                <w:szCs w:val="11"/>
                <w:color w:val="auto"/>
                <w:w w:val="88"/>
              </w:rPr>
              <w:t>$</w:t>
            </w:r>
            <w:r>
              <w:rPr>
                <w:rFonts w:ascii="Arial" w:cs="Arial" w:eastAsia="Arial" w:hAnsi="Arial"/>
                <w:sz w:val="12"/>
                <w:szCs w:val="12"/>
                <w:color w:val="0000FF"/>
                <w:w w:val="88"/>
              </w:rPr>
              <w:t>1.29</w:t>
            </w:r>
          </w:p>
        </w:tc>
        <w:tc>
          <w:tcPr>
            <w:tcW w:w="900" w:type="dxa"/>
            <w:vAlign w:val="bottom"/>
            <w:vMerge w:val="restart"/>
          </w:tcPr>
          <w:p>
            <w:pPr>
              <w:jc w:val="center"/>
              <w:ind w:right="41"/>
              <w:spacing w:after="0" w:line="119" w:lineRule="exact"/>
              <w:rPr>
                <w:sz w:val="20"/>
                <w:szCs w:val="20"/>
                <w:color w:val="auto"/>
              </w:rPr>
            </w:pPr>
            <w:r>
              <w:rPr>
                <w:rFonts w:ascii="Arial" w:cs="Arial" w:eastAsia="Arial" w:hAnsi="Arial"/>
                <w:sz w:val="12"/>
                <w:szCs w:val="12"/>
                <w:color w:val="0000FF"/>
                <w:w w:val="92"/>
              </w:rPr>
              <w:t>883,742</w:t>
            </w:r>
          </w:p>
        </w:tc>
        <w:tc>
          <w:tcPr>
            <w:tcW w:w="620" w:type="dxa"/>
            <w:vAlign w:val="bottom"/>
            <w:vMerge w:val="restart"/>
          </w:tcPr>
          <w:p>
            <w:pPr>
              <w:ind w:left="260"/>
              <w:spacing w:after="0" w:line="119" w:lineRule="exact"/>
              <w:rPr>
                <w:sz w:val="20"/>
                <w:szCs w:val="20"/>
                <w:color w:val="auto"/>
              </w:rPr>
            </w:pPr>
            <w:r>
              <w:rPr>
                <w:rFonts w:ascii="Arial" w:cs="Arial" w:eastAsia="Arial" w:hAnsi="Arial"/>
                <w:sz w:val="12"/>
                <w:szCs w:val="12"/>
                <w:color w:val="0000FF"/>
              </w:rPr>
              <w:t>I</w:t>
            </w:r>
          </w:p>
        </w:tc>
        <w:tc>
          <w:tcPr>
            <w:tcW w:w="720" w:type="dxa"/>
            <w:vAlign w:val="bottom"/>
            <w:tcBorders>
              <w:right w:val="single" w:sz="8" w:color="2C2C2C"/>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gridSpan w:val="4"/>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tcBorders>
              <w:right w:val="single" w:sz="8" w:color="2C2C2C"/>
            </w:tcBorders>
            <w:gridSpan w:val="2"/>
          </w:tcPr>
          <w:p>
            <w:pPr>
              <w:ind w:left="520"/>
              <w:spacing w:after="0" w:line="74" w:lineRule="exact"/>
              <w:rPr>
                <w:sz w:val="20"/>
                <w:szCs w:val="20"/>
                <w:color w:val="auto"/>
              </w:rPr>
            </w:pPr>
            <w:r>
              <w:rPr>
                <w:rFonts w:ascii="Arial" w:cs="Arial" w:eastAsia="Arial" w:hAnsi="Arial"/>
                <w:sz w:val="8"/>
                <w:szCs w:val="8"/>
                <w:color w:val="008000"/>
              </w:rPr>
              <w:t>(7)</w:t>
            </w: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Swaps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Borders>
              <w:right w:val="single" w:sz="8" w:color="2C2C2C"/>
            </w:tcBorders>
            <w:gridSpan w:val="2"/>
          </w:tcPr>
          <w:p>
            <w:pPr>
              <w:ind w:left="80"/>
              <w:spacing w:after="0" w:line="134" w:lineRule="exact"/>
              <w:rPr>
                <w:sz w:val="20"/>
                <w:szCs w:val="20"/>
                <w:color w:val="auto"/>
              </w:rPr>
            </w:pPr>
            <w:r>
              <w:rPr>
                <w:rFonts w:ascii="Arial" w:cs="Arial" w:eastAsia="Arial" w:hAnsi="Arial"/>
                <w:sz w:val="12"/>
                <w:szCs w:val="12"/>
                <w:color w:val="0000FF"/>
              </w:rPr>
              <w:t>footnotes</w:t>
            </w: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480" w:type="dxa"/>
            <w:vAlign w:val="bottom"/>
            <w:tcBorders>
              <w:top w:val="single" w:sz="8" w:color="2C2C2C"/>
            </w:tcBorders>
            <w:gridSpan w:val="6"/>
          </w:tcPr>
          <w:p>
            <w:pPr>
              <w:ind w:left="8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1340" w:type="dxa"/>
            <w:vAlign w:val="bottom"/>
            <w:gridSpan w:val="3"/>
          </w:tcPr>
          <w:p>
            <w:pPr>
              <w:spacing w:after="0" w:line="203" w:lineRule="exact"/>
              <w:rPr>
                <w:rFonts w:ascii="Arial" w:cs="Arial" w:eastAsia="Arial" w:hAnsi="Arial"/>
                <w:sz w:val="20"/>
                <w:szCs w:val="20"/>
                <w:color w:val="0000EE"/>
                <w:w w:val="93"/>
              </w:rPr>
            </w:pPr>
            <w:hyperlink r:id="rId12">
              <w:r>
                <w:rPr>
                  <w:rFonts w:ascii="Arial" w:cs="Arial" w:eastAsia="Arial" w:hAnsi="Arial"/>
                  <w:sz w:val="20"/>
                  <w:szCs w:val="20"/>
                  <w:color w:val="0000EE"/>
                  <w:w w:val="93"/>
                </w:rPr>
                <w:t>Meister Keith A.</w:t>
              </w:r>
            </w:hyperlink>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000" w:type="dxa"/>
            <w:vAlign w:val="bottom"/>
            <w:gridSpan w:val="2"/>
          </w:tcPr>
          <w:p>
            <w:pPr>
              <w:ind w:left="440"/>
              <w:spacing w:after="0"/>
              <w:rPr>
                <w:sz w:val="20"/>
                <w:szCs w:val="20"/>
                <w:color w:val="auto"/>
              </w:rPr>
            </w:pPr>
            <w:r>
              <w:rPr>
                <w:rFonts w:ascii="Arial" w:cs="Arial" w:eastAsia="Arial" w:hAnsi="Arial"/>
                <w:sz w:val="12"/>
                <w:szCs w:val="12"/>
                <w:color w:val="auto"/>
              </w:rPr>
              <w:t>(Middle)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2380" w:type="dxa"/>
            <w:vAlign w:val="bottom"/>
            <w:gridSpan w:val="5"/>
          </w:tcPr>
          <w:p>
            <w:pPr>
              <w:spacing w:after="0"/>
              <w:rPr>
                <w:sz w:val="20"/>
                <w:szCs w:val="20"/>
                <w:color w:val="auto"/>
              </w:rPr>
            </w:pPr>
            <w:r>
              <w:rPr>
                <w:rFonts w:ascii="Arial" w:cs="Arial" w:eastAsia="Arial" w:hAnsi="Arial"/>
                <w:sz w:val="16"/>
                <w:szCs w:val="16"/>
                <w:color w:val="0000FF"/>
                <w:w w:val="96"/>
              </w:rPr>
              <w:t>C/O CORVEX MANAGEMENT LP</w:t>
            </w: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380" w:type="dxa"/>
            <w:vAlign w:val="bottom"/>
            <w:gridSpan w:val="5"/>
          </w:tcPr>
          <w:p>
            <w:pPr>
              <w:spacing w:after="0"/>
              <w:rPr>
                <w:sz w:val="20"/>
                <w:szCs w:val="20"/>
                <w:color w:val="auto"/>
              </w:rPr>
            </w:pPr>
            <w:r>
              <w:rPr>
                <w:rFonts w:ascii="Arial" w:cs="Arial" w:eastAsia="Arial" w:hAnsi="Arial"/>
                <w:sz w:val="16"/>
                <w:szCs w:val="16"/>
                <w:color w:val="0000FF"/>
              </w:rPr>
              <w:t>667 MADISON AVENUE</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040" w:type="dxa"/>
            <w:vAlign w:val="bottom"/>
            <w:gridSpan w:val="2"/>
          </w:tcPr>
          <w:p>
            <w:pPr>
              <w:ind w:left="80"/>
              <w:spacing w:after="0"/>
              <w:rPr>
                <w:sz w:val="20"/>
                <w:szCs w:val="20"/>
                <w:color w:val="auto"/>
              </w:rPr>
            </w:pPr>
            <w:r>
              <w:rPr>
                <w:rFonts w:ascii="Arial" w:cs="Arial" w:eastAsia="Arial" w:hAnsi="Arial"/>
                <w:sz w:val="16"/>
                <w:szCs w:val="16"/>
                <w:color w:val="0000FF"/>
              </w:rPr>
              <w:t>NY</w:t>
            </w:r>
          </w:p>
        </w:tc>
        <w:tc>
          <w:tcPr>
            <w:tcW w:w="980" w:type="dxa"/>
            <w:vAlign w:val="bottom"/>
          </w:tcPr>
          <w:p>
            <w:pPr>
              <w:ind w:left="440"/>
              <w:spacing w:after="0"/>
              <w:rPr>
                <w:sz w:val="20"/>
                <w:szCs w:val="20"/>
                <w:color w:val="auto"/>
              </w:rPr>
            </w:pPr>
            <w:r>
              <w:rPr>
                <w:rFonts w:ascii="Arial" w:cs="Arial" w:eastAsia="Arial" w:hAnsi="Arial"/>
                <w:sz w:val="16"/>
                <w:szCs w:val="16"/>
                <w:color w:val="0000FF"/>
              </w:rPr>
              <w:t>10065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gridSpan w:val="2"/>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000" w:type="dxa"/>
            <w:vAlign w:val="bottom"/>
            <w:gridSpan w:val="2"/>
          </w:tcPr>
          <w:p>
            <w:pPr>
              <w:ind w:left="440"/>
              <w:spacing w:after="0"/>
              <w:rPr>
                <w:sz w:val="20"/>
                <w:szCs w:val="20"/>
                <w:color w:val="auto"/>
              </w:rPr>
            </w:pPr>
            <w:r>
              <w:rPr>
                <w:rFonts w:ascii="Arial" w:cs="Arial" w:eastAsia="Arial" w:hAnsi="Arial"/>
                <w:sz w:val="12"/>
                <w:szCs w:val="12"/>
                <w:color w:val="auto"/>
              </w:rPr>
              <w:t>(Zip)</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0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600" w:type="dxa"/>
            <w:vAlign w:val="bottom"/>
            <w:tcBorders>
              <w:bottom w:val="single" w:sz="8" w:color="2C2C2C"/>
            </w:tcBorders>
            <w:gridSpan w:val="2"/>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480" w:type="dxa"/>
            <w:vAlign w:val="bottom"/>
            <w:gridSpan w:val="6"/>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2380" w:type="dxa"/>
            <w:vAlign w:val="bottom"/>
            <w:gridSpan w:val="5"/>
          </w:tcPr>
          <w:p>
            <w:pPr>
              <w:spacing w:after="0" w:line="203" w:lineRule="exact"/>
              <w:rPr>
                <w:rFonts w:ascii="Arial" w:cs="Arial" w:eastAsia="Arial" w:hAnsi="Arial"/>
                <w:sz w:val="20"/>
                <w:szCs w:val="20"/>
                <w:color w:val="0000EE"/>
              </w:rPr>
            </w:pPr>
            <w:hyperlink r:id="rId14">
              <w:r>
                <w:rPr>
                  <w:rFonts w:ascii="Arial" w:cs="Arial" w:eastAsia="Arial" w:hAnsi="Arial"/>
                  <w:sz w:val="20"/>
                  <w:szCs w:val="20"/>
                  <w:color w:val="0000EE"/>
                </w:rPr>
                <w:t>Corvex Management LP</w:t>
              </w:r>
            </w:hyperlink>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000" w:type="dxa"/>
            <w:vAlign w:val="bottom"/>
            <w:gridSpan w:val="2"/>
          </w:tcPr>
          <w:p>
            <w:pPr>
              <w:ind w:left="440"/>
              <w:spacing w:after="0"/>
              <w:rPr>
                <w:sz w:val="20"/>
                <w:szCs w:val="20"/>
                <w:color w:val="auto"/>
              </w:rPr>
            </w:pPr>
            <w:r>
              <w:rPr>
                <w:rFonts w:ascii="Arial" w:cs="Arial" w:eastAsia="Arial" w:hAnsi="Arial"/>
                <w:sz w:val="12"/>
                <w:szCs w:val="12"/>
                <w:color w:val="auto"/>
              </w:rPr>
              <w:t>(Middle)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2380" w:type="dxa"/>
            <w:vAlign w:val="bottom"/>
            <w:gridSpan w:val="5"/>
          </w:tcPr>
          <w:p>
            <w:pPr>
              <w:spacing w:after="0"/>
              <w:rPr>
                <w:sz w:val="20"/>
                <w:szCs w:val="20"/>
                <w:color w:val="auto"/>
              </w:rPr>
            </w:pPr>
            <w:r>
              <w:rPr>
                <w:rFonts w:ascii="Arial" w:cs="Arial" w:eastAsia="Arial" w:hAnsi="Arial"/>
                <w:sz w:val="16"/>
                <w:szCs w:val="16"/>
                <w:color w:val="0000FF"/>
              </w:rPr>
              <w:t>667 MADISON AVENUE</w:t>
            </w: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040" w:type="dxa"/>
            <w:vAlign w:val="bottom"/>
            <w:gridSpan w:val="2"/>
          </w:tcPr>
          <w:p>
            <w:pPr>
              <w:ind w:left="80"/>
              <w:spacing w:after="0"/>
              <w:rPr>
                <w:sz w:val="20"/>
                <w:szCs w:val="20"/>
                <w:color w:val="auto"/>
              </w:rPr>
            </w:pPr>
            <w:r>
              <w:rPr>
                <w:rFonts w:ascii="Arial" w:cs="Arial" w:eastAsia="Arial" w:hAnsi="Arial"/>
                <w:sz w:val="16"/>
                <w:szCs w:val="16"/>
                <w:color w:val="0000FF"/>
              </w:rPr>
              <w:t>NY</w:t>
            </w:r>
          </w:p>
        </w:tc>
        <w:tc>
          <w:tcPr>
            <w:tcW w:w="980" w:type="dxa"/>
            <w:vAlign w:val="bottom"/>
          </w:tcPr>
          <w:p>
            <w:pPr>
              <w:ind w:left="440"/>
              <w:spacing w:after="0"/>
              <w:rPr>
                <w:sz w:val="20"/>
                <w:szCs w:val="20"/>
                <w:color w:val="auto"/>
              </w:rPr>
            </w:pPr>
            <w:r>
              <w:rPr>
                <w:rFonts w:ascii="Arial" w:cs="Arial" w:eastAsia="Arial" w:hAnsi="Arial"/>
                <w:sz w:val="16"/>
                <w:szCs w:val="16"/>
                <w:color w:val="0000FF"/>
              </w:rPr>
              <w:t>10065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gridSpan w:val="2"/>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000" w:type="dxa"/>
            <w:vAlign w:val="bottom"/>
            <w:gridSpan w:val="2"/>
          </w:tcPr>
          <w:p>
            <w:pPr>
              <w:ind w:left="440"/>
              <w:spacing w:after="0"/>
              <w:rPr>
                <w:sz w:val="20"/>
                <w:szCs w:val="20"/>
                <w:color w:val="auto"/>
              </w:rPr>
            </w:pPr>
            <w:r>
              <w:rPr>
                <w:rFonts w:ascii="Arial" w:cs="Arial" w:eastAsia="Arial" w:hAnsi="Arial"/>
                <w:sz w:val="12"/>
                <w:szCs w:val="12"/>
                <w:color w:val="auto"/>
              </w:rPr>
              <w:t>(Zip)</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-5281930</wp:posOffset>
            </wp:positionV>
            <wp:extent cx="27940" cy="2187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940" cy="2187575"/>
                    </a:xfrm>
                    <a:prstGeom prst="rect">
                      <a:avLst/>
                    </a:prstGeom>
                    <a:noFill/>
                  </pic:spPr>
                </pic:pic>
              </a:graphicData>
            </a:graphic>
          </wp:anchor>
        </w:drawing>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40" w:right="360" w:hanging="6"/>
        <w:spacing w:after="0" w:line="262" w:lineRule="auto"/>
        <w:tabs>
          <w:tab w:leader="none" w:pos="16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Investment funds advised by Corvex Management LP are the record holders of 2,473,781 shares of the Class A common stock, par value $0.0001 per share ("Class A Common Stock") of GeneDx Holdings Corp. (the "Issuer") reported herein. Mr. Meister may be deemed to indirectly beneficially own these shares by virtue of Mr. Meister's control of the general partner of Corvex Management LP.</w:t>
      </w:r>
    </w:p>
    <w:p>
      <w:pPr>
        <w:spacing w:after="0" w:line="16" w:lineRule="exact"/>
        <w:rPr>
          <w:rFonts w:ascii="Arial" w:cs="Arial" w:eastAsia="Arial" w:hAnsi="Arial"/>
          <w:sz w:val="12"/>
          <w:szCs w:val="12"/>
          <w:color w:val="008000"/>
        </w:rPr>
      </w:pPr>
    </w:p>
    <w:p>
      <w:pPr>
        <w:jc w:val="both"/>
        <w:ind w:left="40" w:right="180" w:hanging="6"/>
        <w:spacing w:after="0" w:line="248" w:lineRule="auto"/>
        <w:tabs>
          <w:tab w:leader="none" w:pos="16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CMLS Holdings LLC ("CMLS Holdings") is the record holder of 537,285 shares of the Class A Common Stock reported herein. Mr. Meister is one of two members of the Board of Managers of CMLS Holdings, and Mr. Meister shares voting and investment discretion with respect to the securities held of record by CMLS Holdings Stock reported herein. Mr. Meister is one of two members of the Board of Managers of CMLS Holdings, and Mr. Meister shares voting and investment discretion with respect to the securities held of record by CMLS Holdings.</w:t>
      </w:r>
    </w:p>
    <w:p>
      <w:pPr>
        <w:spacing w:after="0" w:line="23" w:lineRule="exact"/>
        <w:rPr>
          <w:rFonts w:ascii="Arial" w:cs="Arial" w:eastAsia="Arial" w:hAnsi="Arial"/>
          <w:sz w:val="12"/>
          <w:szCs w:val="12"/>
          <w:color w:val="008000"/>
        </w:rPr>
      </w:pPr>
    </w:p>
    <w:p>
      <w:pPr>
        <w:ind w:left="40" w:right="140" w:hanging="6"/>
        <w:spacing w:after="0" w:line="262" w:lineRule="auto"/>
        <w:tabs>
          <w:tab w:leader="none" w:pos="16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For the purposes of this filing, Mr. Meister disclaims beneficial ownership of the reported securities except to the extent of his pecuniary interest therein. This filing shall not be deemed an admission that Mr. Meister is the beneficial owner of any of the reported securities for purposes of Section 16 of the Securities Exchange Act of 1934, as amended, or otherwise.</w:t>
      </w:r>
    </w:p>
    <w:p>
      <w:pPr>
        <w:spacing w:after="0" w:line="16" w:lineRule="exact"/>
        <w:rPr>
          <w:rFonts w:ascii="Arial" w:cs="Arial" w:eastAsia="Arial" w:hAnsi="Arial"/>
          <w:sz w:val="12"/>
          <w:szCs w:val="12"/>
          <w:color w:val="008000"/>
        </w:rPr>
      </w:pPr>
    </w:p>
    <w:p>
      <w:pPr>
        <w:jc w:val="both"/>
        <w:ind w:left="40" w:right="280" w:hanging="6"/>
        <w:spacing w:after="0" w:line="308" w:lineRule="auto"/>
        <w:tabs>
          <w:tab w:leader="none" w:pos="16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As previously reported, on December 1, 2022, investment funds advised by Corvex Management LP (the "Corvex Funds"), the general partner of which is controlled by Mr. Meister, entered into cash-settled swaps (the "Initial Total Return Swap") with a counterparty under which the Corvex Funds acquired the economic long-side exposure to a basket of securities which included a notional interest in 205,738 shares of Class A Common</w:t>
      </w:r>
    </w:p>
    <w:p>
      <w:pPr>
        <w:sectPr>
          <w:pgSz w:w="11900" w:h="16838" w:orient="portrait"/>
          <w:cols w:equalWidth="0" w:num="1">
            <w:col w:w="11080"/>
          </w:cols>
          <w:pgMar w:left="460" w:top="218" w:right="359" w:bottom="0" w:gutter="0" w:footer="0" w:header="0"/>
          <w:type w:val="continuous"/>
        </w:sectPr>
      </w:pPr>
    </w:p>
    <w:bookmarkStart w:id="1" w:name="page2"/>
    <w:bookmarkEnd w:id="1"/>
    <w:p>
      <w:pPr>
        <w:ind w:left="6" w:right="20"/>
        <w:spacing w:after="0" w:line="262" w:lineRule="auto"/>
        <w:rPr>
          <w:sz w:val="20"/>
          <w:szCs w:val="20"/>
          <w:color w:val="auto"/>
        </w:rPr>
      </w:pPr>
      <w:r>
        <w:rPr>
          <w:rFonts w:ascii="Arial" w:cs="Arial" w:eastAsia="Arial" w:hAnsi="Arial"/>
          <w:sz w:val="12"/>
          <w:szCs w:val="12"/>
          <w:color w:val="008000"/>
        </w:rPr>
        <w:t>Stock (as adjusted to reflect the impact of a 1-for-33 reverse stock split of the Issuer's Common Stock that became effective on May 4, 2023, the "Reverse Stock Split") for a reference price of $13.167 per share (as adjusted to reflect the Reverse Stock Split).</w:t>
      </w:r>
    </w:p>
    <w:p>
      <w:pPr>
        <w:spacing w:after="0" w:line="16" w:lineRule="exact"/>
        <w:rPr>
          <w:sz w:val="20"/>
          <w:szCs w:val="20"/>
          <w:color w:val="auto"/>
        </w:rPr>
      </w:pPr>
    </w:p>
    <w:p>
      <w:pPr>
        <w:jc w:val="both"/>
        <w:ind w:left="6" w:right="40" w:hanging="6"/>
        <w:spacing w:after="0" w:line="281" w:lineRule="auto"/>
        <w:tabs>
          <w:tab w:leader="none" w:pos="12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November 15, 2023, contemporaneously with the disposal reported in Table I, the Initial Total Return Swap was terminated and the Corvex Funds entered into new cash-settled swaps with a counterparty under which the Corvex Funds acquired the economic long-side exposure to (i) a notional interest in 205,738 shares of Class A Common Stock (the "Second Total Return Swap") for a reference price of $1.29 per share and (ii) a basket of securities which includes a notional interest in 833,742 shares of Class A Common Stock for a reference price of $1.29 per share (the "Third Total Return Swap").</w:t>
      </w:r>
    </w:p>
    <w:p>
      <w:pPr>
        <w:spacing w:after="0" w:line="7" w:lineRule="exact"/>
        <w:rPr>
          <w:rFonts w:ascii="Arial" w:cs="Arial" w:eastAsia="Arial" w:hAnsi="Arial"/>
          <w:sz w:val="11"/>
          <w:szCs w:val="11"/>
          <w:color w:val="008000"/>
        </w:rPr>
      </w:pPr>
    </w:p>
    <w:p>
      <w:pPr>
        <w:ind w:left="6" w:right="20" w:hanging="6"/>
        <w:spacing w:after="0"/>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Under the terms of the Initial Total Return Swap, Second Total Return Swap, and Third Total Return Swap (each, a "Total Return Swap") (i) the counterparty is obligated to pay in cash to the Corvex Funds any positive price performance in the applicable notional securities from the applicable reference price and (ii) the Corvex Funds are obligated to pay in cash to the counterparty any negative price performance in the applicable notional securities from the applicable reference price as of the termination of such Total Return Swap, and, in the case of the Initial Total Return Swap and the Third Total Return Swap, as part of the overall cash payment to be made under such Total Return Swap, taking into account the other securities reflected in the basket. All balances are required to be exclusively cash settled at the termination of each Total Return Swap. Each Total Return Swap has a maximum term of three years.</w:t>
      </w:r>
    </w:p>
    <w:p>
      <w:pPr>
        <w:spacing w:after="0" w:line="30" w:lineRule="exact"/>
        <w:rPr>
          <w:rFonts w:ascii="Arial" w:cs="Arial" w:eastAsia="Arial" w:hAnsi="Arial"/>
          <w:sz w:val="12"/>
          <w:szCs w:val="12"/>
          <w:color w:val="008000"/>
        </w:rPr>
      </w:pPr>
    </w:p>
    <w:p>
      <w:pPr>
        <w:ind w:left="6" w:hanging="6"/>
        <w:spacing w:after="0" w:line="281" w:lineRule="auto"/>
        <w:tabs>
          <w:tab w:leader="none" w:pos="12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Total Return Swaps do not give the Corvex Funds direct or indirect voting, investment, or dispositive control over any securities of the Issuer, do not provide for the Corvex Funds to have any power to acquire any shares of Class A Common Stock from the counterparty, and do not require the counterparty to acquire, hold, vote or dispose of any securities of the Issuer. The Total Return Swaps, but not the applicable notional securities, are owned by the Corvex Funds. Mr. Meister disclaims beneficial ownership of all notional securities underlying the Total Return Swaps reported as indirectly owned except to the extent of his pecuniary interest therein.</w:t>
      </w:r>
    </w:p>
    <w:p>
      <w:pPr>
        <w:spacing w:after="0" w:line="7" w:lineRule="exact"/>
        <w:rPr>
          <w:rFonts w:ascii="Arial" w:cs="Arial" w:eastAsia="Arial" w:hAnsi="Arial"/>
          <w:sz w:val="11"/>
          <w:szCs w:val="11"/>
          <w:color w:val="008000"/>
        </w:rPr>
      </w:pPr>
    </w:p>
    <w:p>
      <w:pPr>
        <w:ind w:left="126" w:hanging="126"/>
        <w:spacing w:after="0"/>
        <w:tabs>
          <w:tab w:leader="none" w:pos="12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 amounts have been adjusted to reflect the Reverse Stock Split.</w:t>
      </w:r>
    </w:p>
    <w:p>
      <w:pPr>
        <w:spacing w:after="0" w:line="53" w:lineRule="exact"/>
        <w:rPr>
          <w:sz w:val="20"/>
          <w:szCs w:val="20"/>
          <w:color w:val="auto"/>
        </w:rPr>
      </w:pPr>
    </w:p>
    <w:tbl>
      <w:tblPr>
        <w:tblLayout w:type="fixed"/>
        <w:tblInd w:w="6566" w:type="dxa"/>
        <w:tblCellMar>
          <w:top w:w="0" w:type="dxa"/>
          <w:left w:w="0" w:type="dxa"/>
          <w:bottom w:w="0" w:type="dxa"/>
          <w:right w:w="0" w:type="dxa"/>
        </w:tblCellMar>
      </w:tblPr>
      <w:tr>
        <w:trPr>
          <w:trHeight w:val="184"/>
        </w:trPr>
        <w:tc>
          <w:tcPr>
            <w:tcW w:w="1260" w:type="dxa"/>
            <w:vAlign w:val="bottom"/>
          </w:tcPr>
          <w:p>
            <w:pPr>
              <w:spacing w:after="0"/>
              <w:rPr>
                <w:sz w:val="20"/>
                <w:szCs w:val="20"/>
                <w:color w:val="auto"/>
              </w:rPr>
            </w:pPr>
            <w:r>
              <w:rPr>
                <w:rFonts w:ascii="Arial" w:cs="Arial" w:eastAsia="Arial" w:hAnsi="Arial"/>
                <w:sz w:val="16"/>
                <w:szCs w:val="16"/>
                <w:color w:val="0000FF"/>
                <w:w w:val="92"/>
              </w:rPr>
              <w:t>/s/ Keith A. Meister</w:t>
            </w:r>
          </w:p>
        </w:tc>
        <w:tc>
          <w:tcPr>
            <w:tcW w:w="1660" w:type="dxa"/>
            <w:vAlign w:val="bottom"/>
            <w:gridSpan w:val="2"/>
          </w:tcPr>
          <w:p>
            <w:pPr>
              <w:jc w:val="right"/>
              <w:spacing w:after="0"/>
              <w:rPr>
                <w:sz w:val="20"/>
                <w:szCs w:val="20"/>
                <w:color w:val="auto"/>
              </w:rPr>
            </w:pPr>
            <w:r>
              <w:rPr>
                <w:rFonts w:ascii="Arial" w:cs="Arial" w:eastAsia="Arial" w:hAnsi="Arial"/>
                <w:sz w:val="16"/>
                <w:szCs w:val="16"/>
                <w:color w:val="0000FF"/>
              </w:rPr>
              <w:t>11/17/2023</w:t>
            </w: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64"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CORVEX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-9525</wp:posOffset>
            </wp:positionV>
            <wp:extent cx="13017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01750" cy="7620"/>
                    </a:xfrm>
                    <a:prstGeom prst="rect">
                      <a:avLst/>
                    </a:prstGeom>
                    <a:noFill/>
                  </pic:spPr>
                </pic:pic>
              </a:graphicData>
            </a:graphic>
          </wp:anchor>
        </w:drawing>
      </w:r>
    </w:p>
    <w:p>
      <w:pPr>
        <w:ind w:left="6566"/>
        <w:spacing w:after="0"/>
        <w:tabs>
          <w:tab w:leader="none" w:pos="8745" w:val="left"/>
        </w:tabs>
        <w:rPr>
          <w:sz w:val="20"/>
          <w:szCs w:val="20"/>
          <w:color w:val="auto"/>
        </w:rPr>
      </w:pPr>
      <w:r>
        <w:rPr>
          <w:rFonts w:ascii="Arial" w:cs="Arial" w:eastAsia="Arial" w:hAnsi="Arial"/>
          <w:sz w:val="16"/>
          <w:szCs w:val="16"/>
          <w:color w:val="0000FF"/>
        </w:rPr>
        <w:t>Name: /s/ Keith Meister Title:</w:t>
      </w:r>
      <w:r>
        <w:rPr>
          <w:sz w:val="20"/>
          <w:szCs w:val="20"/>
          <w:color w:val="auto"/>
        </w:rPr>
        <w:tab/>
      </w:r>
      <w:r>
        <w:rPr>
          <w:rFonts w:ascii="Arial" w:cs="Arial" w:eastAsia="Arial" w:hAnsi="Arial"/>
          <w:sz w:val="14"/>
          <w:szCs w:val="14"/>
          <w:color w:val="0000FF"/>
        </w:rPr>
        <w:t>11/17/2023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8503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50390"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6"/>
          <w:szCs w:val="16"/>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7245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34" w:lineRule="exact"/>
        <w:rPr>
          <w:sz w:val="20"/>
          <w:szCs w:val="20"/>
          <w:color w:val="auto"/>
        </w:rPr>
      </w:pPr>
    </w:p>
    <w:p>
      <w:pPr>
        <w:ind w:left="6566"/>
        <w:spacing w:after="0"/>
        <w:tabs>
          <w:tab w:leader="none" w:pos="8745"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1" w:lineRule="exact"/>
        <w:rPr>
          <w:sz w:val="20"/>
          <w:szCs w:val="20"/>
          <w:color w:val="auto"/>
        </w:rPr>
      </w:pPr>
    </w:p>
    <w:p>
      <w:pPr>
        <w:ind w:left="6"/>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6" w:right="3820" w:hanging="6"/>
        <w:spacing w:after="0" w:line="316"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6"/>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6"/>
      </w:cols>
      <w:pgMar w:left="494"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307631" TargetMode="External"/><Relationship Id="rId13" Type="http://schemas.openxmlformats.org/officeDocument/2006/relationships/hyperlink" Target="http://www.sec.gov/cgi-bin/browse-edgar?action=getcompany&amp;CIK=0001818331" TargetMode="External"/><Relationship Id="rId14" Type="http://schemas.openxmlformats.org/officeDocument/2006/relationships/hyperlink" Target="http://www.sec.gov/cgi-bin/browse-edgar?action=getcompany&amp;CIK=0001535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2023-11-17T15:37:30Z</dcterms:created>
  <dcterms:modified xsi:type="dcterms:W3CDTF">2023-11-17T15:37:30Z</dcterms:modified>
</cp:coreProperties>
</file>