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232026_080631.xml.htm"/>
      <w:bookmarkStart w:id="1" w:name="ksform406232026_0806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Fuchs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4,248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entire award shall vest on the earlier of the (i) date of the 2027 annual meeting of the Issuer's stockholders, or (ii) first anniversary of the grant date, subject to the Reporting Person's continued service to the Issuer through the vesting date.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3937"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3528</Characters>
  <CharactersWithSpaces>4125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