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5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333-258467</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5</w:t>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March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28575</wp:posOffset>
            </wp:positionV>
            <wp:extent cx="192849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849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Sema4 Holdings 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229,657,978 Shares of Common Stock</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7,236,667 Warrants to Purchase Shares of Common Stock</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21,994,972 Shares of Common Stock Underlying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95250</wp:posOffset>
            </wp:positionV>
            <wp:extent cx="10712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395" w:lineRule="exact"/>
        <w:rPr>
          <w:sz w:val="24"/>
          <w:szCs w:val="24"/>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This prospectus supplement supplements the prospectus dated March 28, 2022 (the “Prospectus”), which forms a part of our registration statement on Form S-1 (No. 333-258467). This prospectus supplement is being filed to update and supplement the information in the Prospectus with the information contained in Item 5.02 from our Current Report on Form 8-K, filed with the Securities and Exchange Commission (the “SEC”) on July 1, 2022. Accordingly, we have attached the Current Report on Form 8-K to this prospectus supplement.</w:t>
      </w:r>
    </w:p>
    <w:p>
      <w:pPr>
        <w:spacing w:after="0" w:line="205" w:lineRule="exact"/>
        <w:rPr>
          <w:sz w:val="24"/>
          <w:szCs w:val="24"/>
          <w:color w:val="auto"/>
        </w:rPr>
      </w:pPr>
    </w:p>
    <w:p>
      <w:pPr>
        <w:jc w:val="both"/>
        <w:ind w:firstLine="324"/>
        <w:spacing w:after="0" w:line="293" w:lineRule="auto"/>
        <w:rPr>
          <w:sz w:val="20"/>
          <w:szCs w:val="20"/>
          <w:color w:val="auto"/>
        </w:rPr>
      </w:pPr>
      <w:r>
        <w:rPr>
          <w:rFonts w:ascii="Times New Roman" w:cs="Times New Roman" w:eastAsia="Times New Roman" w:hAnsi="Times New Roman"/>
          <w:sz w:val="18"/>
          <w:szCs w:val="18"/>
          <w:color w:val="auto"/>
        </w:rPr>
        <w:t>The Prospectus and this prospectus supplement relate to the offer and sale from time to time by the selling securityholders named in this prospectus (the “Selling Securityholders”) of (A) up to 229,657,978 shares of our Class A common stock, par value $0.0001 per share (“Class A common stock” or “common stock”), consisting of (i) up to 29,125,620 shares of our Class A common stock (the “Prior PIPE Shares”) issued in a private placement pursuant to subscription agreements each entered into on February 9, 2021 (the “Prior PIPE Investment”); (ii) up to 11,068,750 shares of our Class A common stock (the “Founder Shares”) issued in connection with the consummation of the Business Combination (as defined below), in exchange for shares of our Class B common stock originally issued in a private placement to CMLS Holdings LLC (the “Former Sponsor”); (iii) up to 182,917,984 shares of our Class A common stock issued or issuable to certain former stockholders and equity award holders of Sema4 (the “Sema4 equity holders”) in connection with or as a result of the consummation of the Business Combination, consisting of (a) up to 149,856,840 shares of our Class A common stock; (b) up to 14,039,568 shares of our Class A common stock issuable upon the exercise or vesting of certain equity awards; and (c) up to 19,021,576 shares of Class A common stock (the “Earn-Out Shares”) that certain Sema4 equity holders have the contingent right to receive upon the achievement of certain vesting conditions; and (iv) up to 7,236,667 shares of our Class A common stock issuable upon the exercise of the private placement warrants (as defined below); and (B) up to 7,236,667 warrants (the “private placement warrants”) originally issued in a private placement to the Former Sponsor and certain of the other Initial Stockholders (as defined in the Prospectus).</w:t>
      </w:r>
    </w:p>
    <w:p>
      <w:pPr>
        <w:spacing w:after="0" w:line="130" w:lineRule="exact"/>
        <w:rPr>
          <w:sz w:val="24"/>
          <w:szCs w:val="24"/>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In addition, the Prospectus and this prospectus supplement relate to the offer and sale of: (i) up to 14,758,305 shares of our Class A common stock that are issuable by us upon the exercise of 14,758,305 warrants (the “public warrants”) originally issued in our initial public offering (the “IPO”); and (ii) up to 7,236,667 shares of our Class A common stock that are issuable by us upon the exercise of the private placement warrants following the public resale of the private placement warrants by the Selling Securityholders pursuant to the Prospectus and this prospectus supplement.</w:t>
      </w:r>
    </w:p>
    <w:p>
      <w:pPr>
        <w:sectPr>
          <w:pgSz w:w="11900" w:h="16838" w:orient="portrait"/>
          <w:cols w:equalWidth="0" w:num="1">
            <w:col w:w="11240"/>
          </w:cols>
          <w:pgMar w:left="320" w:top="1440" w:right="339" w:bottom="1440" w:gutter="0" w:footer="0" w:header="0"/>
        </w:sectPr>
      </w:pPr>
    </w:p>
    <w:bookmarkStart w:id="1" w:name="page2"/>
    <w:bookmarkEnd w:id="1"/>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Our common stock and public warrants are listed on the Nasdaq Global Select Market (the “Nasdaq”) under the symbol “SMFR” and “SMFRW”, respectively. On June 30, 2022, the last reported sales price of our common stock was $1.26 per share and the last reported sales price of our public warrants was $0.33 per warrant.</w:t>
      </w:r>
    </w:p>
    <w:p>
      <w:pPr>
        <w:spacing w:after="0" w:line="129"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36"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and, as such, have elected to comply with certain reduced disclosure and regulatory requirements.</w:t>
      </w:r>
    </w:p>
    <w:p>
      <w:pPr>
        <w:spacing w:after="0" w:line="118" w:lineRule="exact"/>
        <w:rPr>
          <w:sz w:val="20"/>
          <w:szCs w:val="20"/>
          <w:color w:val="auto"/>
        </w:rPr>
      </w:pPr>
    </w:p>
    <w:p>
      <w:pPr>
        <w:jc w:val="both"/>
        <w:ind w:right="20" w:firstLine="324"/>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Investing in our securities involves risks. See the section entitled “Risk Factors” beginning on page 9 of the Prospectus to read about factors you should consider before buying our securities.</w:t>
      </w:r>
    </w:p>
    <w:p>
      <w:pPr>
        <w:spacing w:after="0" w:line="113" w:lineRule="exact"/>
        <w:rPr>
          <w:sz w:val="20"/>
          <w:szCs w:val="20"/>
          <w:color w:val="auto"/>
        </w:rPr>
      </w:pPr>
    </w:p>
    <w:p>
      <w:pPr>
        <w:jc w:val="both"/>
        <w:ind w:firstLine="324"/>
        <w:spacing w:after="0" w:line="31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July 1, 2022</w:t>
      </w:r>
    </w:p>
    <w:p>
      <w:pPr>
        <w:sectPr>
          <w:pgSz w:w="11900" w:h="16838" w:orient="portrait"/>
          <w:cols w:equalWidth="0" w:num="1">
            <w:col w:w="11240"/>
          </w:cols>
          <w:pgMar w:left="320" w:top="143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July 1, 2022 (June 27, 2022)</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Sema4 Holdings Corp.</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001-39482</w:t>
            </w:r>
          </w:p>
        </w:tc>
        <w:tc>
          <w:tcPr>
            <w:tcW w:w="100" w:type="dxa"/>
            <w:vAlign w:val="bottom"/>
          </w:tcPr>
          <w:p>
            <w:pPr>
              <w:spacing w:after="0"/>
              <w:rPr>
                <w:sz w:val="21"/>
                <w:szCs w:val="21"/>
                <w:color w:val="auto"/>
              </w:rPr>
            </w:pPr>
          </w:p>
        </w:tc>
        <w:tc>
          <w:tcPr>
            <w:tcW w:w="4180" w:type="dxa"/>
            <w:vAlign w:val="bottom"/>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85-1966622</w:t>
            </w:r>
          </w:p>
        </w:tc>
      </w:tr>
      <w:tr>
        <w:trPr>
          <w:trHeight w:val="27"/>
        </w:trPr>
        <w:tc>
          <w:tcPr>
            <w:tcW w:w="4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169"/>
        </w:trPr>
        <w:tc>
          <w:tcPr>
            <w:tcW w:w="42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80" w:type="dxa"/>
            <w:vAlign w:val="bottom"/>
          </w:tcPr>
          <w:p>
            <w:pPr>
              <w:spacing w:after="0"/>
              <w:rPr>
                <w:sz w:val="14"/>
                <w:szCs w:val="14"/>
                <w:color w:val="auto"/>
              </w:rPr>
            </w:pPr>
          </w:p>
        </w:tc>
        <w:tc>
          <w:tcPr>
            <w:tcW w:w="26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14"/>
                <w:szCs w:val="14"/>
                <w:color w:val="auto"/>
              </w:rPr>
            </w:pPr>
          </w:p>
        </w:tc>
        <w:tc>
          <w:tcPr>
            <w:tcW w:w="41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organization)</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306"/>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333 Ludlow Street, North Tower, 8th Floor</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83"/>
        </w:trPr>
        <w:tc>
          <w:tcPr>
            <w:tcW w:w="42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Stamford, Connecticut</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Borders>
              <w:bottom w:val="single" w:sz="8" w:color="auto"/>
            </w:tcBorders>
          </w:tcPr>
          <w:p>
            <w:pPr>
              <w:jc w:val="right"/>
              <w:ind w:right="1770"/>
              <w:spacing w:after="0"/>
              <w:rPr>
                <w:sz w:val="20"/>
                <w:szCs w:val="20"/>
                <w:color w:val="auto"/>
              </w:rPr>
            </w:pPr>
            <w:r>
              <w:rPr>
                <w:rFonts w:ascii="Times New Roman" w:cs="Times New Roman" w:eastAsia="Times New Roman" w:hAnsi="Times New Roman"/>
                <w:sz w:val="18"/>
                <w:szCs w:val="18"/>
                <w:b w:val="1"/>
                <w:bCs w:val="1"/>
                <w:color w:val="auto"/>
              </w:rPr>
              <w:t>06902</w:t>
            </w:r>
          </w:p>
        </w:tc>
      </w:tr>
      <w:tr>
        <w:trPr>
          <w:trHeight w:val="228"/>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46"/>
        </w:trPr>
        <w:tc>
          <w:tcPr>
            <w:tcW w:w="422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(800) 298-6470</w:t>
            </w: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23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0"/>
          <w:szCs w:val="20"/>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8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SMFR</w:t>
            </w:r>
          </w:p>
        </w:tc>
        <w:tc>
          <w:tcPr>
            <w:tcW w:w="100" w:type="dxa"/>
            <w:vAlign w:val="bottom"/>
            <w:tcBorders>
              <w:top w:val="single" w:sz="8" w:color="CCEEFF"/>
            </w:tcBorders>
            <w:shd w:val="clear" w:color="auto" w:fill="CCEEFF"/>
          </w:tcPr>
          <w:p>
            <w:pPr>
              <w:spacing w:after="0"/>
              <w:rPr>
                <w:sz w:val="19"/>
                <w:szCs w:val="19"/>
                <w:color w:val="auto"/>
              </w:rPr>
            </w:pPr>
          </w:p>
        </w:tc>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75"/>
        </w:trPr>
        <w:tc>
          <w:tcPr>
            <w:tcW w:w="48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Warrants to purchase one share of Class A common stock, each</w:t>
            </w:r>
          </w:p>
        </w:tc>
        <w:tc>
          <w:tcPr>
            <w:tcW w:w="2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SMFRW</w:t>
            </w:r>
          </w:p>
        </w:tc>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49"/>
        </w:trPr>
        <w:tc>
          <w:tcPr>
            <w:tcW w:w="4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at an exercise price of $11.50 per share</w:t>
            </w:r>
          </w:p>
        </w:tc>
        <w:tc>
          <w:tcPr>
            <w:tcW w:w="2100" w:type="dxa"/>
            <w:vAlign w:val="bottom"/>
            <w:gridSpan w:val="2"/>
            <w:vMerge w:val="continue"/>
          </w:tcPr>
          <w:p>
            <w:pPr>
              <w:spacing w:after="0"/>
              <w:rPr>
                <w:sz w:val="12"/>
                <w:szCs w:val="12"/>
                <w:color w:val="auto"/>
              </w:rPr>
            </w:pPr>
          </w:p>
        </w:tc>
        <w:tc>
          <w:tcPr>
            <w:tcW w:w="4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4860" w:type="dxa"/>
            <w:vAlign w:val="bottom"/>
            <w:gridSpan w:val="2"/>
            <w:vMerge w:val="continue"/>
          </w:tcPr>
          <w:p>
            <w:pPr>
              <w:spacing w:after="0"/>
              <w:rPr>
                <w:sz w:val="7"/>
                <w:szCs w:val="7"/>
                <w:color w:val="auto"/>
              </w:rPr>
            </w:pPr>
          </w:p>
        </w:tc>
        <w:tc>
          <w:tcPr>
            <w:tcW w:w="2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146" w:lineRule="exact"/>
        <w:rPr>
          <w:sz w:val="20"/>
          <w:szCs w:val="20"/>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ectPr>
          <w:pgSz w:w="11900" w:h="16838" w:orient="portrait"/>
          <w:cols w:equalWidth="0" w:num="1">
            <w:col w:w="11240"/>
          </w:cols>
          <w:pgMar w:left="320" w:top="1199" w:right="339" w:bottom="1440" w:gutter="0" w:footer="0" w:header="0"/>
        </w:sectPr>
      </w:pPr>
    </w:p>
    <w:bookmarkStart w:id="3" w:name="page4"/>
    <w:bookmarkEnd w:id="3"/>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3"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Departure of Directors or Certain Officers.</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June 27, 2022, Shawn Assad notified Sema4 Holdings Corp. (the “Company”) that he will resign from his role as Chief Accounting Officer of the Company, effective August 30, 2022. Mr. Assad’s resignation is not related to any disagreement with the Company’s accounting principles or practices or financial statement disclosures. Effective upon Mr. Assad’s departure, Richard Miao will serve as the Company’s Principal Accounting Officer. Mr. Miao will continue to serve as the Company’s Interim Chief Financial Officer, Deputy Chief Financial Officer and Principal Financial Officer.</w:t>
      </w:r>
    </w:p>
    <w:p>
      <w:pPr>
        <w:spacing w:after="0" w:line="19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Mr. Miao has served as Senior Vice President of Financial Planning &amp; Analysis and Treasurer of the Company since May 2021. Prior to joining the Company, Mr. Miao served as Senior Vice President of Corporate Finance and Treasurer at Endeavor Group Holdings, a global talent and media agency, from October 2017 to May 2021. Prior to that role, Mr. Miao served as Senior Vice President of Corporate Finance at William Morris Endeavor, a global talent and media agency, from December 2014 to October 2017. Mr. Miao received a B.A. in Economics from Northwestern University and an M.B.A from the NYU Stern School of Business.</w:t>
      </w:r>
    </w:p>
    <w:p>
      <w:pPr>
        <w:spacing w:after="0" w:line="21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Mr. Miao has no family relationships that require disclosure pursuant to Item 401(d) of Regulation S-K and has not been involved in any transactions that require disclosure pursuant to Item 404(a) of Regulation S-K. There is no arrangement or understanding between Mr. Miao and any other person pursuant to which Mr. Miao was named Principal Accounting Officer of the Company.</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74" w:lineRule="exact"/>
        <w:rPr>
          <w:sz w:val="20"/>
          <w:szCs w:val="20"/>
          <w:color w:val="auto"/>
        </w:rPr>
      </w:pPr>
    </w:p>
    <w:p>
      <w:pPr>
        <w:jc w:val="both"/>
        <w:ind w:firstLine="324"/>
        <w:spacing w:after="0" w:line="32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56" w:lineRule="exact"/>
        <w:rPr>
          <w:sz w:val="20"/>
          <w:szCs w:val="20"/>
          <w:color w:val="auto"/>
        </w:rPr>
      </w:pPr>
    </w:p>
    <w:tbl>
      <w:tblPr>
        <w:tblLayout w:type="fixed"/>
        <w:tblInd w:w="320" w:type="dxa"/>
        <w:tblCellMar>
          <w:top w:w="0" w:type="dxa"/>
          <w:left w:w="0" w:type="dxa"/>
          <w:bottom w:w="0" w:type="dxa"/>
          <w:right w:w="0" w:type="dxa"/>
        </w:tblCellMar>
      </w:tblPr>
      <w:tr>
        <w:trPr>
          <w:trHeight w:val="262"/>
        </w:trPr>
        <w:tc>
          <w:tcPr>
            <w:tcW w:w="6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7140" w:type="dxa"/>
            <w:vAlign w:val="bottom"/>
            <w:gridSpan w:val="2"/>
          </w:tcPr>
          <w:p>
            <w:pPr>
              <w:ind w:left="1580"/>
              <w:spacing w:after="0"/>
              <w:rPr>
                <w:sz w:val="20"/>
                <w:szCs w:val="20"/>
                <w:color w:val="auto"/>
              </w:rPr>
            </w:pPr>
            <w:r>
              <w:rPr>
                <w:rFonts w:ascii="Times New Roman" w:cs="Times New Roman" w:eastAsia="Times New Roman" w:hAnsi="Times New Roman"/>
                <w:sz w:val="20"/>
                <w:szCs w:val="20"/>
                <w:b w:val="1"/>
                <w:bCs w:val="1"/>
                <w:color w:val="auto"/>
              </w:rPr>
              <w:t>Sema4 Holdings Corp.</w:t>
            </w:r>
          </w:p>
        </w:tc>
      </w:tr>
      <w:tr>
        <w:trPr>
          <w:trHeight w:val="420"/>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27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July 1, 2022</w:t>
            </w:r>
          </w:p>
        </w:tc>
        <w:tc>
          <w:tcPr>
            <w:tcW w:w="246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By:</w:t>
            </w:r>
          </w:p>
        </w:tc>
        <w:tc>
          <w:tcPr>
            <w:tcW w:w="4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Katherine Stueland</w:t>
            </w:r>
          </w:p>
        </w:tc>
      </w:tr>
      <w:tr>
        <w:trPr>
          <w:trHeight w:val="261"/>
        </w:trPr>
        <w:tc>
          <w:tcPr>
            <w:tcW w:w="6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246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Name:</w:t>
            </w:r>
          </w:p>
        </w:tc>
        <w:tc>
          <w:tcPr>
            <w:tcW w:w="4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Katherine Stueland</w:t>
            </w:r>
          </w:p>
        </w:tc>
      </w:tr>
      <w:tr>
        <w:trPr>
          <w:trHeight w:val="258"/>
        </w:trPr>
        <w:tc>
          <w:tcPr>
            <w:tcW w:w="6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246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2022-07-01T16:10:05Z</dcterms:created>
  <dcterms:modified xsi:type="dcterms:W3CDTF">2022-07-01T16:10:05Z</dcterms:modified>
</cp:coreProperties>
</file>