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07/29/2025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07/29/2025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6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753</w:t>
            </w:r>
          </w:p>
        </w:tc>
        <w:tc>
          <w:tcPr>
            <w:tcW w:w="70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4,145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07/29/2025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6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388</w:t>
            </w:r>
          </w:p>
        </w:tc>
        <w:tc>
          <w:tcPr>
            <w:tcW w:w="70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105.31</w:t>
            </w:r>
          </w:p>
        </w:tc>
        <w:tc>
          <w:tcPr>
            <w:tcW w:w="118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7"/>
                <w:szCs w:val="17"/>
                <w:color w:val="0000FF"/>
              </w:rPr>
              <w:t>3,757</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1"/>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753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07/29/2025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753</w:t>
            </w: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2,261</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40" w:right="1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sales, in addition to the 3,757 shares of Class A common stock beneficially owned by the Reporting Person, the Reporting Person beneficially owned restricted stock units ("RSUs") representing contingent rights to receive up to an aggregate of 135,009 shares of Class A common stock and options to purchase up to an aggregate of 27,152 shares of Class A common stock, which RSUs and options vest according to their respective terms.</w:t>
      </w:r>
    </w:p>
    <w:p>
      <w:pPr>
        <w:spacing w:after="0" w:line="24" w:lineRule="exact"/>
        <w:rPr>
          <w:rFonts w:ascii="Times New Roman" w:cs="Times New Roman" w:eastAsia="Times New Roman" w:hAnsi="Times New Roman"/>
          <w:sz w:val="13"/>
          <w:szCs w:val="13"/>
          <w:color w:val="008000"/>
        </w:rPr>
      </w:pPr>
    </w:p>
    <w:p>
      <w:pPr>
        <w:ind w:left="40" w:right="22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total RSUs vest on April 29, 2023 and April 29, 2024, and thereafter 6.25% of the total shares underlying the award shall vest in equal quarterly installments until fully vested on April 29, 2026, subject to the Reporting Person's continued service to the Issuer on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07/31/2025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2025-07-31T15:17:02Z</dcterms:created>
  <dcterms:modified xsi:type="dcterms:W3CDTF">2025-07-31T15:17:02Z</dcterms:modified>
</cp:coreProperties>
</file>