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LATE FILING</w:t>
      </w:r>
    </w:p>
    <w:p>
      <w:pPr>
        <w:spacing w:after="0" w:line="22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001-39482</w:t>
      </w:r>
    </w:p>
    <w:p>
      <w:pPr>
        <w:spacing w:after="0" w:line="18" w:lineRule="exact"/>
        <w:rPr>
          <w:sz w:val="24"/>
          <w:szCs w:val="24"/>
          <w:color w:val="auto"/>
        </w:rPr>
      </w:pPr>
    </w:p>
    <w:p>
      <w:pPr>
        <w:ind w:left="1140"/>
        <w:spacing w:after="0" w:line="207" w:lineRule="exact"/>
        <w:tabs>
          <w:tab w:leader="none" w:pos="222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10-K</w:t>
      </w:r>
      <w:r>
        <w:rPr>
          <w:rFonts w:ascii="MS PGothic" w:cs="MS PGothic" w:eastAsia="MS PGothic" w:hAnsi="MS PGothic"/>
          <w:sz w:val="16"/>
          <w:szCs w:val="16"/>
          <w:color w:val="auto"/>
        </w:rPr>
        <w:t xml:space="preserve"> ☐ </w:t>
      </w:r>
      <w:r>
        <w:rPr>
          <w:rFonts w:ascii="Arial" w:cs="Arial" w:eastAsia="Arial" w:hAnsi="Arial"/>
          <w:sz w:val="16"/>
          <w:szCs w:val="16"/>
          <w:color w:val="auto"/>
        </w:rPr>
        <w:t>Form 20-F</w:t>
      </w:r>
      <w:r>
        <w:rPr>
          <w:rFonts w:ascii="MS PGothic" w:cs="MS PGothic" w:eastAsia="MS PGothic" w:hAnsi="MS PGothic"/>
          <w:sz w:val="16"/>
          <w:szCs w:val="16"/>
          <w:color w:val="auto"/>
        </w:rPr>
        <w:t xml:space="preserve"> ☐ </w:t>
      </w:r>
      <w:r>
        <w:rPr>
          <w:rFonts w:ascii="Arial" w:cs="Arial" w:eastAsia="Arial" w:hAnsi="Arial"/>
          <w:sz w:val="16"/>
          <w:szCs w:val="16"/>
          <w:color w:val="auto"/>
        </w:rPr>
        <w:t>Form 11-K</w:t>
      </w:r>
      <w:r>
        <w:rPr>
          <w:rFonts w:ascii="MS PGothic" w:cs="MS PGothic" w:eastAsia="MS PGothic" w:hAnsi="MS PGothic"/>
          <w:sz w:val="16"/>
          <w:szCs w:val="16"/>
          <w:color w:val="auto"/>
        </w:rPr>
        <w:t xml:space="preserve"> ☒ </w:t>
      </w:r>
      <w:r>
        <w:rPr>
          <w:rFonts w:ascii="Arial" w:cs="Arial" w:eastAsia="Arial" w:hAnsi="Arial"/>
          <w:sz w:val="16"/>
          <w:szCs w:val="16"/>
          <w:color w:val="auto"/>
        </w:rPr>
        <w:t>Form 10-Q</w:t>
      </w:r>
    </w:p>
    <w:p>
      <w:pPr>
        <w:spacing w:after="0" w:line="9" w:lineRule="exact"/>
        <w:rPr>
          <w:sz w:val="24"/>
          <w:szCs w:val="24"/>
          <w:color w:val="auto"/>
        </w:rPr>
      </w:pPr>
    </w:p>
    <w:p>
      <w:pPr>
        <w:ind w:left="2240" w:right="5540"/>
        <w:spacing w:after="0" w:line="326" w:lineRule="exact"/>
        <w:tabs>
          <w:tab w:leader="none" w:pos="244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N-CEN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 For Period Ended: March 31, 2021</w:t>
      </w:r>
    </w:p>
    <w:p>
      <w:pPr>
        <w:spacing w:after="0" w:line="202" w:lineRule="exact"/>
        <w:rPr>
          <w:rFonts w:ascii="MS PGothic" w:cs="MS PGothic" w:eastAsia="MS PGothic" w:hAnsi="MS PGothic"/>
          <w:sz w:val="18"/>
          <w:szCs w:val="18"/>
          <w:color w:val="auto"/>
        </w:rPr>
      </w:pPr>
    </w:p>
    <w:p>
      <w:pPr>
        <w:ind w:left="2440" w:hanging="200"/>
        <w:spacing w:after="0"/>
        <w:tabs>
          <w:tab w:leader="none" w:pos="2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2440" w:hanging="200"/>
        <w:spacing w:after="0"/>
        <w:tabs>
          <w:tab w:leader="none" w:pos="2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440" w:hanging="200"/>
        <w:spacing w:after="0"/>
        <w:tabs>
          <w:tab w:leader="none" w:pos="2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440" w:hanging="200"/>
        <w:spacing w:after="0"/>
        <w:tabs>
          <w:tab w:leader="none" w:pos="2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the notification relates to a portion of the filing checked above, identify the Item(s) to which the notification relates: </w:t>
      </w:r>
      <w:r>
        <w:rPr>
          <w:rFonts w:ascii="Arial" w:cs="Arial" w:eastAsia="Arial" w:hAnsi="Arial"/>
          <w:sz w:val="18"/>
          <w:szCs w:val="18"/>
          <w:u w:val="single" w:color="auto"/>
          <w:color w:val="auto"/>
        </w:rPr>
        <w:t>N/A</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 REGISTRANT INFORMATION</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CM LIFE 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Name of Registrant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if Applicable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City, State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1020" w:hanging="427"/>
        <w:spacing w:after="0"/>
        <w:tabs>
          <w:tab w:leader="none" w:pos="10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1020" w:hanging="427"/>
        <w:spacing w:after="0"/>
        <w:tabs>
          <w:tab w:leader="none" w:pos="10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N-CEN or Form N-CSR, or</w:t>
      </w:r>
    </w:p>
    <w:p>
      <w:pPr>
        <w:spacing w:after="0" w:line="20" w:lineRule="exact"/>
        <w:rPr>
          <w:rFonts w:ascii="Arial" w:cs="Arial" w:eastAsia="Arial" w:hAnsi="Arial"/>
          <w:sz w:val="17"/>
          <w:szCs w:val="17"/>
          <w:color w:val="auto"/>
        </w:rPr>
      </w:pPr>
    </w:p>
    <w:p>
      <w:pPr>
        <w:jc w:val="both"/>
        <w:ind w:left="1020" w:right="20" w:hanging="864"/>
        <w:spacing w:after="0" w:line="200" w:lineRule="auto"/>
        <w:tabs>
          <w:tab w:leader="none" w:pos="102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1020" w:hanging="427"/>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-816610</wp:posOffset>
            </wp:positionV>
            <wp:extent cx="17145"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CM Life Sciences, Inc. (the “Company”) has determined that it is unable, without unreasonable effort or expense, to file its Quarterly Report on Form 10-Q for the fiscal quarter ended March 31, 2021 (the “Q1 2021 Form 10-Q”) by the prescribed due date for the reasons described below.</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12, 2021, the Staff of the U.S. Securities and Exchange Commission (the “SEC”) issued the “Staff Statement on Accounting and Reporting Considerations for Warrants Issued by Special Purpose Acquisition Companies (“SPACs”)” (the “SEC Statement”), which clarified guidance for all SPACs regarding the accounting and reporting for their warrants. Following review of the SEC Statement, the Company reevaluated the accounting treatment of its public warrants and private placement warrants (collectively, the “Warrants”) as equity, and concluded that, based on the SEC Statement, the Warrants should be, and should previously have been, classified as a liability measured at fair value, with non-cash fair value adjustments recorded in earnings at each reporting period.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determining the extent of the SEC Statement’s impact on its financial statements, including the financial statements as of and for the fiscal quarter ended March 31, 2021 included in the Q1 2021 Form 10-Q (the “Q1 2021 Financials”).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working diligently to complete the Q1 2021 Form 10-Q as soon as possible; however, given the scope of the process for determining the appropriate treatment of the Warrants in accordance with the SEC Statement, the Company is unable to complete and file the Q1 2021 Form 10-Q by the required due date of May 17, 2021 without unreasonable effort and expense. The Company expect to file such report as soon as practicable.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PART IV – OTHER INFORMATION</w:t>
            </w:r>
          </w:p>
        </w:tc>
        <w:tc>
          <w:tcPr>
            <w:tcW w:w="3600" w:type="dxa"/>
            <w:vAlign w:val="bottom"/>
          </w:tcPr>
          <w:p>
            <w:pPr>
              <w:spacing w:after="0"/>
              <w:rPr>
                <w:sz w:val="20"/>
                <w:szCs w:val="20"/>
                <w:color w:val="auto"/>
              </w:rPr>
            </w:pPr>
          </w:p>
        </w:tc>
      </w:tr>
      <w:tr>
        <w:trPr>
          <w:trHeight w:val="432"/>
        </w:trPr>
        <w:tc>
          <w:tcPr>
            <w:tcW w:w="7640" w:type="dxa"/>
            <w:vAlign w:val="bottom"/>
            <w:gridSpan w:val="4"/>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3600" w:type="dxa"/>
            <w:vAlign w:val="bottom"/>
          </w:tcPr>
          <w:p>
            <w:pPr>
              <w:spacing w:after="0"/>
              <w:rPr>
                <w:sz w:val="24"/>
                <w:szCs w:val="24"/>
                <w:color w:val="auto"/>
              </w:rPr>
            </w:pPr>
          </w:p>
        </w:tc>
      </w:tr>
      <w:tr>
        <w:trPr>
          <w:trHeight w:val="453"/>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Brian Emes</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(212)</w:t>
            </w:r>
          </w:p>
        </w:tc>
        <w:tc>
          <w:tcPr>
            <w:tcW w:w="200" w:type="dxa"/>
            <w:vAlign w:val="bottom"/>
          </w:tcPr>
          <w:p>
            <w:pPr>
              <w:spacing w:after="0"/>
              <w:rPr>
                <w:sz w:val="24"/>
                <w:szCs w:val="24"/>
                <w:color w:val="auto"/>
              </w:rPr>
            </w:pPr>
          </w:p>
        </w:tc>
        <w:tc>
          <w:tcPr>
            <w:tcW w:w="3600" w:type="dxa"/>
            <w:vAlign w:val="bottom"/>
          </w:tcPr>
          <w:p>
            <w:pPr>
              <w:jc w:val="right"/>
              <w:ind w:right="1370"/>
              <w:spacing w:after="0"/>
              <w:rPr>
                <w:sz w:val="20"/>
                <w:szCs w:val="20"/>
                <w:color w:val="auto"/>
              </w:rPr>
            </w:pPr>
            <w:r>
              <w:rPr>
                <w:rFonts w:ascii="Arial" w:cs="Arial" w:eastAsia="Arial" w:hAnsi="Arial"/>
                <w:sz w:val="18"/>
                <w:szCs w:val="18"/>
                <w:color w:val="auto"/>
              </w:rPr>
              <w:t>474-6724</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340" w:hanging="332"/>
        <w:spacing w:after="0" w:line="227" w:lineRule="exact"/>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rFonts w:ascii="Arial" w:cs="Arial" w:eastAsia="Arial" w:hAnsi="Arial"/>
          <w:sz w:val="18"/>
          <w:szCs w:val="18"/>
          <w:color w:val="auto"/>
        </w:rPr>
      </w:pPr>
    </w:p>
    <w:p>
      <w:pPr>
        <w:ind w:left="340" w:hanging="332"/>
        <w:spacing w:after="0" w:line="233" w:lineRule="exact"/>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statements made herein are “forward-looking statements” within the meaning of the “safe harbor” provisions of the Private Securities Litigation Reform Act of 1995. Forward-looking statements may be identified by the use of words and phrases such as “will”, “may”, “should”, “future”, “promptly”, “expect”, “estimate”, “anticipate,” “intends”, “plans”, “subject to”, and “change” and other similar expressions that predict or indicate future events or trends or that are not statements of historical fact. Such statements may include, but are not limited to, statements regarding the Company’s intent to restate certain historical financial statements and the timing of the restatement and the Company’s statements regarding its anticipated results of operations for the quarterly period ended March 31, 2021. These statements are based on current expectations on the date hereof and involve a number of risks and uncertainties that may cause actual results to differ significantly. These forward-looking statements are not guarantees of future performance, conditions or results, and involve a number of known and unknown risks, uncertainties, assumptions and other important factors, including without limitation the completion of the Company’s quarterly review procedures, many of which are outside the Company’s control, that could cause actual results or outcomes to differ materially from those discussed in the forward-looking statements. The Company does not assume any obligation to update or revise any such forward-looking statements, whether as the result of new developments or otherwise.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ind w:right="-1100"/>
        <w:spacing w:after="0"/>
        <w:rPr>
          <w:sz w:val="20"/>
          <w:szCs w:val="20"/>
          <w:color w:val="auto"/>
        </w:rPr>
      </w:pPr>
      <w:r>
        <w:rPr>
          <w:rFonts w:ascii="Arial" w:cs="Arial" w:eastAsia="Arial" w:hAnsi="Arial"/>
          <w:sz w:val="18"/>
          <w:szCs w:val="18"/>
          <w:u w:val="single" w:color="auto"/>
          <w:color w:val="auto"/>
        </w:rPr>
        <w:t>CM Life Sciences,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Chief Financial Officer and Secretary</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2021-05-18T12:29:42Z</dcterms:created>
  <dcterms:modified xsi:type="dcterms:W3CDTF">2021-05-18T12:29:42Z</dcterms:modified>
</cp:coreProperties>
</file>