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1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9"/>
                <w:szCs w:val="19"/>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03/01/2025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7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03/01/2025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3"/>
                <w:szCs w:val="13"/>
                <w:color w:val="0000FF"/>
                <w:w w:val="86"/>
              </w:rPr>
              <w:t>M</w:t>
            </w:r>
          </w:p>
        </w:tc>
        <w:tc>
          <w:tcPr>
            <w:tcW w:w="6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717</w:t>
            </w:r>
          </w:p>
        </w:tc>
        <w:tc>
          <w:tcPr>
            <w:tcW w:w="700" w:type="dxa"/>
            <w:vAlign w:val="bottom"/>
            <w:tcBorders>
              <w:bottom w:val="single" w:sz="8" w:color="2C2C2C"/>
            </w:tcBorders>
          </w:tcPr>
          <w:p>
            <w:pPr>
              <w:jc w:val="right"/>
              <w:ind w:right="11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81"/>
              <w:spacing w:after="0"/>
              <w:rPr>
                <w:sz w:val="20"/>
                <w:szCs w:val="20"/>
                <w:color w:val="auto"/>
              </w:rPr>
            </w:pPr>
            <w:r>
              <w:rPr>
                <w:rFonts w:ascii="Times New Roman" w:cs="Times New Roman" w:eastAsia="Times New Roman" w:hAnsi="Times New Roman"/>
                <w:sz w:val="17"/>
                <w:szCs w:val="17"/>
                <w:color w:val="0000FF"/>
              </w:rPr>
              <w:t>4,167</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03/03/2025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6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261</w:t>
            </w:r>
          </w:p>
        </w:tc>
        <w:tc>
          <w:tcPr>
            <w:tcW w:w="700" w:type="dxa"/>
            <w:vAlign w:val="bottom"/>
            <w:tcBorders>
              <w:bottom w:val="single" w:sz="8" w:color="2C2C2C"/>
            </w:tcBorders>
          </w:tcPr>
          <w:p>
            <w:pPr>
              <w:jc w:val="right"/>
              <w:ind w:right="116"/>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103.94</w:t>
            </w:r>
          </w:p>
        </w:tc>
        <w:tc>
          <w:tcPr>
            <w:tcW w:w="1180" w:type="dxa"/>
            <w:vAlign w:val="bottom"/>
            <w:tcBorders>
              <w:bottom w:val="single" w:sz="8" w:color="2C2C2C"/>
            </w:tcBorders>
            <w:gridSpan w:val="2"/>
          </w:tcPr>
          <w:p>
            <w:pPr>
              <w:jc w:val="right"/>
              <w:ind w:right="361"/>
              <w:spacing w:after="0"/>
              <w:rPr>
                <w:sz w:val="20"/>
                <w:szCs w:val="20"/>
                <w:color w:val="auto"/>
              </w:rPr>
            </w:pPr>
            <w:r>
              <w:rPr>
                <w:rFonts w:ascii="Times New Roman" w:cs="Times New Roman" w:eastAsia="Times New Roman" w:hAnsi="Times New Roman"/>
                <w:sz w:val="17"/>
                <w:szCs w:val="17"/>
                <w:color w:val="0000FF"/>
              </w:rPr>
              <w:t>3,906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1"/>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717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03/01/2025</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717</w:t>
            </w: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4,034</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acquisition of 500 shares acquired under the Company's Employee Stock Purchase Plan on October 31, 2024.</w:t>
      </w:r>
    </w:p>
    <w:p>
      <w:pPr>
        <w:spacing w:after="0" w:line="45" w:lineRule="exact"/>
        <w:rPr>
          <w:rFonts w:ascii="Times New Roman" w:cs="Times New Roman" w:eastAsia="Times New Roman" w:hAnsi="Times New Roman"/>
          <w:sz w:val="13"/>
          <w:szCs w:val="13"/>
          <w:color w:val="008000"/>
        </w:rPr>
      </w:pPr>
    </w:p>
    <w:p>
      <w:pPr>
        <w:ind w:left="40" w:right="4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December 1, 2022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2025-03-04T16:02:06Z</dcterms:created>
  <dcterms:modified xsi:type="dcterms:W3CDTF">2025-03-04T16:02:06Z</dcterms:modified>
</cp:coreProperties>
</file>