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871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7108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0"/>
                <w:szCs w:val="20"/>
                <w:color w:val="0000EE"/>
                <w:w w:val="93"/>
              </w:rPr>
            </w:pPr>
            <w:hyperlink r:id="rId12">
              <w:r>
                <w:rPr>
                  <w:rFonts w:ascii="Arial" w:cs="Arial" w:eastAsia="Arial" w:hAnsi="Arial"/>
                  <w:sz w:val="20"/>
                  <w:szCs w:val="20"/>
                  <w:color w:val="0000EE"/>
                  <w:w w:val="93"/>
                </w:rPr>
                <w:t>Saad Kareem</w:t>
              </w:r>
            </w:hyperlink>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22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0000FF"/>
              </w:rPr>
              <w:t>10/01/2021</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25"/>
        <w:spacing w:after="0"/>
        <w:rPr>
          <w:sz w:val="20"/>
          <w:szCs w:val="20"/>
          <w:color w:val="auto"/>
        </w:rPr>
      </w:pPr>
      <w:r>
        <w:rPr>
          <w:rFonts w:ascii="Arial" w:cs="Arial" w:eastAsia="Arial" w:hAnsi="Arial"/>
          <w:sz w:val="17"/>
          <w:szCs w:val="17"/>
          <w:color w:val="0000FF"/>
        </w:rPr>
        <w:t>Chief Business Officer</w:t>
      </w:r>
    </w:p>
    <w:p>
      <w:pPr>
        <w:spacing w:after="0" w:line="382"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192,152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7.62</w:t>
            </w:r>
          </w:p>
        </w:tc>
        <w:tc>
          <w:tcPr>
            <w:tcW w:w="140" w:type="dxa"/>
            <w:vAlign w:val="bottom"/>
          </w:tcPr>
          <w:p>
            <w:pPr>
              <w:spacing w:after="0"/>
              <w:rPr>
                <w:sz w:val="12"/>
                <w:szCs w:val="12"/>
                <w:color w:val="auto"/>
              </w:rPr>
            </w:pPr>
          </w:p>
        </w:tc>
        <w:tc>
          <w:tcPr>
            <w:tcW w:w="1060" w:type="dxa"/>
            <w:vAlign w:val="bottom"/>
          </w:tcPr>
          <w:p>
            <w:pPr>
              <w:jc w:val="right"/>
              <w:ind w:right="176"/>
              <w:spacing w:after="0" w:line="140" w:lineRule="exact"/>
              <w:rPr>
                <w:sz w:val="20"/>
                <w:szCs w:val="20"/>
                <w:color w:val="auto"/>
              </w:rPr>
            </w:pPr>
            <w:r>
              <w:rPr>
                <w:rFonts w:ascii="Arial" w:cs="Arial" w:eastAsia="Arial" w:hAnsi="Arial"/>
                <w:sz w:val="13"/>
                <w:szCs w:val="13"/>
                <w:color w:val="0000FF"/>
              </w:rPr>
              <w:t>10/01/2021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0" w:lineRule="exact"/>
              <w:rPr>
                <w:sz w:val="20"/>
                <w:szCs w:val="20"/>
                <w:color w:val="auto"/>
              </w:rPr>
            </w:pPr>
            <w:r>
              <w:rPr>
                <w:rFonts w:ascii="Arial" w:cs="Arial" w:eastAsia="Arial" w:hAnsi="Arial"/>
                <w:sz w:val="13"/>
                <w:szCs w:val="13"/>
                <w:color w:val="0000FF"/>
              </w:rPr>
              <w:t>192,152</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right"/>
              <w:ind w:right="22"/>
              <w:spacing w:after="0" w:line="140" w:lineRule="exact"/>
              <w:rPr>
                <w:sz w:val="20"/>
                <w:szCs w:val="20"/>
                <w:color w:val="auto"/>
              </w:rPr>
            </w:pPr>
            <w:r>
              <w:rPr>
                <w:rFonts w:ascii="Arial" w:cs="Arial" w:eastAsia="Arial" w:hAnsi="Arial"/>
                <w:sz w:val="13"/>
                <w:szCs w:val="13"/>
                <w:color w:val="0000FF"/>
                <w:w w:val="92"/>
              </w:rPr>
              <w:t>09/30/2031</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192,152</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288,228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Arial" w:cs="Arial" w:eastAsia="Arial" w:hAnsi="Arial"/>
                <w:sz w:val="13"/>
                <w:szCs w:val="13"/>
                <w:color w:val="0000FF"/>
              </w:rPr>
              <w:t>10/01/2021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00"/>
              <w:spacing w:after="0" w:line="140" w:lineRule="exact"/>
              <w:rPr>
                <w:sz w:val="20"/>
                <w:szCs w:val="20"/>
                <w:color w:val="auto"/>
              </w:rPr>
            </w:pPr>
            <w:r>
              <w:rPr>
                <w:rFonts w:ascii="Arial" w:cs="Arial" w:eastAsia="Arial" w:hAnsi="Arial"/>
                <w:sz w:val="13"/>
                <w:szCs w:val="13"/>
                <w:color w:val="0000FF"/>
              </w:rPr>
              <w:t>288,228</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288,228</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-2265680</wp:posOffset>
            </wp:positionV>
            <wp:extent cx="28575" cy="2270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2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3/16th of the total shares vest on October 25, 2021, 1/16th of the total shares vest on January 19, 2022, and thereafter vests as to 1/16th of the total shares underlying the award in quarterly installments until fully vested on January 19, 2025, subject to the Reporting Person's continued service to the Issuer on each vesting date.</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10/05/2021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66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2021-10-05T20:56:24Z</dcterms:created>
  <dcterms:modified xsi:type="dcterms:W3CDTF">2021-10-05T20:56:24Z</dcterms:modified>
</cp:coreProperties>
</file>