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3661</w:t>
      </w:r>
      <w:r>
        <w:rPr>
          <w:sz w:val="20"/>
          <w:szCs w:val="20"/>
          <w:color w:val="auto"/>
        </w:rPr>
        <w:tab/>
      </w:r>
      <w:r>
        <w:rPr>
          <w:rFonts w:ascii="Times New Roman" w:cs="Times New Roman" w:eastAsia="Times New Roman" w:hAnsi="Times New Roman"/>
          <w:sz w:val="21"/>
          <w:szCs w:val="21"/>
          <w:color w:val="auto"/>
        </w:rPr>
        <w:t>279597.61</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27973506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3661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11/18/2024 22307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1569090.9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11/17/2024 23108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1628593.42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143456.4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09/16/2024 10501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394732.59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09/09/2024 3639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121287.87</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3,661 shares to be sold on behalf of the Reporting Person to cover tax withholding obligations in connection with the vesting of restricted stock units, and shares sold in the past 3 months by the Reporting Person, including: 1) 16,294 shares sold to cover tax withholding obligations in connection with the vesting and settlement of RSUs to satisfy tax withholding obligations to be funded by a sell to cover transaction; and 2) 45,415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12/09/2024</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Katherine Stueland</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2024-12-09T19:15:31Z</dcterms:created>
  <dcterms:modified xsi:type="dcterms:W3CDTF">2024-12-09T19:15:31Z</dcterms:modified>
</cp:coreProperties>
</file>