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18978W208**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4"/>
          <w:szCs w:val="24"/>
          <w:color w:val="auto"/>
        </w:rPr>
      </w:pP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4"/>
          <w:szCs w:val="24"/>
          <w:color w:val="auto"/>
        </w:rPr>
      </w:pPr>
      <w:r>
        <w:rPr>
          <w:rFonts w:ascii="Times New Roman" w:cs="Times New Roman" w:eastAsia="Times New Roman" w:hAnsi="Times New Roman"/>
          <w:sz w:val="18"/>
          <w:szCs w:val="18"/>
          <w:color w:val="auto"/>
        </w:rPr>
        <w:t>Rule 13d-1(d)</w:t>
      </w:r>
    </w:p>
    <w:p>
      <w:pPr>
        <w:spacing w:after="0" w:line="184" w:lineRule="exact"/>
        <w:rPr>
          <w:sz w:val="24"/>
          <w:szCs w:val="24"/>
          <w:color w:val="auto"/>
        </w:rPr>
      </w:pPr>
    </w:p>
    <w:p>
      <w:pPr>
        <w:spacing w:after="0" w:line="275"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(See Item 2(e))</w:t>
      </w:r>
    </w:p>
    <w:p>
      <w:pPr>
        <w:sectPr>
          <w:pgSz w:w="11900" w:h="16838" w:orient="portrait"/>
          <w:cols w:equalWidth="0" w:num="1">
            <w:col w:w="11220"/>
          </w:cols>
          <w:pgMar w:left="320" w:top="23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125730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-132080</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-129540</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880" w:space="720"/>
            <w:col w:w="3800" w:space="520"/>
            <w:col w:w="100" w:space="500"/>
            <w:col w:w="16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85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1,990,000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8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1,990,000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1,990,000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4.5%</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642,318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1.5%</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w:t>
      </w:r>
    </w:p>
    <w:p>
      <w:pPr>
        <w:sectPr>
          <w:pgSz w:w="11900" w:h="16838" w:orient="portrait"/>
          <w:cols w:equalWidth="0" w:num="1">
            <w:col w:w="11240"/>
          </w:cols>
          <w:pgMar w:left="320" w:top="55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642,318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1.5%</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PN</w:t>
      </w:r>
    </w:p>
    <w:p>
      <w:pPr>
        <w:sectPr>
          <w:pgSz w:w="11900" w:h="16838" w:orient="portrait"/>
          <w:cols w:equalWidth="0" w:num="1">
            <w:col w:w="11240"/>
          </w:cols>
          <w:pgMar w:left="320" w:top="55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2,632,318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2,632,318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2,632,318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5.9%</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2,632,318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2,632,318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2,632,318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5.9%</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2,632,318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2,632,318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2,632,318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5.9%</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5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18978W208</w:t>
            </w:r>
          </w:p>
        </w:tc>
        <w:tc>
          <w:tcPr>
            <w:tcW w:w="35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w w:val="95"/>
              </w:rPr>
              <w:t>SCHEDULE 13G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720" w:hanging="213"/>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 Life Sciences, Inc., a Delaware corporation (the "Issuer").</w:t>
      </w:r>
    </w:p>
    <w:p>
      <w:pPr>
        <w:spacing w:after="0" w:line="228"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 Corvex Management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New York 10065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Name of Person Filing</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720" w:right="4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666 Fifth Avenue</w:t>
      </w: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Opportunities, Ltd.</w:t>
      </w:r>
    </w:p>
    <w:p>
      <w:pPr>
        <w:spacing w:after="0" w:line="21" w:lineRule="exact"/>
        <w:rPr>
          <w:rFonts w:ascii="Times New Roman" w:cs="Times New Roman" w:eastAsia="Times New Roman" w:hAnsi="Times New Roman"/>
          <w:sz w:val="18"/>
          <w:szCs w:val="18"/>
          <w:color w:val="auto"/>
        </w:rPr>
      </w:pPr>
    </w:p>
    <w:p>
      <w:pPr>
        <w:ind w:left="720" w:right="3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International Management LP 666 Fifth Avenue</w:t>
      </w:r>
    </w:p>
    <w:p>
      <w:pPr>
        <w:jc w:val="both"/>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Cayman Islands</w:t>
      </w:r>
    </w:p>
    <w:p>
      <w:pPr>
        <w:spacing w:after="0" w:line="140" w:lineRule="exact"/>
        <w:rPr>
          <w:rFonts w:ascii="Times New Roman" w:cs="Times New Roman" w:eastAsia="Times New Roman" w:hAnsi="Times New Roman"/>
          <w:sz w:val="18"/>
          <w:szCs w:val="18"/>
          <w:color w:val="auto"/>
        </w:rPr>
      </w:pPr>
    </w:p>
    <w:p>
      <w:pPr>
        <w:ind w:left="720" w:right="41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International Management LP 666 Fifth Avenue</w:t>
      </w:r>
    </w:p>
    <w:p>
      <w:pPr>
        <w:spacing w:after="0" w:line="1" w:lineRule="exact"/>
        <w:rPr>
          <w:rFonts w:ascii="Times New Roman" w:cs="Times New Roman" w:eastAsia="Times New Roman" w:hAnsi="Times New Roman"/>
          <w:sz w:val="18"/>
          <w:szCs w:val="18"/>
          <w:color w:val="auto"/>
        </w:rPr>
      </w:pP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right="5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666 Fifth Avenue</w:t>
      </w:r>
    </w:p>
    <w:p>
      <w:pPr>
        <w:spacing w:after="0" w:line="1" w:lineRule="exact"/>
        <w:rPr>
          <w:rFonts w:ascii="Times New Roman" w:cs="Times New Roman" w:eastAsia="Times New Roman" w:hAnsi="Times New Roman"/>
          <w:sz w:val="18"/>
          <w:szCs w:val="18"/>
          <w:color w:val="auto"/>
        </w:rPr>
      </w:pP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right="4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666 Fifth Avenue</w:t>
      </w:r>
    </w:p>
    <w:p>
      <w:pPr>
        <w:spacing w:after="0" w:line="1" w:lineRule="exact"/>
        <w:rPr>
          <w:rFonts w:ascii="Times New Roman" w:cs="Times New Roman" w:eastAsia="Times New Roman" w:hAnsi="Times New Roman"/>
          <w:sz w:val="18"/>
          <w:szCs w:val="18"/>
          <w:color w:val="auto"/>
        </w:rPr>
      </w:pP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720" w:right="47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666 Fifth Avenue</w:t>
      </w: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United States</w:t>
      </w:r>
    </w:p>
    <w:p>
      <w:pPr>
        <w:spacing w:after="0" w:line="140"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Class A common stock, par value $0.0001 per share ("Class A Common Stock")</w:t>
      </w:r>
    </w:p>
    <w:p>
      <w:pPr>
        <w:spacing w:after="0" w:line="275"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Page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-117475</wp:posOffset>
            </wp:positionV>
            <wp:extent cx="552450" cy="158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962" w:lineRule="exact"/>
        <w:rPr>
          <w:sz w:val="20"/>
          <w:szCs w:val="20"/>
          <w:color w:val="auto"/>
        </w:rPr>
      </w:pPr>
    </w:p>
    <w:p>
      <w:pPr>
        <w:sectPr>
          <w:pgSz w:w="11900" w:h="16838" w:orient="portrait"/>
          <w:cols w:equalWidth="0" w:num="5">
            <w:col w:w="7880" w:space="720"/>
            <w:col w:w="340" w:space="520"/>
            <w:col w:w="80" w:space="500"/>
            <w:col w:w="140" w:space="520"/>
            <w:col w:w="320"/>
          </w:cols>
          <w:pgMar w:left="320" w:top="332" w:right="559" w:bottom="1440" w:gutter="0" w:footer="0" w:header="0"/>
        </w:sectPr>
      </w:pPr>
    </w:p>
    <w:p>
      <w:pPr>
        <w:spacing w:after="0" w:line="25" w:lineRule="exact"/>
        <w:rPr>
          <w:sz w:val="20"/>
          <w:szCs w:val="20"/>
          <w:color w:val="auto"/>
        </w:rPr>
      </w:pPr>
    </w:p>
    <w:p>
      <w:pPr>
        <w:ind w:left="720"/>
        <w:spacing w:after="0" w:line="275" w:lineRule="auto"/>
        <w:rPr>
          <w:sz w:val="20"/>
          <w:szCs w:val="20"/>
          <w:color w:val="auto"/>
        </w:rPr>
      </w:pPr>
      <w:r>
        <w:rPr>
          <w:rFonts w:ascii="Times New Roman" w:cs="Times New Roman" w:eastAsia="Times New Roman" w:hAnsi="Times New Roman"/>
          <w:sz w:val="18"/>
          <w:szCs w:val="18"/>
          <w:color w:val="auto"/>
        </w:rPr>
        <w:t>As of the date of this Schedule 13G, a CUSIP number for the Issuer’s Class A Common Stock is not available. The CUSIP number for the Issuer’s units is 18978W208.</w:t>
      </w:r>
    </w:p>
    <w:p>
      <w:pPr>
        <w:sectPr>
          <w:pgSz w:w="11900" w:h="16838" w:orient="portrait"/>
          <w:cols w:equalWidth="0" w:num="1">
            <w:col w:w="11020"/>
          </w:cols>
          <w:pgMar w:left="320" w:top="332" w:right="5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18978W208</w:t>
            </w:r>
          </w:p>
        </w:tc>
        <w:tc>
          <w:tcPr>
            <w:tcW w:w="51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564"/>
        </w:trPr>
        <w:tc>
          <w:tcPr>
            <w:tcW w:w="7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3. If this statement is filed pursuant to Rule 13d-1(b), or 13d-2(b), check whether the person filing is a:</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0"/>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4"/>
                <w:szCs w:val="24"/>
                <w:color w:val="auto"/>
              </w:rPr>
            </w:pPr>
          </w:p>
        </w:tc>
        <w:tc>
          <w:tcPr>
            <w:tcW w:w="7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7"/>
              </w:rPr>
              <w:t>Investment company registered under section 8 of the Investment Company Act of 1940 (15 U.S.C. 80a-8);</w:t>
            </w: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c>
          <w:tcPr>
            <w:tcW w:w="800" w:type="dxa"/>
            <w:vAlign w:val="bottom"/>
          </w:tcPr>
          <w:p>
            <w:pPr>
              <w:spacing w:after="0"/>
              <w:rPr>
                <w:sz w:val="24"/>
                <w:szCs w:val="24"/>
                <w:color w:val="auto"/>
              </w:rPr>
            </w:pPr>
          </w:p>
        </w:tc>
      </w:tr>
    </w:tbl>
    <w:p>
      <w:pPr>
        <w:spacing w:after="0" w:line="204" w:lineRule="exact"/>
        <w:rPr>
          <w:sz w:val="20"/>
          <w:szCs w:val="20"/>
          <w:color w:val="auto"/>
        </w:rPr>
      </w:pPr>
    </w:p>
    <w:p>
      <w:pPr>
        <w:ind w:left="920" w:hanging="453"/>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-132080</wp:posOffset>
            </wp:positionV>
            <wp:extent cx="570230"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23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-129540</wp:posOffset>
            </wp:positionV>
            <wp:extent cx="578485" cy="158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ectPr>
          <w:pgSz w:w="11900" w:h="16838" w:orient="portrait"/>
          <w:cols w:equalWidth="0" w:num="4">
            <w:col w:w="8900" w:space="520"/>
            <w:col w:w="100" w:space="500"/>
            <w:col w:w="160" w:space="520"/>
            <w:col w:w="180"/>
          </w:cols>
          <w:pgMar w:left="320" w:top="548" w:right="6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18978W208</w:t>
            </w:r>
          </w:p>
        </w:tc>
        <w:tc>
          <w:tcPr>
            <w:tcW w:w="51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427"/>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c>
          <w:tcPr>
            <w:tcW w:w="84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w:t>
            </w:r>
          </w:p>
        </w:tc>
        <w:tc>
          <w:tcPr>
            <w:tcW w:w="30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9" w:lineRule="exact"/>
        <w:rPr>
          <w:sz w:val="20"/>
          <w:szCs w:val="20"/>
          <w:color w:val="auto"/>
        </w:rPr>
      </w:pPr>
    </w:p>
    <w:p>
      <w:pPr>
        <w:sectPr>
          <w:pgSz w:w="11900" w:h="16838" w:orient="portrait"/>
          <w:cols w:equalWidth="0" w:num="4">
            <w:col w:w="8940" w:space="460"/>
            <w:col w:w="180" w:space="460"/>
            <w:col w:w="140" w:space="520"/>
            <w:col w:w="540"/>
          </w:cols>
          <w:pgMar w:left="320" w:top="332" w:right="339" w:bottom="1440" w:gutter="0" w:footer="0" w:header="0"/>
        </w:sectPr>
      </w:pPr>
    </w:p>
    <w:p>
      <w:pPr>
        <w:spacing w:after="0" w:line="4"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p>
    <w:p>
      <w:pPr>
        <w:spacing w:after="0" w:line="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1940 (15 U.S.C. 80a-3);</w:t>
      </w:r>
    </w:p>
    <w:p>
      <w:pPr>
        <w:spacing w:after="0" w:line="20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Group, in accordance with §240.13d-1(b)(1)(ii)(J).</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Amount Beneficially Owned:</w:t>
      </w:r>
    </w:p>
    <w:p>
      <w:pPr>
        <w:spacing w:after="0" w:line="185" w:lineRule="exact"/>
        <w:rPr>
          <w:sz w:val="20"/>
          <w:szCs w:val="20"/>
          <w:color w:val="auto"/>
        </w:rPr>
      </w:pPr>
    </w:p>
    <w:p>
      <w:pPr>
        <w:jc w:val="both"/>
        <w:ind w:firstLine="123"/>
        <w:spacing w:after="0" w:line="256" w:lineRule="auto"/>
        <w:rPr>
          <w:sz w:val="20"/>
          <w:szCs w:val="20"/>
          <w:color w:val="auto"/>
        </w:rPr>
      </w:pPr>
      <w:r>
        <w:rPr>
          <w:rFonts w:ascii="Times New Roman" w:cs="Times New Roman" w:eastAsia="Times New Roman" w:hAnsi="Times New Roman"/>
          <w:sz w:val="18"/>
          <w:szCs w:val="18"/>
          <w:color w:val="auto"/>
        </w:rPr>
        <w:t>As of the close of business on September 4, 2020, the reporting persons beneficially owned an aggregate of 2,632,318 shares of the Issuer’s Class A Common Stock as a result of holding 2,632,318 of the Issuer’s units. Each unit consists of one share of the Issuer’s Class A Common Stock and one-third of one warrant. Each whole warrant entitles the holder to purchase one share of the Issuer’s Class A Common Stock. The Issuer’s warrants will become exercisable on the later of 30 days after the completion of the Issuer’s initial business combination and 12 months from the closing of the Issuer’s initial public offering. Specifically, as of the close of business on September 4, 2020:</w:t>
      </w:r>
    </w:p>
    <w:p>
      <w:pPr>
        <w:spacing w:after="0" w:line="152" w:lineRule="exact"/>
        <w:rPr>
          <w:sz w:val="20"/>
          <w:szCs w:val="20"/>
          <w:color w:val="auto"/>
        </w:rPr>
      </w:pPr>
    </w:p>
    <w:p>
      <w:pPr>
        <w:ind w:right="20" w:firstLine="196"/>
        <w:spacing w:after="0" w:line="275" w:lineRule="auto"/>
        <w:tabs>
          <w:tab w:leader="none" w:pos="3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a Delaware limited liability company ("Integrated Core Strategies"), beneficially owned 1,990,000 shares of the Issuer’s Class A Common Stock as a result of holding 1,990,000 of the Issuer’s units; and</w:t>
      </w:r>
    </w:p>
    <w:p>
      <w:pPr>
        <w:spacing w:after="0" w:line="133" w:lineRule="exact"/>
        <w:rPr>
          <w:rFonts w:ascii="Times New Roman" w:cs="Times New Roman" w:eastAsia="Times New Roman" w:hAnsi="Times New Roman"/>
          <w:sz w:val="18"/>
          <w:szCs w:val="18"/>
          <w:color w:val="auto"/>
        </w:rPr>
      </w:pPr>
    </w:p>
    <w:p>
      <w:pPr>
        <w:jc w:val="both"/>
        <w:ind w:firstLine="145"/>
        <w:spacing w:after="0" w:line="258" w:lineRule="auto"/>
        <w:tabs>
          <w:tab w:leader="none" w:pos="3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Opportunities, Ltd., an exempted company organized under the laws of the Cayman Islands ("ICS Opportunities"), beneficially owned 642,318 shares of the Issuer’s Class A Common Stock as a result of holding 642,318 of the Issuer’s units, which together with the shares of the Issuer’s Class A Common Stock beneficially owned by Integrated Core Strategies represented 2,632,318 shares of the Issuer’s Class A Common Stock or 5.9% of the Issuer’s Class A Common Stock outstanding.</w:t>
      </w:r>
    </w:p>
    <w:p>
      <w:pPr>
        <w:spacing w:after="0" w:line="149" w:lineRule="exact"/>
        <w:rPr>
          <w:sz w:val="20"/>
          <w:szCs w:val="20"/>
          <w:color w:val="auto"/>
        </w:rPr>
      </w:pPr>
    </w:p>
    <w:p>
      <w:pPr>
        <w:jc w:val="both"/>
        <w:ind w:right="20" w:firstLine="198"/>
        <w:spacing w:after="0" w:line="275" w:lineRule="auto"/>
        <w:rPr>
          <w:sz w:val="20"/>
          <w:szCs w:val="20"/>
          <w:color w:val="auto"/>
        </w:rPr>
      </w:pPr>
      <w:r>
        <w:rPr>
          <w:rFonts w:ascii="Times New Roman" w:cs="Times New Roman" w:eastAsia="Times New Roman" w:hAnsi="Times New Roman"/>
          <w:sz w:val="18"/>
          <w:szCs w:val="18"/>
          <w:color w:val="auto"/>
        </w:rPr>
        <w:t>Millennium International Management LP, a Delaware limited partnership ("Millennium International Management"), is the investment manager to ICS Opportunities and may be deemed to have shared voting control and investment discretion over securities owned by ICS Opportunities.</w:t>
      </w:r>
    </w:p>
    <w:p>
      <w:pPr>
        <w:spacing w:after="0" w:line="133"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w:t>
      </w:r>
    </w:p>
    <w:p>
      <w:pPr>
        <w:spacing w:after="0" w:line="149" w:lineRule="exact"/>
        <w:rPr>
          <w:sz w:val="20"/>
          <w:szCs w:val="20"/>
          <w:color w:val="auto"/>
        </w:rPr>
      </w:pPr>
    </w:p>
    <w:p>
      <w:pPr>
        <w:jc w:val="both"/>
        <w:ind w:firstLine="172"/>
        <w:spacing w:after="0" w:line="258" w:lineRule="auto"/>
        <w:rPr>
          <w:sz w:val="20"/>
          <w:szCs w:val="20"/>
          <w:color w:val="auto"/>
        </w:rPr>
      </w:pPr>
      <w:r>
        <w:rPr>
          <w:rFonts w:ascii="Times New Roman" w:cs="Times New Roman" w:eastAsia="Times New Roman" w:hAnsi="Times New Roman"/>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w:t>
      </w:r>
    </w:p>
    <w:p>
      <w:pPr>
        <w:spacing w:after="0" w:line="149" w:lineRule="exact"/>
        <w:rPr>
          <w:sz w:val="20"/>
          <w:szCs w:val="20"/>
          <w:color w:val="auto"/>
        </w:rPr>
      </w:pPr>
    </w:p>
    <w:p>
      <w:pPr>
        <w:jc w:val="both"/>
        <w:ind w:firstLine="137"/>
        <w:spacing w:after="0" w:line="262" w:lineRule="auto"/>
        <w:rPr>
          <w:sz w:val="20"/>
          <w:szCs w:val="20"/>
          <w:color w:val="auto"/>
        </w:rPr>
      </w:pPr>
      <w:r>
        <w:rPr>
          <w:rFonts w:ascii="Times New Roman" w:cs="Times New Roman" w:eastAsia="Times New Roman" w:hAnsi="Times New Roman"/>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ICS Opportunities.</w:t>
      </w:r>
    </w:p>
    <w:p>
      <w:pPr>
        <w:spacing w:after="0" w:line="146"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or ICS Opportunities, as the case may be.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Percent of Class:</w:t>
      </w:r>
    </w:p>
    <w:p>
      <w:pPr>
        <w:spacing w:after="0" w:line="18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As of the close of business on September 4, 2020, Millennium Management, Millennium Group Management and Mr. Englander may be deemed to have beneficially owned 2,632,318 shares of the Issuer’s Class A Common Stock or 5.9% of the Issuer’s Class A Common Stock outstanding (see Item 4(a) above), which percentage was calculated based on 44,275,000 shares of the Issuer’s Class A Common Stock outstanding as of September 4, 2020, as per the information reported in the Issuer’s Form 8-K dated September 4, 2020.</w:t>
      </w:r>
    </w:p>
    <w:p>
      <w:pPr>
        <w:sectPr>
          <w:pgSz w:w="11900" w:h="16838" w:orient="portrait"/>
          <w:cols w:equalWidth="0" w:num="1">
            <w:col w:w="11240"/>
          </w:cols>
          <w:pgMar w:left="320" w:top="33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1" w:right="339" w:bottom="1440" w:gutter="0" w:footer="0" w:header="0"/>
        </w:sectPr>
      </w:pPr>
    </w:p>
    <w:p>
      <w:pPr>
        <w:ind w:left="300" w:hanging="248"/>
        <w:spacing w:after="0"/>
        <w:tabs>
          <w:tab w:leader="none" w:pos="300"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67" w:lineRule="exact"/>
        <w:rPr>
          <w:rFonts w:ascii="Times New Roman" w:cs="Times New Roman" w:eastAsia="Times New Roman" w:hAnsi="Times New Roman"/>
          <w:sz w:val="18"/>
          <w:szCs w:val="18"/>
          <w:u w:val="single" w:color="auto"/>
          <w:color w:val="auto"/>
        </w:rPr>
      </w:pPr>
    </w:p>
    <w:p>
      <w:pPr>
        <w:ind w:left="680" w:right="7740" w:hanging="132"/>
        <w:spacing w:after="0" w:line="453" w:lineRule="auto"/>
        <w:tabs>
          <w:tab w:leader="none" w:pos="7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800" w:hanging="252"/>
        <w:spacing w:after="0"/>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2,632,318 (See Item 4(b))</w:t>
      </w:r>
    </w:p>
    <w:p>
      <w:pPr>
        <w:spacing w:after="0" w:line="185" w:lineRule="exact"/>
        <w:rPr>
          <w:sz w:val="20"/>
          <w:szCs w:val="20"/>
          <w:color w:val="auto"/>
        </w:rPr>
      </w:pPr>
    </w:p>
    <w:p>
      <w:pPr>
        <w:ind w:left="900" w:hanging="308"/>
        <w:spacing w:after="0"/>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84"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184" w:lineRule="exact"/>
        <w:rPr>
          <w:rFonts w:ascii="Times New Roman" w:cs="Times New Roman" w:eastAsia="Times New Roman" w:hAnsi="Times New Roman"/>
          <w:sz w:val="18"/>
          <w:szCs w:val="18"/>
          <w:color w:val="auto"/>
        </w:rPr>
      </w:pPr>
    </w:p>
    <w:p>
      <w:pPr>
        <w:ind w:left="680" w:right="6600" w:hanging="132"/>
        <w:spacing w:after="0" w:line="453" w:lineRule="auto"/>
        <w:tabs>
          <w:tab w:leader="none" w:pos="8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2,632,318 (See Item 4(b))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-132080</wp:posOffset>
            </wp:positionV>
            <wp:extent cx="570230"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6">
            <w:col w:w="800" w:space="700"/>
            <w:col w:w="2880" w:space="720"/>
            <w:col w:w="3820" w:space="480"/>
            <w:col w:w="180" w:space="460"/>
            <w:col w:w="140" w:space="520"/>
            <w:col w:w="540"/>
          </w:cols>
          <w:pgMar w:left="320" w:top="34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Exhibit I: Joint Filing Agreement, dated as of September 4, 2020, by and among Integrated Core Strategies (US) LLC, ICS Opportunities, Ltd., Millennium International Management LP, Millennium Management LLC, Millennium Group Management LLC and Israel A. Englander</w:t>
      </w:r>
    </w:p>
    <w:p>
      <w:pPr>
        <w:sectPr>
          <w:pgSz w:w="11900" w:h="16838" w:orient="portrait"/>
          <w:cols w:equalWidth="0" w:num="1">
            <w:col w:w="11240"/>
          </w:cols>
          <w:pgMar w:left="320" w:top="34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179"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6">
            <w:col w:w="800" w:space="700"/>
            <w:col w:w="2900" w:space="720"/>
            <w:col w:w="3820" w:space="460"/>
            <w:col w:w="180" w:space="460"/>
            <w:col w:w="140" w:space="520"/>
            <w:col w:w="540"/>
          </w:cols>
          <w:pgMar w:left="320" w:top="341" w:right="339" w:bottom="1440" w:gutter="0" w:footer="0" w:header="0"/>
        </w:sectPr>
      </w:pPr>
    </w:p>
    <w:p>
      <w:pPr>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2020</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17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083" w:lineRule="exact"/>
        <w:rPr>
          <w:sz w:val="20"/>
          <w:szCs w:val="20"/>
          <w:color w:val="auto"/>
        </w:rPr>
      </w:pPr>
    </w:p>
    <w:p>
      <w:pPr>
        <w:sectPr>
          <w:pgSz w:w="11900" w:h="16838" w:orient="portrait"/>
          <w:cols w:equalWidth="0" w:num="6">
            <w:col w:w="800" w:space="700"/>
            <w:col w:w="2360" w:space="720"/>
            <w:col w:w="4360" w:space="460"/>
            <w:col w:w="180" w:space="460"/>
            <w:col w:w="140" w:space="520"/>
            <w:col w:w="540"/>
          </w:cols>
          <w:pgMar w:left="320" w:top="341" w:right="339" w:bottom="1440" w:gutter="0" w:footer="0" w:header="0"/>
        </w:sectPr>
      </w:pP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$0.0001 per share, of CM Life Sciences,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2020</w:t>
      </w:r>
    </w:p>
    <w:p>
      <w:pPr>
        <w:spacing w:after="0" w:line="20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
      <w:numFmt w:val="bullet"/>
      <w:start w:val="1"/>
    </w:lvl>
  </w:abstractNum>
  <w:abstractNum w:abstractNumId="3">
    <w:nsid w:val="3352255A"/>
    <w:multiLevelType w:val="hybridMultilevel"/>
    <w:lvl w:ilvl="0">
      <w:lvlJc w:val="left"/>
      <w:lvlText w:val="2"/>
      <w:numFmt w:val="bullet"/>
      <w:start w:val="1"/>
    </w:lvl>
    <w:lvl w:ilvl="1">
      <w:lvlJc w:val="left"/>
      <w:lvlText w:val="(%2)"/>
      <w:numFmt w:val="lowerLetter"/>
      <w:start w:val="2"/>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2"/>
      <w:numFmt w:val="bullet"/>
      <w:start w:val="1"/>
    </w:lvl>
    <w:lvl w:ilvl="1">
      <w:lvlJc w:val="left"/>
      <w:lvlText w:val="(%2)"/>
      <w:numFmt w:val="lowerLetter"/>
      <w:start w:val="2"/>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2"/>
      <w:numFmt w:val="bullet"/>
      <w:start w:val="1"/>
    </w:lvl>
    <w:lvl w:ilvl="1">
      <w:lvlJc w:val="left"/>
      <w:lvlText w:val="(%2)"/>
      <w:numFmt w:val="lowerLetter"/>
      <w:start w:val="2"/>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2"/>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lvl w:ilvl="1">
      <w:lvlJc w:val="left"/>
      <w:lvlText w:val="(%2)"/>
      <w:numFmt w:val="lowerLetter"/>
      <w:start w:val="2"/>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2"/>
      <w:numFmt w:val="bullet"/>
      <w:start w:val="1"/>
    </w:lvl>
    <w:lvl w:ilvl="1">
      <w:lvlJc w:val="left"/>
      <w:lvlText w:val="(%2)"/>
      <w:numFmt w:val="lowerLetter"/>
      <w:start w:val="2"/>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Letter"/>
      <w:start w:val="3"/>
    </w:lvl>
    <w:lvl w:ilvl="1">
      <w:lvlJc w:val="left"/>
      <w:lvlText w:val="(%2)"/>
      <w:numFmt w:val="lowerRoman"/>
      <w:start w:val="1"/>
    </w:lvl>
  </w:abstractNum>
  <w:abstractNum w:abstractNumId="20">
    <w:nsid w:val="333AB105"/>
    <w:multiLevelType w:val="hybridMultilevel"/>
    <w:lvl w:ilvl="0">
      <w:lvlJc w:val="left"/>
      <w:lvlText w:val="%1"/>
      <w:numFmt w:val="lowerRoman"/>
      <w:start w:val="1"/>
    </w:lvl>
    <w:lvl w:ilvl="1">
      <w:lvlJc w:val="left"/>
      <w:lvlText w:val="(%2)"/>
      <w:numFmt w:val="lowerRoman"/>
      <w:start w:val="3"/>
    </w:lvl>
  </w:abstractNum>
  <w:abstractNum w:abstractNumId="21">
    <w:nsid w:val="721DA317"/>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2020-09-08T15:22:22Z</dcterms:created>
  <dcterms:modified xsi:type="dcterms:W3CDTF">2020-09-08T15:22:22Z</dcterms:modified>
</cp:coreProperties>
</file>