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7167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7167245"/>
                    </a:xfrm>
                    <a:prstGeom prst="rect">
                      <a:avLst/>
                    </a:prstGeom>
                    <a:noFill/>
                  </pic:spPr>
                </pic:pic>
              </a:graphicData>
            </a:graphic>
          </wp:anchor>
        </w:drawing>
      </w:r>
    </w:p>
    <w:p>
      <w:pPr>
        <w:spacing w:after="0" w:line="50" w:lineRule="exact"/>
        <w:rPr>
          <w:sz w:val="24"/>
          <w:szCs w:val="24"/>
          <w:color w:val="auto"/>
        </w:rPr>
      </w:pPr>
    </w:p>
    <w:p>
      <w:pPr>
        <w:sectPr>
          <w:pgSz w:w="11900" w:h="16880" w:orient="portrait"/>
          <w:cols w:equalWidth="0" w:num="2">
            <w:col w:w="2200" w:space="260"/>
            <w:col w:w="862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20" w:type="dxa"/>
            <w:vAlign w:val="bottom"/>
            <w:gridSpan w:val="8"/>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Casdin Eli</w:t>
              </w:r>
            </w:hyperlink>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6"/>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GeneDx Holdings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WGS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6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1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2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20" w:type="dxa"/>
            <w:vAlign w:val="bottom"/>
            <w:gridSpan w:val="6"/>
            <w:vMerge w:val="continue"/>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20" w:type="dxa"/>
            <w:vAlign w:val="bottom"/>
          </w:tcPr>
          <w:p>
            <w:pPr>
              <w:ind w:left="50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GENEDX HOLDINGS CORP.</w:t>
            </w:r>
          </w:p>
        </w:tc>
        <w:tc>
          <w:tcPr>
            <w:tcW w:w="15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01/31/2023</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333 LUDLOW ST, NORTH TOWER, 8TH FL.</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20" w:type="dxa"/>
            <w:vAlign w:val="bottom"/>
            <w:gridSpan w:val="8"/>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40" w:type="dxa"/>
            <w:vAlign w:val="bottom"/>
            <w:gridSpan w:val="7"/>
            <w:vMerge w:val="continue"/>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2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20" w:type="dxa"/>
            <w:vAlign w:val="bottom"/>
            <w:gridSpan w:val="7"/>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STAMFORD</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CT</w:t>
            </w:r>
          </w:p>
        </w:tc>
        <w:tc>
          <w:tcPr>
            <w:tcW w:w="84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06902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tcPr>
          <w:p>
            <w:pPr>
              <w:ind w:left="140"/>
              <w:spacing w:after="0" w:line="146"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60" w:type="dxa"/>
            <w:vAlign w:val="bottom"/>
            <w:tcBorders>
              <w:bottom w:val="single" w:sz="8" w:color="2C2C2C"/>
            </w:tcBorders>
            <w:gridSpan w:val="4"/>
          </w:tcPr>
          <w:p>
            <w:pPr>
              <w:spacing w:after="0"/>
              <w:rPr>
                <w:sz w:val="10"/>
                <w:szCs w:val="10"/>
                <w:color w:val="auto"/>
              </w:rPr>
            </w:pPr>
          </w:p>
        </w:tc>
        <w:tc>
          <w:tcPr>
            <w:tcW w:w="168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8"/>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5"/>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40" w:type="dxa"/>
            <w:vAlign w:val="bottom"/>
          </w:tcPr>
          <w:p>
            <w:pPr>
              <w:spacing w:after="0"/>
              <w:rPr>
                <w:sz w:val="15"/>
                <w:szCs w:val="15"/>
                <w:color w:val="auto"/>
              </w:rPr>
            </w:pPr>
          </w:p>
        </w:tc>
        <w:tc>
          <w:tcPr>
            <w:tcW w:w="20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gridSpan w:val="5"/>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40" w:type="dxa"/>
            <w:vAlign w:val="bottom"/>
            <w:gridSpan w:val="3"/>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4"/>
            <w:vMerge w:val="restart"/>
          </w:tcPr>
          <w:p>
            <w:pPr>
              <w:jc w:val="right"/>
              <w:ind w:right="191"/>
              <w:spacing w:after="0"/>
              <w:rPr>
                <w:sz w:val="20"/>
                <w:szCs w:val="20"/>
                <w:color w:val="auto"/>
              </w:rPr>
            </w:pPr>
            <w:r>
              <w:rPr>
                <w:rFonts w:ascii="Arial" w:cs="Arial" w:eastAsia="Arial" w:hAnsi="Arial"/>
                <w:sz w:val="12"/>
                <w:szCs w:val="12"/>
                <w:b w:val="1"/>
                <w:bCs w:val="1"/>
                <w:color w:val="auto"/>
                <w:w w:val="95"/>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4"/>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Casdin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gridSpan w:val="5"/>
            <w:vMerge w:val="restart"/>
          </w:tcPr>
          <w:p>
            <w:pPr>
              <w:ind w:left="800"/>
              <w:spacing w:after="0"/>
              <w:rPr>
                <w:sz w:val="20"/>
                <w:szCs w:val="20"/>
                <w:color w:val="auto"/>
              </w:rPr>
            </w:pPr>
            <w:r>
              <w:rPr>
                <w:rFonts w:ascii="Times New Roman" w:cs="Times New Roman" w:eastAsia="Times New Roman" w:hAnsi="Times New Roman"/>
                <w:sz w:val="17"/>
                <w:szCs w:val="17"/>
                <w:color w:val="0000FF"/>
              </w:rPr>
              <w:t>01/31/2023</w:t>
            </w: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3"/>
                <w:szCs w:val="13"/>
                <w:color w:val="0000FF"/>
              </w:rPr>
              <w:t>P</w:t>
            </w: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9"/>
              </w:rPr>
              <w:t>71,428,542</w:t>
            </w:r>
          </w:p>
        </w:tc>
        <w:tc>
          <w:tcPr>
            <w:tcW w:w="62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40" w:type="dxa"/>
            <w:vAlign w:val="bottom"/>
          </w:tcPr>
          <w:p>
            <w:pPr>
              <w:spacing w:after="0"/>
              <w:rPr>
                <w:sz w:val="18"/>
                <w:szCs w:val="18"/>
                <w:color w:val="auto"/>
              </w:rPr>
            </w:pPr>
          </w:p>
        </w:tc>
        <w:tc>
          <w:tcPr>
            <w:tcW w:w="520" w:type="dxa"/>
            <w:vAlign w:val="bottom"/>
            <w:gridSpan w:val="3"/>
            <w:vMerge w:val="restart"/>
          </w:tcPr>
          <w:p>
            <w:pPr>
              <w:jc w:val="right"/>
              <w:ind w:right="51"/>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0.35</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87,866,042</w:t>
            </w:r>
          </w:p>
        </w:tc>
        <w:tc>
          <w:tcPr>
            <w:tcW w:w="920" w:type="dxa"/>
            <w:vAlign w:val="bottom"/>
            <w:vMerge w:val="restart"/>
          </w:tcPr>
          <w:p>
            <w:pPr>
              <w:jc w:val="center"/>
              <w:ind w:right="31"/>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00" w:type="dxa"/>
            <w:vAlign w:val="bottom"/>
            <w:gridSpan w:val="6"/>
            <w:vMerge w:val="continue"/>
          </w:tcPr>
          <w:p>
            <w:pPr>
              <w:spacing w:after="0"/>
              <w:rPr>
                <w:sz w:val="10"/>
                <w:szCs w:val="10"/>
                <w:color w:val="auto"/>
              </w:rPr>
            </w:pPr>
          </w:p>
        </w:tc>
        <w:tc>
          <w:tcPr>
            <w:tcW w:w="1780" w:type="dxa"/>
            <w:vAlign w:val="bottom"/>
            <w:gridSpan w:val="5"/>
            <w:vMerge w:val="continue"/>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Master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20" w:type="dxa"/>
            <w:vAlign w:val="bottom"/>
          </w:tcPr>
          <w:p>
            <w:pPr>
              <w:spacing w:after="0"/>
              <w:rPr>
                <w:sz w:val="7"/>
                <w:szCs w:val="7"/>
                <w:color w:val="auto"/>
              </w:rPr>
            </w:pPr>
          </w:p>
        </w:tc>
        <w:tc>
          <w:tcPr>
            <w:tcW w:w="8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Fund,</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(1)</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Casdin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gridSpan w:val="5"/>
            <w:vMerge w:val="restart"/>
          </w:tcPr>
          <w:p>
            <w:pPr>
              <w:ind w:left="800"/>
              <w:spacing w:after="0"/>
              <w:rPr>
                <w:sz w:val="20"/>
                <w:szCs w:val="20"/>
                <w:color w:val="auto"/>
              </w:rPr>
            </w:pPr>
            <w:r>
              <w:rPr>
                <w:rFonts w:ascii="Times New Roman" w:cs="Times New Roman" w:eastAsia="Times New Roman" w:hAnsi="Times New Roman"/>
                <w:sz w:val="17"/>
                <w:szCs w:val="17"/>
                <w:color w:val="0000FF"/>
              </w:rPr>
              <w:t>01/31/2023</w:t>
            </w: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3"/>
                <w:szCs w:val="13"/>
                <w:color w:val="0000FF"/>
              </w:rPr>
              <w:t>P</w:t>
            </w: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9"/>
              </w:rPr>
              <w:t>14,285,743</w:t>
            </w:r>
          </w:p>
        </w:tc>
        <w:tc>
          <w:tcPr>
            <w:tcW w:w="62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40" w:type="dxa"/>
            <w:vAlign w:val="bottom"/>
          </w:tcPr>
          <w:p>
            <w:pPr>
              <w:spacing w:after="0"/>
              <w:rPr>
                <w:sz w:val="18"/>
                <w:szCs w:val="18"/>
                <w:color w:val="auto"/>
              </w:rPr>
            </w:pPr>
          </w:p>
        </w:tc>
        <w:tc>
          <w:tcPr>
            <w:tcW w:w="520" w:type="dxa"/>
            <w:vAlign w:val="bottom"/>
            <w:gridSpan w:val="3"/>
            <w:vMerge w:val="restart"/>
          </w:tcPr>
          <w:p>
            <w:pPr>
              <w:jc w:val="right"/>
              <w:ind w:right="51"/>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0.35</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14,285,743</w:t>
            </w:r>
          </w:p>
        </w:tc>
        <w:tc>
          <w:tcPr>
            <w:tcW w:w="920" w:type="dxa"/>
            <w:vAlign w:val="bottom"/>
            <w:vMerge w:val="restart"/>
          </w:tcPr>
          <w:p>
            <w:pPr>
              <w:jc w:val="center"/>
              <w:ind w:right="31"/>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00" w:type="dxa"/>
            <w:vAlign w:val="bottom"/>
            <w:gridSpan w:val="6"/>
            <w:vMerge w:val="continue"/>
          </w:tcPr>
          <w:p>
            <w:pPr>
              <w:spacing w:after="0"/>
              <w:rPr>
                <w:sz w:val="10"/>
                <w:szCs w:val="10"/>
                <w:color w:val="auto"/>
              </w:rPr>
            </w:pPr>
          </w:p>
        </w:tc>
        <w:tc>
          <w:tcPr>
            <w:tcW w:w="1780" w:type="dxa"/>
            <w:vAlign w:val="bottom"/>
            <w:gridSpan w:val="5"/>
            <w:vMerge w:val="continue"/>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FO1-</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20" w:type="dxa"/>
            <w:vAlign w:val="bottom"/>
          </w:tcPr>
          <w:p>
            <w:pPr>
              <w:spacing w:after="0"/>
              <w:rPr>
                <w:sz w:val="7"/>
                <w:szCs w:val="7"/>
                <w:color w:val="auto"/>
              </w:rPr>
            </w:pPr>
          </w:p>
        </w:tc>
        <w:tc>
          <w:tcPr>
            <w:tcW w:w="8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MSV,</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10,993,750</w:t>
            </w:r>
          </w:p>
        </w:tc>
        <w:tc>
          <w:tcPr>
            <w:tcW w:w="920" w:type="dxa"/>
            <w:vAlign w:val="bottom"/>
            <w:vMerge w:val="restart"/>
          </w:tcPr>
          <w:p>
            <w:pPr>
              <w:jc w:val="center"/>
              <w:ind w:right="31"/>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CMLS</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6"/>
            <w:vMerge w:val="continue"/>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gridSpan w:val="3"/>
          </w:tcPr>
          <w:p>
            <w:pPr>
              <w:ind w:left="2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400" w:type="dxa"/>
            <w:vAlign w:val="bottom"/>
            <w:tcBorders>
              <w:top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680" w:type="dxa"/>
            <w:vAlign w:val="bottom"/>
            <w:tcBorders>
              <w:top w:val="single" w:sz="8" w:color="2C2C2C"/>
            </w:tcBorders>
          </w:tcPr>
          <w:p>
            <w:pPr>
              <w:spacing w:after="0"/>
              <w:rPr>
                <w:sz w:val="23"/>
                <w:szCs w:val="23"/>
                <w:color w:val="auto"/>
              </w:rPr>
            </w:pPr>
          </w:p>
        </w:tc>
        <w:tc>
          <w:tcPr>
            <w:tcW w:w="680" w:type="dxa"/>
            <w:vAlign w:val="bottom"/>
            <w:tcBorders>
              <w:top w:val="single" w:sz="8" w:color="2C2C2C"/>
            </w:tcBorders>
          </w:tcPr>
          <w:p>
            <w:pPr>
              <w:spacing w:after="0"/>
              <w:rPr>
                <w:sz w:val="23"/>
                <w:szCs w:val="23"/>
                <w:color w:val="auto"/>
              </w:rPr>
            </w:pPr>
          </w:p>
        </w:tc>
        <w:tc>
          <w:tcPr>
            <w:tcW w:w="14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26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12,836</w:t>
            </w:r>
          </w:p>
        </w:tc>
        <w:tc>
          <w:tcPr>
            <w:tcW w:w="920" w:type="dxa"/>
            <w:vAlign w:val="bottom"/>
            <w:tcBorders>
              <w:top w:val="single" w:sz="8" w:color="2C2C2C"/>
            </w:tcBorders>
          </w:tcPr>
          <w:p>
            <w:pPr>
              <w:jc w:val="center"/>
              <w:ind w:right="31"/>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2060" w:type="dxa"/>
            <w:vAlign w:val="bottom"/>
            <w:tcBorders>
              <w:bottom w:val="single" w:sz="8" w:color="2C2C2C"/>
            </w:tcBorders>
            <w:gridSpan w:val="4"/>
          </w:tcPr>
          <w:p>
            <w:pPr>
              <w:spacing w:after="0"/>
              <w:rPr>
                <w:sz w:val="8"/>
                <w:szCs w:val="8"/>
                <w:color w:val="auto"/>
              </w:rPr>
            </w:pPr>
          </w:p>
        </w:tc>
        <w:tc>
          <w:tcPr>
            <w:tcW w:w="1880" w:type="dxa"/>
            <w:vAlign w:val="bottom"/>
            <w:tcBorders>
              <w:bottom w:val="single" w:sz="8" w:color="2C2C2C"/>
            </w:tcBorders>
            <w:gridSpan w:val="6"/>
          </w:tcPr>
          <w:p>
            <w:pPr>
              <w:spacing w:after="0"/>
              <w:rPr>
                <w:sz w:val="8"/>
                <w:szCs w:val="8"/>
                <w:color w:val="auto"/>
              </w:rPr>
            </w:pPr>
          </w:p>
        </w:tc>
        <w:tc>
          <w:tcPr>
            <w:tcW w:w="146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7"/>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700" w:type="dxa"/>
            <w:vAlign w:val="bottom"/>
            <w:gridSpan w:val="15"/>
          </w:tcPr>
          <w:p>
            <w:pPr>
              <w:jc w:val="center"/>
              <w:ind w:left="48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Amount of</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4"/>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gridSpan w:val="5"/>
          </w:tcPr>
          <w:p>
            <w:pPr>
              <w:ind w:left="4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gridSpan w:val="5"/>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1180" w:type="dxa"/>
            <w:vAlign w:val="bottom"/>
            <w:gridSpan w:val="5"/>
          </w:tcPr>
          <w:p>
            <w:pPr>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87,866,042 shares of Class A common stock reported in the table above are owned directly by Casdin Partners Master Fund, LP and may be deemed to be indirectly beneficially owned by (i) Casdin Capital, LLC, the investment adviser to Casdin Partners Master Fund, LP, (ii) Casdin Partners GP, LLC, the general partner of Casdin Partners Master Fund LP, and (iii) Mr. Casdin, the managing member of Casdin Capital, LLC and Casdin Partners GP, LLC. Each of Casdin Capital, LLC, Casdin Partners GP, LLC and Mr. Casdin disclaims beneficial ownership of such securities except to the extent of its or his respective pecuniary interest therein.</w:t>
      </w:r>
    </w:p>
    <w:p>
      <w:pPr>
        <w:spacing w:after="0" w:line="24" w:lineRule="exact"/>
        <w:rPr>
          <w:rFonts w:ascii="Times New Roman" w:cs="Times New Roman" w:eastAsia="Times New Roman" w:hAnsi="Times New Roman"/>
          <w:sz w:val="13"/>
          <w:szCs w:val="13"/>
          <w:color w:val="008000"/>
        </w:rPr>
      </w:pPr>
    </w:p>
    <w:p>
      <w:pPr>
        <w:jc w:val="both"/>
        <w:ind w:left="40" w:right="24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14,285,743 shares of Class A common stock reported in the table above are owned directly by Casdin Partners FO1-MSV, LP and may be deemed to be indirectly beneficially owned by (i) Casdin Capital, LLC, the investment adviser to Casdin Partners FO1-MSV, LP, (ii) Casdin Partners GP, LLC, the general partner of Casdin Partners FO1-MSV, LP, and (iii) Mr. Casdin, the managing member of Casdin Capital, LLC and Casdin Partners GP, LLC. Each of Casdin Capital, LLC, Casdin Partners GP, LLC and Mr. Casdin disclaims beneficial ownership of such securities except to the extent of its or his respective pecuniary interest therein.</w:t>
      </w:r>
    </w:p>
    <w:p>
      <w:pPr>
        <w:spacing w:after="0" w:line="24" w:lineRule="exact"/>
        <w:rPr>
          <w:rFonts w:ascii="Times New Roman" w:cs="Times New Roman" w:eastAsia="Times New Roman" w:hAnsi="Times New Roman"/>
          <w:sz w:val="13"/>
          <w:szCs w:val="13"/>
          <w:color w:val="008000"/>
        </w:rPr>
      </w:pPr>
    </w:p>
    <w:p>
      <w:pPr>
        <w:ind w:left="40" w:right="18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10,993,750 shares of Class A common stock reported in the table above are owned directly by CMLS Holdings LLC ("CMLS Holdings"). The Board of Managers of CMLS Holdings LLC is comprised of Mr. Casdin and Mr. Keith Meister who share voting and investment discretion with respect to the Class A common stock held of record by CMLS Holdings LLC. C-LSH LLC and M-LSH LLC are the members of CMLS Holdings LLC, and Messrs. Casdin and Meister are the managing members of C-LSH LLC and M-LSH LLC, respectively. As such, Mr. Casdin may be deemed to have or share beneficial ownership of the securities held directly by CMLS Holdings LLC. Each of C-LSH LLC and Mr. Casdin disclaims beneficial ownership of these shares except to the extent of its or his respective pecuniary interest therein.</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Eli Casdin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02/02/2023</w:t>
            </w:r>
          </w:p>
        </w:tc>
      </w:tr>
      <w:tr>
        <w:trPr>
          <w:trHeight w:val="20"/>
        </w:trPr>
        <w:tc>
          <w:tcPr>
            <w:tcW w:w="9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80" w:orient="portrait"/>
          <w:cols w:equalWidth="0" w:num="1">
            <w:col w:w="11080"/>
          </w:cols>
          <w:pgMar w:left="460" w:top="219" w:right="359" w:bottom="0" w:gutter="0" w:footer="0" w:header="0"/>
          <w:type w:val="continuous"/>
        </w:sectPr>
      </w:pPr>
    </w:p>
    <w:bookmarkStart w:id="1" w:name="page2"/>
    <w:bookmarkEnd w:id="1"/>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53"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34264"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2023-02-02T15:12:07Z</dcterms:created>
  <dcterms:modified xsi:type="dcterms:W3CDTF">2023-02-02T15:12:07Z</dcterms:modified>
</cp:coreProperties>
</file>