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213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1335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Borders>
              <w:top w:val="single" w:sz="8" w:color="0000EE"/>
            </w:tcBorders>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200" w:type="dxa"/>
            <w:vAlign w:val="bottom"/>
          </w:tcPr>
          <w:p>
            <w:pPr>
              <w:spacing w:after="0"/>
              <w:rPr>
                <w:sz w:val="19"/>
                <w:szCs w:val="19"/>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09/01/2024</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7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5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5000" w:type="dxa"/>
            <w:vAlign w:val="bottom"/>
            <w:tcBorders>
              <w:bottom w:val="single" w:sz="8" w:color="2C2C2C"/>
            </w:tcBorders>
            <w:gridSpan w:val="10"/>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60" w:type="dxa"/>
            <w:vAlign w:val="bottom"/>
            <w:gridSpan w:val="3"/>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09/01/2024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717</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right="16"/>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38,605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09/03/2024</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262</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31.7096</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38,343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0" w:type="dxa"/>
            <w:vAlign w:val="bottom"/>
            <w:gridSpan w:val="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58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717</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09/01/2024</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60" w:type="dxa"/>
            <w:vAlign w:val="bottom"/>
            <w:vMerge w:val="restart"/>
          </w:tcPr>
          <w:p>
            <w:pPr>
              <w:ind w:left="420"/>
              <w:spacing w:after="0" w:line="144" w:lineRule="exact"/>
              <w:rPr>
                <w:sz w:val="20"/>
                <w:szCs w:val="20"/>
                <w:color w:val="auto"/>
              </w:rPr>
            </w:pPr>
            <w:r>
              <w:rPr>
                <w:rFonts w:ascii="Times New Roman" w:cs="Times New Roman" w:eastAsia="Times New Roman" w:hAnsi="Times New Roman"/>
                <w:sz w:val="13"/>
                <w:szCs w:val="13"/>
                <w:color w:val="0000FF"/>
              </w:rPr>
              <w:t>717</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5,739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4" w:lineRule="exact"/>
        <w:rPr>
          <w:rFonts w:ascii="Times New Roman" w:cs="Times New Roman" w:eastAsia="Times New Roman" w:hAnsi="Times New Roman"/>
          <w:sz w:val="13"/>
          <w:szCs w:val="13"/>
          <w:color w:val="008000"/>
        </w:rPr>
      </w:pPr>
    </w:p>
    <w:p>
      <w:pPr>
        <w:ind w:left="40" w:right="20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$31.6053 to $31.71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December 1, 2022 until fully vested, subject to the Reporting Person's continued service to the Issuer on each vesting date.</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09/04/2024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5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2024-09-04T19:17:23Z</dcterms:created>
  <dcterms:modified xsi:type="dcterms:W3CDTF">2024-09-04T19:17:23Z</dcterms:modified>
</cp:coreProperties>
</file>