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6992620" cy="5213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213350"/>
                    </a:xfrm>
                    <a:prstGeom prst="rect">
                      <a:avLst/>
                    </a:prstGeom>
                    <a:noFill/>
                  </pic:spPr>
                </pic:pic>
              </a:graphicData>
            </a:graphic>
          </wp:anchor>
        </w:drawing>
      </w:r>
    </w:p>
    <w:p>
      <w:pPr>
        <w:spacing w:after="0" w:line="1198" w:lineRule="exact"/>
        <w:rPr>
          <w:sz w:val="24"/>
          <w:szCs w:val="24"/>
          <w:color w:val="auto"/>
        </w:rPr>
      </w:pPr>
    </w:p>
    <w:p>
      <w:pPr>
        <w:sectPr>
          <w:pgSz w:w="11900" w:h="16838" w:orient="portrait"/>
          <w:cols w:equalWidth="0" w:num="2">
            <w:col w:w="2320" w:space="220"/>
            <w:col w:w="8540"/>
          </w:cols>
          <w:pgMar w:left="460" w:top="216" w:right="359" w:bottom="986"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Feeley Kevin</w:t>
              </w:r>
            </w:hyperlink>
          </w:p>
        </w:tc>
        <w:tc>
          <w:tcPr>
            <w:tcW w:w="1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GeneDx Holdings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WGS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2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20" w:type="dxa"/>
            <w:vAlign w:val="bottom"/>
            <w:tcBorders>
              <w:top w:val="single" w:sz="8" w:color="0000EE"/>
            </w:tcBorders>
          </w:tcPr>
          <w:p>
            <w:pPr>
              <w:spacing w:after="0"/>
              <w:rPr>
                <w:sz w:val="5"/>
                <w:szCs w:val="5"/>
                <w:color w:val="auto"/>
              </w:rPr>
            </w:pPr>
          </w:p>
        </w:tc>
        <w:tc>
          <w:tcPr>
            <w:tcW w:w="1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112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120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(Last)</w:t>
            </w:r>
          </w:p>
        </w:tc>
        <w:tc>
          <w:tcPr>
            <w:tcW w:w="1260" w:type="dxa"/>
            <w:vAlign w:val="bottom"/>
          </w:tcPr>
          <w:p>
            <w:pPr>
              <w:ind w:left="40"/>
              <w:spacing w:after="0"/>
              <w:rPr>
                <w:sz w:val="20"/>
                <w:szCs w:val="20"/>
                <w:color w:val="auto"/>
              </w:rPr>
            </w:pPr>
            <w:r>
              <w:rPr>
                <w:rFonts w:ascii="Arial" w:cs="Arial" w:eastAsia="Arial" w:hAnsi="Arial"/>
                <w:sz w:val="13"/>
                <w:szCs w:val="13"/>
                <w:color w:val="auto"/>
              </w:rPr>
              <w:t>(First)</w:t>
            </w:r>
          </w:p>
        </w:tc>
        <w:tc>
          <w:tcPr>
            <w:tcW w:w="120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w w:val="98"/>
              </w:rPr>
              <w:t>C/O GENEDX HOLDINGS CORP.</w:t>
            </w:r>
          </w:p>
        </w:tc>
        <w:tc>
          <w:tcPr>
            <w:tcW w:w="1200" w:type="dxa"/>
            <w:vAlign w:val="bottom"/>
          </w:tcPr>
          <w:p>
            <w:pPr>
              <w:spacing w:after="0"/>
              <w:rPr>
                <w:sz w:val="19"/>
                <w:szCs w:val="19"/>
                <w:color w:val="auto"/>
              </w:rPr>
            </w:pPr>
          </w:p>
        </w:tc>
        <w:tc>
          <w:tcPr>
            <w:tcW w:w="218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12/01/2025</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440" w:type="dxa"/>
            <w:vAlign w:val="bottom"/>
            <w:gridSpan w:val="3"/>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20" w:type="dxa"/>
            <w:vAlign w:val="bottom"/>
          </w:tcPr>
          <w:p>
            <w:pPr>
              <w:spacing w:after="0"/>
              <w:rPr>
                <w:sz w:val="7"/>
                <w:szCs w:val="7"/>
                <w:color w:val="auto"/>
              </w:rPr>
            </w:pPr>
          </w:p>
        </w:tc>
        <w:tc>
          <w:tcPr>
            <w:tcW w:w="17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LUDLOW ST., NORTH TOWER, 6TH FLOOR</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ind w:left="-4" w:right="600" w:firstLine="4"/>
        <w:spacing w:after="0" w:line="261"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0"/>
          <w:szCs w:val="20"/>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6" w:lineRule="exact"/>
        <w:rPr>
          <w:sz w:val="20"/>
          <w:szCs w:val="20"/>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0"/>
          <w:szCs w:val="20"/>
          <w:color w:val="auto"/>
        </w:rPr>
      </w:pPr>
    </w:p>
    <w:p>
      <w:pPr>
        <w:ind w:left="476"/>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02" w:lineRule="exact"/>
        <w:rPr>
          <w:sz w:val="20"/>
          <w:szCs w:val="20"/>
          <w:color w:val="auto"/>
        </w:rPr>
      </w:pPr>
    </w:p>
    <w:p>
      <w:pPr>
        <w:sectPr>
          <w:pgSz w:w="11900" w:h="16838" w:orient="portrait"/>
          <w:cols w:equalWidth="0" w:num="2">
            <w:col w:w="7680" w:space="64"/>
            <w:col w:w="3336"/>
          </w:cols>
          <w:pgMar w:left="460" w:top="216" w:right="359" w:bottom="986"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540" w:type="dxa"/>
            <w:vAlign w:val="bottom"/>
            <w:gridSpan w:val="6"/>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gridSpan w:val="2"/>
          </w:tcPr>
          <w:p>
            <w:pPr>
              <w:ind w:left="44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STAMFORD</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1"/>
              </w:rPr>
              <w:t>CT</w:t>
            </w:r>
          </w:p>
        </w:tc>
        <w:tc>
          <w:tcPr>
            <w:tcW w:w="980" w:type="dxa"/>
            <w:vAlign w:val="bottom"/>
          </w:tcPr>
          <w:p>
            <w:pPr>
              <w:spacing w:after="0"/>
              <w:rPr>
                <w:sz w:val="10"/>
                <w:szCs w:val="10"/>
                <w:color w:val="auto"/>
              </w:rPr>
            </w:pPr>
          </w:p>
        </w:tc>
        <w:tc>
          <w:tcPr>
            <w:tcW w:w="11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06902</w:t>
            </w: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vMerge w:val="restart"/>
          </w:tcPr>
          <w:p>
            <w:pPr>
              <w:ind w:left="140"/>
              <w:spacing w:after="0"/>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20" w:type="dxa"/>
            <w:vAlign w:val="bottom"/>
            <w:gridSpan w:val="2"/>
            <w:vMerge w:val="restart"/>
          </w:tcPr>
          <w:p>
            <w:pPr>
              <w:ind w:left="40"/>
              <w:spacing w:after="0"/>
              <w:rPr>
                <w:sz w:val="20"/>
                <w:szCs w:val="20"/>
                <w:color w:val="auto"/>
              </w:rPr>
            </w:pPr>
            <w:r>
              <w:rPr>
                <w:rFonts w:ascii="Arial" w:cs="Arial" w:eastAsia="Arial" w:hAnsi="Arial"/>
                <w:sz w:val="13"/>
                <w:szCs w:val="13"/>
                <w:color w:val="auto"/>
              </w:rPr>
              <w:t>(Zip)</w:t>
            </w: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gridSpan w:val="2"/>
          </w:tcPr>
          <w:p>
            <w:pPr>
              <w:spacing w:after="0"/>
              <w:rPr>
                <w:sz w:val="10"/>
                <w:szCs w:val="10"/>
                <w:color w:val="auto"/>
              </w:rPr>
            </w:pPr>
          </w:p>
        </w:tc>
        <w:tc>
          <w:tcPr>
            <w:tcW w:w="5000" w:type="dxa"/>
            <w:vAlign w:val="bottom"/>
            <w:tcBorders>
              <w:bottom w:val="single" w:sz="8" w:color="2C2C2C"/>
            </w:tcBorders>
            <w:gridSpan w:val="10"/>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140" w:type="dxa"/>
            <w:vAlign w:val="bottom"/>
            <w:tcBorders>
              <w:top w:val="single" w:sz="8" w:color="2C2C2C"/>
            </w:tcBorders>
            <w:gridSpan w:val="12"/>
          </w:tcPr>
          <w:p>
            <w:pPr>
              <w:ind w:left="7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96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3"/>
          </w:tcPr>
          <w:p>
            <w:pPr>
              <w:ind w:left="5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20" w:type="dxa"/>
            <w:vAlign w:val="bottom"/>
            <w:gridSpan w:val="2"/>
          </w:tcPr>
          <w:p>
            <w:pPr>
              <w:ind w:left="520"/>
              <w:spacing w:after="0" w:line="130" w:lineRule="exact"/>
              <w:rPr>
                <w:sz w:val="20"/>
                <w:szCs w:val="20"/>
                <w:color w:val="auto"/>
              </w:rPr>
            </w:pPr>
            <w:r>
              <w:rPr>
                <w:rFonts w:ascii="Arial" w:cs="Arial" w:eastAsia="Arial" w:hAnsi="Arial"/>
                <w:sz w:val="12"/>
                <w:szCs w:val="12"/>
                <w:b w:val="1"/>
                <w:bCs w:val="1"/>
                <w:color w:val="auto"/>
              </w:rPr>
              <w:t>Date</w:t>
            </w:r>
          </w:p>
        </w:tc>
        <w:tc>
          <w:tcPr>
            <w:tcW w:w="340" w:type="dxa"/>
            <w:vAlign w:val="bottom"/>
          </w:tcPr>
          <w:p>
            <w:pPr>
              <w:spacing w:after="0"/>
              <w:rPr>
                <w:sz w:val="11"/>
                <w:szCs w:val="11"/>
                <w:color w:val="auto"/>
              </w:rPr>
            </w:pPr>
          </w:p>
        </w:tc>
        <w:tc>
          <w:tcPr>
            <w:tcW w:w="10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560" w:type="dxa"/>
            <w:vAlign w:val="bottom"/>
            <w:gridSpan w:val="3"/>
          </w:tcPr>
          <w:p>
            <w:pPr>
              <w:ind w:left="52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3"/>
          </w:tcPr>
          <w:p>
            <w:pPr>
              <w:ind w:left="600"/>
              <w:spacing w:after="0"/>
              <w:rPr>
                <w:sz w:val="20"/>
                <w:szCs w:val="20"/>
                <w:color w:val="auto"/>
              </w:rPr>
            </w:pPr>
            <w:r>
              <w:rPr>
                <w:rFonts w:ascii="Times New Roman" w:cs="Times New Roman" w:eastAsia="Times New Roman" w:hAnsi="Times New Roman"/>
                <w:sz w:val="17"/>
                <w:szCs w:val="17"/>
                <w:color w:val="0000FF"/>
              </w:rPr>
              <w:t>12/01/2025</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717</w:t>
            </w:r>
          </w:p>
        </w:tc>
        <w:tc>
          <w:tcPr>
            <w:tcW w:w="5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tcPr>
          <w:p>
            <w:pPr>
              <w:jc w:val="center"/>
              <w:ind w:right="16"/>
              <w:spacing w:after="0" w:line="313"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2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4,570</w:t>
            </w:r>
            <w:r>
              <w:rPr>
                <w:rFonts w:ascii="Times New Roman" w:cs="Times New Roman" w:eastAsia="Times New Roman" w:hAnsi="Times New Roman"/>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3"/>
          </w:tcPr>
          <w:p>
            <w:pPr>
              <w:ind w:left="600"/>
              <w:spacing w:after="0"/>
              <w:rPr>
                <w:sz w:val="20"/>
                <w:szCs w:val="20"/>
                <w:color w:val="auto"/>
              </w:rPr>
            </w:pPr>
            <w:r>
              <w:rPr>
                <w:rFonts w:ascii="Times New Roman" w:cs="Times New Roman" w:eastAsia="Times New Roman" w:hAnsi="Times New Roman"/>
                <w:sz w:val="17"/>
                <w:szCs w:val="17"/>
                <w:color w:val="0000FF"/>
              </w:rPr>
              <w:t>12/01/2025</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(3)</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377</w:t>
            </w:r>
          </w:p>
        </w:tc>
        <w:tc>
          <w:tcPr>
            <w:tcW w:w="5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162.536</w:t>
            </w:r>
            <w:r>
              <w:rPr>
                <w:rFonts w:ascii="Times New Roman" w:cs="Times New Roman" w:eastAsia="Times New Roman" w:hAnsi="Times New Roman"/>
                <w:sz w:val="21"/>
                <w:szCs w:val="21"/>
                <w:color w:val="008000"/>
                <w:w w:val="93"/>
                <w:vertAlign w:val="superscript"/>
              </w:rPr>
              <w:t>(4)</w:t>
            </w:r>
          </w:p>
        </w:tc>
        <w:tc>
          <w:tcPr>
            <w:tcW w:w="116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4,193</w:t>
            </w:r>
            <w:r>
              <w:rPr>
                <w:rFonts w:ascii="Times New Roman" w:cs="Times New Roman" w:eastAsia="Times New Roman" w:hAnsi="Times New Roman"/>
                <w:sz w:val="21"/>
                <w:szCs w:val="21"/>
                <w:color w:val="008000"/>
                <w:vertAlign w:val="superscript"/>
              </w:rPr>
              <w:t>(5)</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2"/>
          </w:tcPr>
          <w:p>
            <w:pPr>
              <w:ind w:left="9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400" w:type="dxa"/>
            <w:vAlign w:val="bottom"/>
            <w:gridSpan w:val="9"/>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340" w:type="dxa"/>
            <w:vAlign w:val="bottom"/>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5"/>
              </w:rPr>
              <w:t>Expiration</w:t>
            </w:r>
          </w:p>
        </w:tc>
        <w:tc>
          <w:tcPr>
            <w:tcW w:w="580" w:type="dxa"/>
            <w:vAlign w:val="bottom"/>
          </w:tcPr>
          <w:p>
            <w:pPr>
              <w:spacing w:after="0"/>
              <w:rPr>
                <w:sz w:val="11"/>
                <w:szCs w:val="11"/>
                <w:color w:val="auto"/>
              </w:rPr>
            </w:pPr>
          </w:p>
        </w:tc>
        <w:tc>
          <w:tcPr>
            <w:tcW w:w="6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(6)</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(6)</w:t>
            </w:r>
          </w:p>
        </w:tc>
        <w:tc>
          <w:tcPr>
            <w:tcW w:w="58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Class A</w:t>
            </w:r>
          </w:p>
        </w:tc>
        <w:tc>
          <w:tcPr>
            <w:tcW w:w="64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717</w:t>
            </w: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vMerge w:val="restart"/>
          </w:tcPr>
          <w:p>
            <w:pPr>
              <w:ind w:left="200"/>
              <w:spacing w:after="0" w:line="144" w:lineRule="exact"/>
              <w:rPr>
                <w:sz w:val="20"/>
                <w:szCs w:val="20"/>
                <w:color w:val="auto"/>
              </w:rPr>
            </w:pPr>
            <w:r>
              <w:rPr>
                <w:rFonts w:ascii="Times New Roman" w:cs="Times New Roman" w:eastAsia="Times New Roman" w:hAnsi="Times New Roman"/>
                <w:sz w:val="13"/>
                <w:szCs w:val="13"/>
                <w:color w:val="0000FF"/>
              </w:rPr>
              <w:t>12/01/2025</w:t>
            </w: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vMerge w:val="restart"/>
          </w:tcPr>
          <w:p>
            <w:pPr>
              <w:ind w:left="80"/>
              <w:spacing w:after="0" w:line="144"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5"/>
                <w:szCs w:val="5"/>
                <w:color w:val="auto"/>
              </w:rPr>
            </w:pPr>
          </w:p>
        </w:tc>
        <w:tc>
          <w:tcPr>
            <w:tcW w:w="660" w:type="dxa"/>
            <w:vAlign w:val="bottom"/>
            <w:vMerge w:val="restart"/>
          </w:tcPr>
          <w:p>
            <w:pPr>
              <w:ind w:left="420"/>
              <w:spacing w:after="0" w:line="144" w:lineRule="exact"/>
              <w:rPr>
                <w:sz w:val="20"/>
                <w:szCs w:val="20"/>
                <w:color w:val="auto"/>
              </w:rPr>
            </w:pPr>
            <w:r>
              <w:rPr>
                <w:rFonts w:ascii="Times New Roman" w:cs="Times New Roman" w:eastAsia="Times New Roman" w:hAnsi="Times New Roman"/>
                <w:sz w:val="13"/>
                <w:szCs w:val="13"/>
                <w:color w:val="0000FF"/>
              </w:rPr>
              <w:t>717</w:t>
            </w: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80" w:type="dxa"/>
            <w:vAlign w:val="bottom"/>
            <w:vMerge w:val="restart"/>
          </w:tcPr>
          <w:p>
            <w:pPr>
              <w:ind w:left="80"/>
              <w:spacing w:after="0" w:line="144" w:lineRule="exact"/>
              <w:rPr>
                <w:sz w:val="20"/>
                <w:szCs w:val="20"/>
                <w:color w:val="auto"/>
              </w:rPr>
            </w:pPr>
            <w:r>
              <w:rPr>
                <w:rFonts w:ascii="Times New Roman" w:cs="Times New Roman" w:eastAsia="Times New Roman" w:hAnsi="Times New Roman"/>
                <w:sz w:val="13"/>
                <w:szCs w:val="13"/>
                <w:color w:val="0000FF"/>
                <w:w w:val="99"/>
              </w:rPr>
              <w:t>Common</w:t>
            </w:r>
          </w:p>
        </w:tc>
        <w:tc>
          <w:tcPr>
            <w:tcW w:w="6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vMerge w:val="restart"/>
          </w:tcPr>
          <w:p>
            <w:pPr>
              <w:ind w:left="8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ind w:left="260"/>
              <w:spacing w:after="0" w:line="144" w:lineRule="exact"/>
              <w:rPr>
                <w:sz w:val="20"/>
                <w:szCs w:val="20"/>
                <w:color w:val="auto"/>
              </w:rPr>
            </w:pPr>
            <w:r>
              <w:rPr>
                <w:rFonts w:ascii="Times New Roman" w:cs="Times New Roman" w:eastAsia="Times New Roman" w:hAnsi="Times New Roman"/>
                <w:sz w:val="13"/>
                <w:szCs w:val="13"/>
                <w:color w:val="0000FF"/>
              </w:rPr>
              <w:t>2,152</w:t>
            </w:r>
          </w:p>
        </w:tc>
        <w:tc>
          <w:tcPr>
            <w:tcW w:w="280" w:type="dxa"/>
            <w:vAlign w:val="bottom"/>
          </w:tcPr>
          <w:p>
            <w:pPr>
              <w:spacing w:after="0"/>
              <w:rPr>
                <w:sz w:val="5"/>
                <w:szCs w:val="5"/>
                <w:color w:val="auto"/>
              </w:rPr>
            </w:pPr>
          </w:p>
        </w:tc>
        <w:tc>
          <w:tcPr>
            <w:tcW w:w="68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-2113915</wp:posOffset>
            </wp:positionV>
            <wp:extent cx="29210" cy="21189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899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1 share of the Issuer's Class A Common Stock upon settlement for no consideration.</w:t>
      </w:r>
    </w:p>
    <w:p>
      <w:pPr>
        <w:spacing w:after="0" w:line="45" w:lineRule="exact"/>
        <w:rPr>
          <w:rFonts w:ascii="Times New Roman" w:cs="Times New Roman" w:eastAsia="Times New Roman" w:hAnsi="Times New Roman"/>
          <w:sz w:val="13"/>
          <w:szCs w:val="13"/>
          <w:color w:val="008000"/>
        </w:rPr>
      </w:pPr>
    </w:p>
    <w:p>
      <w:pPr>
        <w:ind w:left="40" w:right="160" w:firstLine="3"/>
        <w:spacing w:after="0" w:line="26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total includes 96 shares of the Issuer's Class A Common Stock acquired by the reporting person in one or more transactions with the Issuer pursuant to its Employee Stock Purchase Plan, which transactions are exempt pursuant to Rules 16a3(f)(1)(i)(B) and 16b3(c).</w:t>
      </w:r>
    </w:p>
    <w:p>
      <w:pPr>
        <w:spacing w:after="0" w:line="14" w:lineRule="exact"/>
        <w:rPr>
          <w:rFonts w:ascii="Times New Roman" w:cs="Times New Roman" w:eastAsia="Times New Roman" w:hAnsi="Times New Roman"/>
          <w:sz w:val="13"/>
          <w:szCs w:val="13"/>
          <w:color w:val="008000"/>
        </w:rPr>
      </w:pPr>
    </w:p>
    <w:p>
      <w:pPr>
        <w:ind w:left="40" w:right="520" w:firstLine="3"/>
        <w:spacing w:after="0" w:line="26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p>
      <w:pPr>
        <w:spacing w:after="0" w:line="14" w:lineRule="exact"/>
        <w:rPr>
          <w:rFonts w:ascii="Times New Roman" w:cs="Times New Roman" w:eastAsia="Times New Roman" w:hAnsi="Times New Roman"/>
          <w:sz w:val="13"/>
          <w:szCs w:val="13"/>
          <w:color w:val="008000"/>
        </w:rPr>
      </w:pPr>
    </w:p>
    <w:p>
      <w:pPr>
        <w:ind w:left="40" w:right="220" w:firstLine="3"/>
        <w:spacing w:after="0" w:line="245"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$162.3501 to $162.5400,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w:t>
      </w:r>
    </w:p>
    <w:p>
      <w:pPr>
        <w:spacing w:after="0" w:line="24" w:lineRule="exact"/>
        <w:rPr>
          <w:rFonts w:ascii="Times New Roman" w:cs="Times New Roman" w:eastAsia="Times New Roman" w:hAnsi="Times New Roman"/>
          <w:sz w:val="13"/>
          <w:szCs w:val="13"/>
          <w:color w:val="008000"/>
        </w:rPr>
      </w:pPr>
    </w:p>
    <w:p>
      <w:pPr>
        <w:jc w:val="both"/>
        <w:ind w:left="40" w:right="440" w:firstLine="3"/>
        <w:spacing w:after="0" w:line="245"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Following the reported sale undertaken to satisfy tax withholding liabilities, in addition to the 4,193 shares of Class A Common Stock beneficially owned by the Reporting Person, the Reporting Person beneficially owned RSUs representing contingent rights to receive up to an aggregate of 123,163 shares of Class A Common Stock and options to purchase up to an aggregate of 25,906 shares of Class A Common Stock, which RSUs and options vest according to their respective terms.</w:t>
      </w:r>
    </w:p>
    <w:p>
      <w:pPr>
        <w:spacing w:after="0" w:line="24" w:lineRule="exact"/>
        <w:rPr>
          <w:rFonts w:ascii="Times New Roman" w:cs="Times New Roman" w:eastAsia="Times New Roman" w:hAnsi="Times New Roman"/>
          <w:sz w:val="13"/>
          <w:szCs w:val="13"/>
          <w:color w:val="008000"/>
        </w:rPr>
      </w:pPr>
    </w:p>
    <w:p>
      <w:pPr>
        <w:ind w:left="40" w:right="240" w:firstLine="3"/>
        <w:spacing w:after="0" w:line="251"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6.25% of the total award vested or vests quarterly, subject to the Reporting Person's continued service to the Issuer on each vesting date, and with the first tranche vested on December 1, 2022. These RSUs do not have an expiration date; they either vest or are cancelled prior to the vesting date.</w:t>
      </w:r>
    </w:p>
    <w:p>
      <w:pPr>
        <w:ind w:left="6600"/>
        <w:spacing w:after="0" w:line="181" w:lineRule="auto"/>
        <w:rPr>
          <w:sz w:val="20"/>
          <w:szCs w:val="20"/>
          <w:color w:val="auto"/>
        </w:rPr>
      </w:pPr>
      <w:r>
        <w:rPr>
          <w:rFonts w:ascii="Times New Roman" w:cs="Times New Roman" w:eastAsia="Times New Roman" w:hAnsi="Times New Roman"/>
          <w:sz w:val="17"/>
          <w:szCs w:val="17"/>
          <w:color w:val="0000FF"/>
        </w:rPr>
        <w:t xml:space="preserve">/s/ Bridget Brown, Attorney-in- </w:t>
      </w:r>
      <w:r>
        <w:rPr>
          <w:rFonts w:ascii="Times New Roman" w:cs="Times New Roman" w:eastAsia="Times New Roman" w:hAnsi="Times New Roman"/>
          <w:sz w:val="32"/>
          <w:szCs w:val="32"/>
          <w:color w:val="0000FF"/>
          <w:vertAlign w:val="subscript"/>
        </w:rPr>
        <w:t>12/03/2025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620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-19685</wp:posOffset>
            </wp:positionV>
            <wp:extent cx="1854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5420"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-85725</wp:posOffset>
            </wp:positionV>
            <wp:extent cx="4902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pacing w:after="0" w:line="27"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20" w:firstLine="3"/>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98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44119" TargetMode="External"/><Relationship Id="rId14"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2025-12-03T15:26:41Z</dcterms:created>
  <dcterms:modified xsi:type="dcterms:W3CDTF">2025-12-03T15:26:41Z</dcterms:modified>
</cp:coreProperties>
</file>