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11" w:lineRule="exact"/>
        <w:rPr>
          <w:sz w:val="24"/>
          <w:szCs w:val="24"/>
          <w:color w:val="auto"/>
        </w:rPr>
      </w:pPr>
    </w:p>
    <w:p>
      <w:pPr>
        <w:jc w:val="center"/>
        <w:spacing w:after="0" w:line="263"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Sema4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firstLine="8"/>
        <w:spacing w:after="0" w:line="260" w:lineRule="auto"/>
        <w:tabs>
          <w:tab w:leader="none" w:pos="1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6,924,244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6,924,244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6,924,244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2.88%</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 Comprised of 6,924,244 shares of Class A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13,848,488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13,848,488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13,848,488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5.77%</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right="80" w:firstLine="8"/>
        <w:spacing w:after="0" w:line="260"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Comprised of an aggregate of 13,848,488 shares of Class A Common Stock held by Deerfield Partners, L.P. and Deerfield Private Design Fund V,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6,924,244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6,924,244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6,924,244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2.88%</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right="52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Comprised of 6,924,244 shares of Class A Common Stock held by Deerfield Private Design Fund V, L.P., of which Deerfield Mgmt 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6,924,244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6,924,244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6,924,244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2.88%</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right="6320" w:hanging="1263"/>
        <w:spacing w:after="0" w:line="527" w:lineRule="auto"/>
        <w:tabs>
          <w:tab w:leader="none" w:pos="2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Private Design Fund V,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6,924,244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6,924,244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6,924,244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2.88%</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right="6320" w:hanging="1263"/>
        <w:spacing w:after="0" w:line="527" w:lineRule="auto"/>
        <w:tabs>
          <w:tab w:leader="none" w:pos="2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13,848,488 (4)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13,848,488 (4)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13,848,488 (4)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5.77%</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 Comprised of an aggregate of 13,848,488 shares of common stock held by Deerfield Partners, L.P. and Deerfield Private Design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460" w:type="dxa"/>
            <w:vAlign w:val="bottom"/>
          </w:tcPr>
          <w:p>
            <w:pPr>
              <w:ind w:left="260"/>
              <w:spacing w:after="0"/>
              <w:rPr>
                <w:sz w:val="20"/>
                <w:szCs w:val="20"/>
                <w:color w:val="auto"/>
              </w:rPr>
            </w:pPr>
            <w:r>
              <w:rPr>
                <w:rFonts w:ascii="Arial" w:cs="Arial" w:eastAsia="Arial" w:hAnsi="Arial"/>
                <w:sz w:val="18"/>
                <w:szCs w:val="18"/>
                <w:color w:val="auto"/>
              </w:rPr>
              <w:t>81663L101</w:t>
            </w:r>
          </w:p>
        </w:tc>
        <w:tc>
          <w:tcPr>
            <w:tcW w:w="4220" w:type="dxa"/>
            <w:vAlign w:val="bottom"/>
          </w:tcPr>
          <w:p>
            <w:pPr>
              <w:ind w:left="100"/>
              <w:spacing w:after="0"/>
              <w:rPr>
                <w:sz w:val="20"/>
                <w:szCs w:val="20"/>
                <w:color w:val="auto"/>
              </w:rPr>
            </w:pPr>
            <w:r>
              <w:rPr>
                <w:rFonts w:ascii="Arial" w:cs="Arial" w:eastAsia="Arial" w:hAnsi="Arial"/>
                <w:sz w:val="18"/>
                <w:szCs w:val="18"/>
                <w:color w:val="auto"/>
              </w:rPr>
              <w:t>13G</w:t>
            </w:r>
          </w:p>
        </w:tc>
        <w:tc>
          <w:tcPr>
            <w:tcW w:w="1640" w:type="dxa"/>
            <w:vAlign w:val="bottom"/>
          </w:tcPr>
          <w:p>
            <w:pPr>
              <w:ind w:left="740"/>
              <w:spacing w:after="0"/>
              <w:rPr>
                <w:sz w:val="20"/>
                <w:szCs w:val="20"/>
                <w:color w:val="auto"/>
              </w:rPr>
            </w:pPr>
            <w:r>
              <w:rPr>
                <w:rFonts w:ascii="Arial" w:cs="Arial" w:eastAsia="Arial" w:hAnsi="Arial"/>
                <w:sz w:val="18"/>
                <w:szCs w:val="18"/>
                <w:color w:val="auto"/>
                <w:w w:val="86"/>
              </w:rPr>
              <w:t>Page 8 of 11</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460" w:type="dxa"/>
            <w:vAlign w:val="bottom"/>
          </w:tcPr>
          <w:p>
            <w:pPr>
              <w:spacing w:after="0"/>
              <w:rPr>
                <w:sz w:val="20"/>
                <w:szCs w:val="20"/>
                <w:color w:val="auto"/>
              </w:rPr>
            </w:pPr>
            <w:r>
              <w:rPr>
                <w:rFonts w:ascii="Arial" w:cs="Arial" w:eastAsia="Arial" w:hAnsi="Arial"/>
                <w:sz w:val="18"/>
                <w:szCs w:val="18"/>
                <w:color w:val="auto"/>
              </w:rPr>
              <w:t>Name of Issuer: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Sema4 Holding Corp.</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46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333 Ludlow Street, North Tower, 8th Floor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Stamford, Connecticut 06902</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460" w:type="dxa"/>
            <w:vAlign w:val="bottom"/>
          </w:tcPr>
          <w:p>
            <w:pPr>
              <w:spacing w:after="0"/>
              <w:rPr>
                <w:sz w:val="20"/>
                <w:szCs w:val="20"/>
                <w:color w:val="auto"/>
              </w:rPr>
            </w:pPr>
            <w:r>
              <w:rPr>
                <w:rFonts w:ascii="Arial" w:cs="Arial" w:eastAsia="Arial" w:hAnsi="Arial"/>
                <w:sz w:val="18"/>
                <w:szCs w:val="18"/>
                <w:color w:val="auto"/>
              </w:rPr>
              <w:t>Name of Person Filing:</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Mgmt V, L.P., Deerfield Management Company, L.P., Deerfield Partners, L.P. and Deerfield</w:t>
            </w: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Private Design Fund V, L.P.</w:t>
            </w:r>
          </w:p>
        </w:tc>
        <w:tc>
          <w:tcPr>
            <w:tcW w:w="4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460" w:type="dxa"/>
            <w:vAlign w:val="bottom"/>
          </w:tcPr>
          <w:p>
            <w:pPr>
              <w:spacing w:after="0"/>
              <w:rPr>
                <w:sz w:val="20"/>
                <w:szCs w:val="20"/>
                <w:color w:val="auto"/>
              </w:rPr>
            </w:pPr>
            <w:r>
              <w:rPr>
                <w:rFonts w:ascii="Arial" w:cs="Arial" w:eastAsia="Arial" w:hAnsi="Arial"/>
                <w:sz w:val="18"/>
                <w:szCs w:val="18"/>
                <w:color w:val="auto"/>
                <w:w w:val="92"/>
              </w:rPr>
              <w:t>Address of Principal Business Office, or if None, Residence:</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2"/>
              </w:rPr>
              <w:t>James E. Flynn, Deerfield Mgmt, L.P., Deerfield Mgmt V, L.P., Deerfield Management Company, L.P., Deerfield Partners, L.P. and Deerfield</w:t>
            </w:r>
          </w:p>
        </w:tc>
      </w:tr>
      <w:tr>
        <w:trPr>
          <w:trHeight w:val="237"/>
        </w:trPr>
        <w:tc>
          <w:tcPr>
            <w:tcW w:w="920" w:type="dxa"/>
            <w:vAlign w:val="bottom"/>
          </w:tcPr>
          <w:p>
            <w:pPr>
              <w:spacing w:after="0"/>
              <w:rPr>
                <w:sz w:val="20"/>
                <w:szCs w:val="20"/>
                <w:color w:val="auto"/>
              </w:rPr>
            </w:pPr>
          </w:p>
        </w:tc>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Private Design Fund V, L.P., 345 Park Avenue South, 12th Floor, New York, NY 10010</w:t>
            </w:r>
          </w:p>
        </w:tc>
        <w:tc>
          <w:tcPr>
            <w:tcW w:w="164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460" w:type="dxa"/>
            <w:vAlign w:val="bottom"/>
          </w:tcPr>
          <w:p>
            <w:pPr>
              <w:spacing w:after="0"/>
              <w:rPr>
                <w:sz w:val="20"/>
                <w:szCs w:val="20"/>
                <w:color w:val="auto"/>
              </w:rPr>
            </w:pPr>
            <w:r>
              <w:rPr>
                <w:rFonts w:ascii="Arial" w:cs="Arial" w:eastAsia="Arial" w:hAnsi="Arial"/>
                <w:sz w:val="18"/>
                <w:szCs w:val="18"/>
                <w:color w:val="auto"/>
              </w:rPr>
              <w:t>Citizenship:</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3"/>
              </w:rPr>
              <w:t>Deerfield Mgmt, L.P., Deerfield Mgmt V, L.P., Deerfield Management Company, L.P., Deerfield Partners, L.P. and Deerfield Private Design</w:t>
            </w:r>
          </w:p>
        </w:tc>
      </w:tr>
      <w:tr>
        <w:trPr>
          <w:trHeight w:val="230"/>
        </w:trPr>
        <w:tc>
          <w:tcPr>
            <w:tcW w:w="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Fund V, L.P. - Delaware limited partnerships;</w:t>
            </w:r>
          </w:p>
        </w:tc>
        <w:tc>
          <w:tcPr>
            <w:tcW w:w="42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46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Common Stock</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460" w:type="dxa"/>
            <w:vAlign w:val="bottom"/>
          </w:tcPr>
          <w:p>
            <w:pPr>
              <w:spacing w:after="0"/>
              <w:rPr>
                <w:sz w:val="20"/>
                <w:szCs w:val="20"/>
                <w:color w:val="auto"/>
              </w:rPr>
            </w:pPr>
            <w:r>
              <w:rPr>
                <w:rFonts w:ascii="Arial" w:cs="Arial" w:eastAsia="Arial" w:hAnsi="Arial"/>
                <w:sz w:val="18"/>
                <w:szCs w:val="18"/>
                <w:color w:val="auto"/>
              </w:rPr>
              <w:t>CUSIP Number: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81663L101</w:t>
            </w:r>
          </w:p>
        </w:tc>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2"/>
          </w:tcPr>
          <w:p>
            <w:pPr>
              <w:spacing w:after="0"/>
              <w:rPr>
                <w:sz w:val="20"/>
                <w:szCs w:val="20"/>
                <w:color w:val="auto"/>
              </w:rPr>
            </w:pPr>
            <w:r>
              <w:rPr>
                <w:rFonts w:ascii="Arial" w:cs="Arial" w:eastAsia="Arial" w:hAnsi="Arial"/>
                <w:sz w:val="18"/>
                <w:szCs w:val="18"/>
                <w:color w:val="auto"/>
                <w:w w:val="99"/>
              </w:rPr>
              <w:t>If This Statement is Filed Pursuant to Rule 13d-1(b), or 13d-2(b) or (c), Check Whether the Person Filing is a:</w:t>
            </w:r>
          </w:p>
        </w:tc>
        <w:tc>
          <w:tcPr>
            <w:tcW w:w="164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tabs>
          <w:tab w:leader="none" w:pos="1160" w:val="left"/>
          <w:tab w:leader="none" w:pos="5460" w:val="left"/>
          <w:tab w:leader="none" w:pos="103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60" w:hanging="656"/>
        <w:spacing w:after="0" w:line="196" w:lineRule="exact"/>
        <w:tabs>
          <w:tab w:leader="none" w:pos="1060" w:val="left"/>
        </w:tabs>
        <w:numPr>
          <w:ilvl w:val="0"/>
          <w:numId w:val="2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60" w:hanging="656"/>
        <w:spacing w:after="0" w:line="207" w:lineRule="exact"/>
        <w:tabs>
          <w:tab w:leader="none" w:pos="106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right="7240"/>
        <w:spacing w:after="0" w:line="291" w:lineRule="auto"/>
        <w:rPr>
          <w:rFonts w:ascii="Arial" w:cs="Arial" w:eastAsia="Arial" w:hAnsi="Arial"/>
          <w:sz w:val="18"/>
          <w:szCs w:val="18"/>
          <w:color w:val="auto"/>
        </w:rPr>
      </w:pPr>
      <w:r>
        <w:rPr>
          <w:rFonts w:ascii="Arial" w:cs="Arial" w:eastAsia="Arial" w:hAnsi="Arial"/>
          <w:sz w:val="16"/>
          <w:szCs w:val="16"/>
          <w:color w:val="auto"/>
        </w:rPr>
        <w:t>Deerfield Mgmt, L.P. - 6,924,244 shares Deerfield Mgmt V, L.P. – 6,924,244 shares</w:t>
      </w:r>
    </w:p>
    <w:p>
      <w:pPr>
        <w:ind w:left="920" w:right="610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- 13,848,488 shares Deerfield Partners, L.P. - 6,924,244 shares</w:t>
      </w:r>
    </w:p>
    <w:p>
      <w:pPr>
        <w:ind w:left="920" w:right="6200"/>
        <w:spacing w:after="0" w:line="260" w:lineRule="auto"/>
        <w:rPr>
          <w:rFonts w:ascii="Arial" w:cs="Arial" w:eastAsia="Arial" w:hAnsi="Arial"/>
          <w:sz w:val="18"/>
          <w:szCs w:val="18"/>
          <w:color w:val="auto"/>
        </w:rPr>
      </w:pPr>
      <w:r>
        <w:rPr>
          <w:rFonts w:ascii="Arial" w:cs="Arial" w:eastAsia="Arial" w:hAnsi="Arial"/>
          <w:sz w:val="18"/>
          <w:szCs w:val="18"/>
          <w:color w:val="auto"/>
        </w:rPr>
        <w:t>Deerfield Private Design Fund V, L.P. – 6,924,244 shares James E. Flynn – 13,848,488 shares</w:t>
      </w:r>
    </w:p>
    <w:p>
      <w:pPr>
        <w:spacing w:after="0" w:line="212" w:lineRule="exact"/>
        <w:rPr>
          <w:rFonts w:ascii="Arial" w:cs="Arial" w:eastAsia="Arial" w:hAnsi="Arial"/>
          <w:sz w:val="18"/>
          <w:szCs w:val="18"/>
          <w:color w:val="auto"/>
        </w:rPr>
      </w:pPr>
    </w:p>
    <w:p>
      <w:pPr>
        <w:ind w:left="920" w:hanging="51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right="8000"/>
        <w:spacing w:after="0" w:line="291" w:lineRule="auto"/>
        <w:rPr>
          <w:rFonts w:ascii="Arial" w:cs="Arial" w:eastAsia="Arial" w:hAnsi="Arial"/>
          <w:sz w:val="18"/>
          <w:szCs w:val="18"/>
          <w:color w:val="auto"/>
        </w:rPr>
      </w:pPr>
      <w:r>
        <w:rPr>
          <w:rFonts w:ascii="Arial" w:cs="Arial" w:eastAsia="Arial" w:hAnsi="Arial"/>
          <w:sz w:val="16"/>
          <w:szCs w:val="16"/>
          <w:color w:val="auto"/>
        </w:rPr>
        <w:t>Deerfield Mgmt, L.P. – 2.88% Deerfield Mgmt V, L.P. – 2.88%</w:t>
      </w:r>
    </w:p>
    <w:p>
      <w:pPr>
        <w:ind w:left="920" w:right="692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5.77% Deerfield Partners, L.P. - 2.88%</w:t>
      </w:r>
    </w:p>
    <w:p>
      <w:pPr>
        <w:ind w:left="920" w:right="6960"/>
        <w:spacing w:after="0" w:line="260" w:lineRule="auto"/>
        <w:rPr>
          <w:rFonts w:ascii="Arial" w:cs="Arial" w:eastAsia="Arial" w:hAnsi="Arial"/>
          <w:sz w:val="18"/>
          <w:szCs w:val="18"/>
          <w:color w:val="auto"/>
        </w:rPr>
      </w:pPr>
      <w:r>
        <w:rPr>
          <w:rFonts w:ascii="Arial" w:cs="Arial" w:eastAsia="Arial" w:hAnsi="Arial"/>
          <w:sz w:val="18"/>
          <w:szCs w:val="18"/>
          <w:color w:val="auto"/>
        </w:rPr>
        <w:t>Deerfield Private Design Fund V, L.P. – 2.88% James E. Flynn – 5.77%</w:t>
      </w:r>
    </w:p>
    <w:p>
      <w:pPr>
        <w:spacing w:after="0" w:line="212" w:lineRule="exact"/>
        <w:rPr>
          <w:rFonts w:ascii="Arial" w:cs="Arial" w:eastAsia="Arial" w:hAnsi="Arial"/>
          <w:sz w:val="18"/>
          <w:szCs w:val="18"/>
          <w:color w:val="auto"/>
        </w:rPr>
      </w:pPr>
    </w:p>
    <w:p>
      <w:pPr>
        <w:ind w:left="920" w:hanging="516"/>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-276225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-1527810</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20" w:type="dxa"/>
            <w:vAlign w:val="bottom"/>
          </w:tcPr>
          <w:p>
            <w:pPr>
              <w:spacing w:after="0"/>
              <w:rPr>
                <w:sz w:val="20"/>
                <w:szCs w:val="20"/>
                <w:color w:val="auto"/>
              </w:rPr>
            </w:pPr>
            <w:r>
              <w:rPr>
                <w:rFonts w:ascii="Arial" w:cs="Arial" w:eastAsia="Arial" w:hAnsi="Arial"/>
                <w:sz w:val="18"/>
                <w:szCs w:val="18"/>
                <w:color w:val="auto"/>
              </w:rPr>
              <w:t>Deerfield Mgmt,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Mgmt V,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- 13,848,488</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Private Design Fund V, L.P. – 6,924,244</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13,848,488</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20" w:type="dxa"/>
            <w:vAlign w:val="bottom"/>
          </w:tcPr>
          <w:p>
            <w:pPr>
              <w:spacing w:after="0"/>
              <w:rPr>
                <w:sz w:val="20"/>
                <w:szCs w:val="20"/>
                <w:color w:val="auto"/>
              </w:rPr>
            </w:pPr>
            <w:r>
              <w:rPr>
                <w:rFonts w:ascii="Arial" w:cs="Arial" w:eastAsia="Arial" w:hAnsi="Arial"/>
                <w:sz w:val="18"/>
                <w:szCs w:val="18"/>
                <w:color w:val="auto"/>
              </w:rPr>
              <w:t>Deerfield Mgmt,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Mgmt V,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- 13,848,488</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- 6,924,244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Private Design Fund V, L.P. – 6,924,244</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13,848,488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tabs>
          <w:tab w:leader="none" w:pos="1160" w:val="left"/>
          <w:tab w:leader="none" w:pos="5460" w:val="left"/>
          <w:tab w:leader="none" w:pos="102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tabs>
          <w:tab w:leader="none" w:pos="1160" w:val="left"/>
          <w:tab w:leader="none" w:pos="5460" w:val="left"/>
          <w:tab w:leader="none" w:pos="102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81663L101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V,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ind w:right="40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Sema4 Holding Corp. shall be filed on behalf of the undersigned.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V,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3" w:name="page14"/>
    <w:bookmarkEnd w:id="13"/>
    <w:p>
      <w:pPr>
        <w:jc w:val="center"/>
        <w:ind w:right="-2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each of the undersigned hereby constitutes and appoints each of Jonathan Isler, and David J. Clark, each signing singly, the undersigned’s true and lawful attorney-in-fact to:</w:t>
      </w:r>
    </w:p>
    <w:p>
      <w:pPr>
        <w:spacing w:after="0" w:line="170"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 for and on behalf of the undersigned (i) Forms 3, 4 and 5 (and all amendments thereto) in accordance with Section 16(a) of the Securities Exchange Act of 1934, as amended (the “Exchange Act”), and the rules thereunder and (ii) reports on Schedule 13G and Schedule 13D (and all amendments thereto) in accordance with Section 13 of the Exchange Act and the rules thereunder, in each case with respect to the beneficial ownership of securities by the undersigned;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Schedule 13G or Schedule 13D, complete and execute any amendment or amendments thereto, and file such form with the United States Securities and Exchange Commission and any stock exchange or similar authority; and</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13 or Section 16 of the Exchange Act.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Power of Attorney shall remain in full force and effect until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color w:val="auto"/>
        </w:rPr>
        <w:t>IN WITNESS WHEREOF, each of the undersigned has caused this Power of Attorney to be executed as of this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of August,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PDI FINANCING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INTERNATIONAL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345" w:right="10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DEERFIELD PRIVATE DESIGN FUND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III,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III,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III,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IV,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HIF,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HIF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DEERFIELD MGMT IV, L.P.</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J.E. Flynn Capital IV,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DEERFIELD HEALTHCARE INNOVATIONS FUND, L.P.</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5"/>
              </w:rPr>
              <w:t>Deerfield Mgmt HIF, L.P., General Partner</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1"/>
              </w:rPr>
              <w:t>J.E. Flynn Capital HIF LLC, General Partner</w:t>
            </w:r>
          </w:p>
        </w:tc>
      </w:tr>
      <w:tr>
        <w:trPr>
          <w:trHeight w:val="39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James E. Flynn</w:t>
            </w:r>
          </w:p>
        </w:tc>
        <w:tc>
          <w:tcPr>
            <w:tcW w:w="1920" w:type="dxa"/>
            <w:vAlign w:val="bottom"/>
          </w:tcPr>
          <w:p>
            <w:pPr>
              <w:spacing w:after="0"/>
              <w:rPr>
                <w:sz w:val="24"/>
                <w:szCs w:val="24"/>
                <w:color w:val="auto"/>
              </w:rPr>
            </w:pPr>
          </w:p>
        </w:tc>
      </w:tr>
      <w:tr>
        <w:trPr>
          <w:trHeight w:val="236"/>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James E. Flynn, President</w:t>
            </w:r>
          </w:p>
        </w:tc>
      </w:tr>
      <w:tr>
        <w:trPr>
          <w:trHeight w:val="702"/>
        </w:trPr>
        <w:tc>
          <w:tcPr>
            <w:tcW w:w="3820" w:type="dxa"/>
            <w:vAlign w:val="bottom"/>
            <w:gridSpan w:val="4"/>
          </w:tcPr>
          <w:p>
            <w:pPr>
              <w:spacing w:after="0"/>
              <w:rPr>
                <w:sz w:val="20"/>
                <w:szCs w:val="20"/>
                <w:color w:val="auto"/>
              </w:rPr>
            </w:pPr>
            <w:r>
              <w:rPr>
                <w:rFonts w:ascii="Arial" w:cs="Arial" w:eastAsia="Arial" w:hAnsi="Arial"/>
                <w:sz w:val="18"/>
                <w:szCs w:val="18"/>
                <w:color w:val="auto"/>
              </w:rPr>
              <w:t>DEERFIELD MGMT HIF, L.P.</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w w:val="92"/>
              </w:rPr>
              <w:t>J.E. Flynn Capital HIF LLC, General Partner</w:t>
            </w:r>
          </w:p>
        </w:tc>
      </w:tr>
    </w:tbl>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E. Flynn,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BREAKING STICK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Management Company, L.P., Manager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DEERFIELD PRIVATE DESIGN FUND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V,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V,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DEERFIELD MGMT V, L.P.</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J.E. Flynn Capital V,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E. Flynn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DEERFIELD HEALTHCARE INNOVATIONS FUND II, 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HIF II, L.P.,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 Flynn Capital HIF II LLC,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E. Flynn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E. Flynn,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E. Flynn</w:t>
      </w:r>
    </w:p>
    <w:sectPr>
      <w:pgSz w:w="11900" w:h="16838" w:orient="portrait"/>
      <w:cols w:equalWidth="0" w:num="1">
        <w:col w:w="10139"/>
      </w:cols>
      <w:pgMar w:left="320"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9"/>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2021-08-02T11:58:42Z</dcterms:created>
  <dcterms:modified xsi:type="dcterms:W3CDTF">2021-08-02T11:58:42Z</dcterms:modified>
</cp:coreProperties>
</file>