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26, 2022</w:t>
      </w:r>
    </w:p>
    <w:p>
      <w:pPr>
        <w:spacing w:after="0" w:line="17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16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S-3</w:t>
      </w:r>
    </w:p>
    <w:p>
      <w:pPr>
        <w:spacing w:after="0" w:line="6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160"/>
          </w:cols>
          <w:pgMar w:left="320" w:top="468" w:right="419" w:bottom="296" w:gutter="0" w:footer="0" w:header="0"/>
        </w:sectPr>
      </w:pPr>
    </w:p>
    <w:p>
      <w:pPr>
        <w:spacing w:after="0" w:line="2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26" w:lineRule="exact"/>
        <w:rPr>
          <w:sz w:val="24"/>
          <w:szCs w:val="24"/>
          <w:color w:val="auto"/>
        </w:rPr>
      </w:pPr>
    </w:p>
    <w:p>
      <w:pPr>
        <w:sectPr>
          <w:pgSz w:w="11900" w:h="16838" w:orient="portrait"/>
          <w:cols w:equalWidth="0" w:num="2">
            <w:col w:w="8200" w:space="720"/>
            <w:col w:w="2240"/>
          </w:cols>
          <w:pgMar w:left="320" w:top="468" w:right="419" w:bottom="296"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8080" w:space="720"/>
            <w:col w:w="2360"/>
          </w:cols>
          <w:pgMar w:left="320" w:top="468" w:right="419" w:bottom="296" w:gutter="0" w:footer="0" w:header="0"/>
          <w:type w:val="continuous"/>
        </w:sectPr>
      </w:pP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8th Floor</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(800) 298-6470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Katherine Stueland</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8th Floor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(800) 298-6470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147" w:lineRule="exact"/>
        <w:rPr>
          <w:sz w:val="24"/>
          <w:szCs w:val="24"/>
          <w:color w:val="auto"/>
        </w:rPr>
      </w:pPr>
    </w:p>
    <w:tbl>
      <w:tblPr>
        <w:tblLayout w:type="fixed"/>
        <w:tblInd w:w="186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540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89"/>
        </w:trPr>
        <w:tc>
          <w:tcPr>
            <w:tcW w:w="264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Ethan Skerry</w:t>
            </w:r>
          </w:p>
        </w:tc>
        <w:tc>
          <w:tcPr>
            <w:tcW w:w="5400" w:type="dxa"/>
            <w:vAlign w:val="bottom"/>
          </w:tcPr>
          <w:p>
            <w:pPr>
              <w:jc w:val="center"/>
              <w:ind w:left="2378"/>
              <w:spacing w:after="0"/>
              <w:rPr>
                <w:sz w:val="20"/>
                <w:szCs w:val="20"/>
                <w:color w:val="auto"/>
              </w:rPr>
            </w:pPr>
            <w:r>
              <w:rPr>
                <w:rFonts w:ascii="Times New Roman" w:cs="Times New Roman" w:eastAsia="Times New Roman" w:hAnsi="Times New Roman"/>
                <w:sz w:val="16"/>
                <w:szCs w:val="16"/>
                <w:b w:val="1"/>
                <w:bCs w:val="1"/>
                <w:color w:val="auto"/>
              </w:rPr>
              <w:t>Katherine Stueland</w:t>
            </w:r>
          </w:p>
        </w:tc>
      </w:tr>
      <w:tr>
        <w:trPr>
          <w:trHeight w:val="162"/>
        </w:trPr>
        <w:tc>
          <w:tcPr>
            <w:tcW w:w="2640" w:type="dxa"/>
            <w:vAlign w:val="bottom"/>
          </w:tcPr>
          <w:p>
            <w:pPr>
              <w:jc w:val="center"/>
              <w:ind w:right="639"/>
              <w:spacing w:after="0" w:line="162" w:lineRule="exact"/>
              <w:rPr>
                <w:sz w:val="20"/>
                <w:szCs w:val="20"/>
                <w:color w:val="auto"/>
              </w:rPr>
            </w:pPr>
            <w:r>
              <w:rPr>
                <w:rFonts w:ascii="Times New Roman" w:cs="Times New Roman" w:eastAsia="Times New Roman" w:hAnsi="Times New Roman"/>
                <w:sz w:val="16"/>
                <w:szCs w:val="16"/>
                <w:b w:val="1"/>
                <w:bCs w:val="1"/>
                <w:color w:val="auto"/>
                <w:w w:val="99"/>
              </w:rPr>
              <w:t>Per B. Chilstrom</w:t>
            </w:r>
          </w:p>
        </w:tc>
        <w:tc>
          <w:tcPr>
            <w:tcW w:w="5400" w:type="dxa"/>
            <w:vAlign w:val="bottom"/>
          </w:tcPr>
          <w:p>
            <w:pPr>
              <w:jc w:val="center"/>
              <w:ind w:left="2378"/>
              <w:spacing w:after="0" w:line="162" w:lineRule="exact"/>
              <w:rPr>
                <w:sz w:val="20"/>
                <w:szCs w:val="20"/>
                <w:color w:val="auto"/>
              </w:rPr>
            </w:pPr>
            <w:r>
              <w:rPr>
                <w:rFonts w:ascii="Times New Roman" w:cs="Times New Roman" w:eastAsia="Times New Roman" w:hAnsi="Times New Roman"/>
                <w:sz w:val="16"/>
                <w:szCs w:val="16"/>
                <w:b w:val="1"/>
                <w:bCs w:val="1"/>
                <w:color w:val="auto"/>
              </w:rPr>
              <w:t>Chief Executive Officer</w:t>
            </w:r>
          </w:p>
        </w:tc>
      </w:tr>
      <w:tr>
        <w:trPr>
          <w:trHeight w:val="162"/>
        </w:trPr>
        <w:tc>
          <w:tcPr>
            <w:tcW w:w="2640" w:type="dxa"/>
            <w:vAlign w:val="bottom"/>
          </w:tcPr>
          <w:p>
            <w:pPr>
              <w:jc w:val="center"/>
              <w:ind w:right="659"/>
              <w:spacing w:after="0" w:line="162" w:lineRule="exact"/>
              <w:rPr>
                <w:sz w:val="20"/>
                <w:szCs w:val="20"/>
                <w:color w:val="auto"/>
              </w:rPr>
            </w:pPr>
            <w:r>
              <w:rPr>
                <w:rFonts w:ascii="Times New Roman" w:cs="Times New Roman" w:eastAsia="Times New Roman" w:hAnsi="Times New Roman"/>
                <w:sz w:val="16"/>
                <w:szCs w:val="16"/>
                <w:b w:val="1"/>
                <w:bCs w:val="1"/>
                <w:color w:val="auto"/>
              </w:rPr>
              <w:t>Fenwick &amp; West LLP</w:t>
            </w:r>
          </w:p>
        </w:tc>
        <w:tc>
          <w:tcPr>
            <w:tcW w:w="5400" w:type="dxa"/>
            <w:vAlign w:val="bottom"/>
          </w:tcPr>
          <w:p>
            <w:pPr>
              <w:jc w:val="center"/>
              <w:ind w:left="2398"/>
              <w:spacing w:after="0" w:line="162" w:lineRule="exact"/>
              <w:rPr>
                <w:sz w:val="20"/>
                <w:szCs w:val="20"/>
                <w:color w:val="auto"/>
              </w:rPr>
            </w:pPr>
            <w:r>
              <w:rPr>
                <w:rFonts w:ascii="Times New Roman" w:cs="Times New Roman" w:eastAsia="Times New Roman" w:hAnsi="Times New Roman"/>
                <w:sz w:val="16"/>
                <w:szCs w:val="16"/>
                <w:b w:val="1"/>
                <w:bCs w:val="1"/>
                <w:color w:val="auto"/>
              </w:rPr>
              <w:t>Sema4 Holdings Corp.</w:t>
            </w:r>
          </w:p>
        </w:tc>
      </w:tr>
      <w:tr>
        <w:trPr>
          <w:trHeight w:val="162"/>
        </w:trPr>
        <w:tc>
          <w:tcPr>
            <w:tcW w:w="2640" w:type="dxa"/>
            <w:vAlign w:val="bottom"/>
          </w:tcPr>
          <w:p>
            <w:pPr>
              <w:jc w:val="center"/>
              <w:ind w:right="639"/>
              <w:spacing w:after="0" w:line="162" w:lineRule="exact"/>
              <w:rPr>
                <w:sz w:val="20"/>
                <w:szCs w:val="20"/>
                <w:color w:val="auto"/>
              </w:rPr>
            </w:pPr>
            <w:r>
              <w:rPr>
                <w:rFonts w:ascii="Times New Roman" w:cs="Times New Roman" w:eastAsia="Times New Roman" w:hAnsi="Times New Roman"/>
                <w:sz w:val="16"/>
                <w:szCs w:val="16"/>
                <w:b w:val="1"/>
                <w:bCs w:val="1"/>
                <w:color w:val="auto"/>
              </w:rPr>
              <w:t>902 Broadway</w:t>
            </w:r>
          </w:p>
        </w:tc>
        <w:tc>
          <w:tcPr>
            <w:tcW w:w="5400" w:type="dxa"/>
            <w:vAlign w:val="bottom"/>
          </w:tcPr>
          <w:p>
            <w:pPr>
              <w:jc w:val="center"/>
              <w:ind w:left="2378"/>
              <w:spacing w:after="0" w:line="162" w:lineRule="exact"/>
              <w:rPr>
                <w:sz w:val="20"/>
                <w:szCs w:val="20"/>
                <w:color w:val="auto"/>
              </w:rPr>
            </w:pPr>
            <w:r>
              <w:rPr>
                <w:rFonts w:ascii="Times New Roman" w:cs="Times New Roman" w:eastAsia="Times New Roman" w:hAnsi="Times New Roman"/>
                <w:sz w:val="16"/>
                <w:szCs w:val="16"/>
                <w:b w:val="1"/>
                <w:bCs w:val="1"/>
                <w:color w:val="auto"/>
                <w:w w:val="99"/>
              </w:rPr>
              <w:t>333 Ludlow Street, North Tower, 8th Floor</w:t>
            </w:r>
          </w:p>
        </w:tc>
      </w:tr>
      <w:tr>
        <w:trPr>
          <w:trHeight w:val="162"/>
        </w:trPr>
        <w:tc>
          <w:tcPr>
            <w:tcW w:w="2640" w:type="dxa"/>
            <w:vAlign w:val="bottom"/>
          </w:tcPr>
          <w:p>
            <w:pPr>
              <w:jc w:val="center"/>
              <w:ind w:right="6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New York, New York 10010</w:t>
            </w:r>
          </w:p>
        </w:tc>
        <w:tc>
          <w:tcPr>
            <w:tcW w:w="5400" w:type="dxa"/>
            <w:vAlign w:val="bottom"/>
          </w:tcPr>
          <w:p>
            <w:pPr>
              <w:jc w:val="center"/>
              <w:ind w:left="2378"/>
              <w:spacing w:after="0" w:line="162" w:lineRule="exact"/>
              <w:rPr>
                <w:sz w:val="20"/>
                <w:szCs w:val="20"/>
                <w:color w:val="auto"/>
              </w:rPr>
            </w:pPr>
            <w:r>
              <w:rPr>
                <w:rFonts w:ascii="Times New Roman" w:cs="Times New Roman" w:eastAsia="Times New Roman" w:hAnsi="Times New Roman"/>
                <w:sz w:val="16"/>
                <w:szCs w:val="16"/>
                <w:b w:val="1"/>
                <w:bCs w:val="1"/>
                <w:color w:val="auto"/>
              </w:rPr>
              <w:t>Stamford, Connecticut 06902</w:t>
            </w:r>
          </w:p>
        </w:tc>
      </w:tr>
      <w:tr>
        <w:trPr>
          <w:trHeight w:val="212"/>
        </w:trPr>
        <w:tc>
          <w:tcPr>
            <w:tcW w:w="2640" w:type="dxa"/>
            <w:vAlign w:val="bottom"/>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(212) 430-2600</w:t>
            </w:r>
          </w:p>
        </w:tc>
        <w:tc>
          <w:tcPr>
            <w:tcW w:w="5400" w:type="dxa"/>
            <w:vAlign w:val="bottom"/>
          </w:tcPr>
          <w:p>
            <w:pPr>
              <w:jc w:val="center"/>
              <w:ind w:left="2378"/>
              <w:spacing w:after="0"/>
              <w:rPr>
                <w:sz w:val="20"/>
                <w:szCs w:val="20"/>
                <w:color w:val="auto"/>
              </w:rPr>
            </w:pPr>
            <w:r>
              <w:rPr>
                <w:rFonts w:ascii="Times New Roman" w:cs="Times New Roman" w:eastAsia="Times New Roman" w:hAnsi="Times New Roman"/>
                <w:sz w:val="16"/>
                <w:szCs w:val="16"/>
                <w:b w:val="1"/>
                <w:bCs w:val="1"/>
                <w:color w:val="auto"/>
              </w:rPr>
              <w:t>(800) 298-6470</w:t>
            </w:r>
          </w:p>
        </w:tc>
      </w:tr>
    </w:tbl>
    <w:p>
      <w:pPr>
        <w:spacing w:after="0" w:line="200" w:lineRule="exact"/>
        <w:rPr>
          <w:sz w:val="24"/>
          <w:szCs w:val="24"/>
          <w:color w:val="auto"/>
        </w:rPr>
      </w:pP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r>
        <w:rPr>
          <w:rFonts w:ascii="Times New Roman" w:cs="Times New Roman" w:eastAsia="Times New Roman" w:hAnsi="Times New Roman"/>
          <w:sz w:val="16"/>
          <w:szCs w:val="16"/>
          <w:color w:val="auto"/>
        </w:rPr>
        <w:t>: From time to time after the effective date of this Registration Statement.</w:t>
      </w:r>
    </w:p>
    <w:p>
      <w:pPr>
        <w:spacing w:after="0" w:line="14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3" w:lineRule="exact"/>
        <w:rPr>
          <w:sz w:val="24"/>
          <w:szCs w:val="24"/>
          <w:color w:val="auto"/>
        </w:rPr>
      </w:pPr>
    </w:p>
    <w:p>
      <w:pPr>
        <w:ind w:right="80"/>
        <w:spacing w:after="0" w:line="209"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right="160"/>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9" w:lineRule="exact"/>
        <w:rPr>
          <w:sz w:val="24"/>
          <w:szCs w:val="24"/>
          <w:color w:val="auto"/>
        </w:rPr>
      </w:pPr>
    </w:p>
    <w:p>
      <w:pPr>
        <w:ind w:right="8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9" w:lineRule="exact"/>
        <w:rPr>
          <w:sz w:val="24"/>
          <w:szCs w:val="24"/>
          <w:color w:val="auto"/>
        </w:rPr>
      </w:pPr>
    </w:p>
    <w:p>
      <w:pPr>
        <w:ind w:right="72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69" w:lineRule="exact"/>
        <w:rPr>
          <w:sz w:val="24"/>
          <w:szCs w:val="24"/>
          <w:color w:val="auto"/>
        </w:rPr>
      </w:pPr>
    </w:p>
    <w:p>
      <w:pPr>
        <w:ind w:right="40"/>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2" w:lineRule="exact"/>
        <w:rPr>
          <w:sz w:val="24"/>
          <w:szCs w:val="24"/>
          <w:color w:val="auto"/>
        </w:rPr>
      </w:pPr>
    </w:p>
    <w:p>
      <w:pPr>
        <w:ind w:right="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0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0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514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17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140" w:type="dxa"/>
            <w:vAlign w:val="bottom"/>
          </w:tcPr>
          <w:p>
            <w:pPr>
              <w:ind w:left="34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21" w:lineRule="exact"/>
        <w:rPr>
          <w:sz w:val="24"/>
          <w:szCs w:val="24"/>
          <w:color w:val="auto"/>
        </w:rPr>
      </w:pPr>
    </w:p>
    <w:p>
      <w:pPr>
        <w:ind w:right="20"/>
        <w:spacing w:after="0" w:line="270"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160"/>
          </w:cols>
          <w:pgMar w:left="320" w:top="468" w:right="419" w:bottom="296" w:gutter="0" w:footer="0" w:header="0"/>
          <w:type w:val="continuous"/>
        </w:sectPr>
      </w:pPr>
    </w:p>
    <w:bookmarkStart w:id="1" w:name="page2"/>
    <w:bookmarkEnd w:id="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STATEMENT PURSUANT TO RULE 429</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registrant is filing a single prospectus in this registration statement pursuant to Rule 429 under the Securities Act of 1933, as amended (the “Securities Act”). The prospectus is a combined prospectus relating to: (A) (i) an aggregate of 197,195,002 shares of Class A common stock, par value $0.0001 per share (the “Class A common stock”), of Sema4 Holdings Corp., a Delaware corporation, (ii) 7,236,667 warrants to purchase Class A common stock at an exercise price of $11.50 per share, and (iii) 21,994,972 shares of Class A common stock issuable upon the exercise of outstanding warrants, registered under a registration statement on Form S-1 (File No. 333-258467), originally filed with the Securities and Exchange Commission (the “SEC”) on August 4, 2021; and (B) 160,864,198 Class A common stock registered under a registration statement on Form S-1 (File No. 333-264626), originally filed with the SEC on May 2, 2022 (the foregoing registration statements, in each case as amended and/or supplemented, collectively, the “Prior Registration Statements”). Pursuant to Rule 429 under the Securities Act, this registration statement on Form S-3 upon effectiveness will serve as a post-effective amendment to each of the Prior Registration Statements. Such post-effective amendment shall hereafter become effective concurrently with the effectiveness of this registration statement and in accordance with Section 8(c) of, and Rule 429 under, the Securities Act.</w:t>
      </w:r>
    </w:p>
    <w:p>
      <w:pPr>
        <w:sectPr>
          <w:pgSz w:w="11900" w:h="16838" w:orient="portrait"/>
          <w:cols w:equalWidth="0" w:num="1">
            <w:col w:w="11220"/>
          </w:cols>
          <w:pgMar w:left="320" w:top="1440" w:right="359" w:bottom="1440" w:gutter="0" w:footer="0" w:header="0"/>
        </w:sectPr>
      </w:pPr>
    </w:p>
    <w:bookmarkStart w:id="2" w:name="page3"/>
    <w:bookmarkEnd w:id="2"/>
    <w:p>
      <w:pPr>
        <w:ind w:right="60"/>
        <w:spacing w:after="0" w:line="268" w:lineRule="auto"/>
        <w:rPr>
          <w:sz w:val="20"/>
          <w:szCs w:val="20"/>
          <w:color w:val="auto"/>
        </w:rPr>
      </w:pPr>
      <w:r>
        <w:rPr>
          <w:rFonts w:ascii="Times New Roman" w:cs="Times New Roman" w:eastAsia="Times New Roman" w:hAnsi="Times New Roman"/>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1665F"/>
        </w:rPr>
        <w:t>SUBJECT TO COMPLETION, DATED AUGUST 26,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122555</wp:posOffset>
            </wp:positionV>
            <wp:extent cx="1465580" cy="445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55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Sema4 Holdings Corp.</w:t>
      </w:r>
    </w:p>
    <w:p>
      <w:pPr>
        <w:spacing w:after="0" w:line="19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auto"/>
        </w:rPr>
        <w:t>358,211,888 Shares of Class A Common Stock</w:t>
      </w:r>
    </w:p>
    <w:p>
      <w:pPr>
        <w:spacing w:after="0" w:line="17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5"/>
          <w:szCs w:val="25"/>
          <w:b w:val="1"/>
          <w:bCs w:val="1"/>
          <w:color w:val="auto"/>
        </w:rPr>
        <w:t>7,236,667 Warrants to Purchase Shares of Class A Common Stock</w:t>
      </w:r>
    </w:p>
    <w:p>
      <w:pPr>
        <w:spacing w:after="0" w:line="18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5"/>
          <w:szCs w:val="25"/>
          <w:b w:val="1"/>
          <w:bCs w:val="1"/>
          <w:color w:val="auto"/>
        </w:rPr>
        <w:t>21,994,972 Shares of Class A Common Stock Underlying Warrants</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(A) up to 358,211,888 shares of our Class A common stock, par value $0.0001 per share (the “Class A common stock”), consisting of (i) up to 18,550,000 shares of our Class A common stock (the “Business Combination PIPE Shares”) issued in a private placement pursuant to subscription agreements each entered into on February 9, 2021 (the “Business Combination PIPE Investment”); (ii) up to 11,068,750 shares of our Class A common stock (the “Founder Shares”) issued in connection with the consummation of the Business Combination (as defined herein) in exchange for shares of our Class B common stock originally issued in a private placement to CMLS Holdings LLC (the “Former Sponsor”); (iii) up to 160,492,273 shares of our Class A common stock issued or issuable to certain former stockholders in connection with or as a result of the consummation of the Business Combination, consisting of (a) up to 141,470,697 shares of our Class A common stock and (b) up to 19,021,576 shares of Class A common stock (the “Earn-Out Shares”) that certain Legacy Sema4 Equity Holders have the contingent right to receive upon the achievement of certain vesting conditions; (iv) up to 7,236,667 shares of our Class A common stock issuable upon the exercise of the private placement warrants (as defined herein); (v) up to 80,000,000 shares of our Class A common stock (the “Stock Consideration Shares”) issued to OPKO Health, Inc. (“OPKO”) as a portion of the consideration for the Acquisition (as defined herein); (vi) up to 30,864,198 shares of our Class A common stock (the “Milestone Shares”) that may be issuable to OPKO in connection with the achievement of certain revenue-based milestones for each of the fiscal years ending December 31, 2022 and December 31, 2023; and (vii) up to 50,000,000 shares of our Class A common stock (the “Acquisition PIPE Shares”) issued in a private placement pursuant to subscription agreements each entered into on January 14, 2022 (the “Acquisition PIPE Investment”); and (B) up to 7,236,667 warrants (the “private placement warrants”) originally issued in a private placement to the Former Sponsor and certain of the other Initial Stockholders (as defined herein).</w:t>
      </w:r>
    </w:p>
    <w:p>
      <w:pPr>
        <w:spacing w:after="0" w:line="14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this prospectus relates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2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Class A common stock or warrants, except with respect to</w:t>
      </w:r>
    </w:p>
    <w:p>
      <w:pPr>
        <w:sectPr>
          <w:pgSz w:w="11900" w:h="16838" w:orient="portrait"/>
          <w:cols w:equalWidth="0" w:num="1">
            <w:col w:w="11240"/>
          </w:cols>
          <w:pgMar w:left="320" w:top="1413" w:right="339" w:bottom="1440" w:gutter="0" w:footer="0" w:header="0"/>
        </w:sectPr>
      </w:pPr>
    </w:p>
    <w:bookmarkStart w:id="3" w:name="page4"/>
    <w:bookmarkEnd w:id="3"/>
    <w:p>
      <w:pPr>
        <w:ind w:right="360"/>
        <w:spacing w:after="0" w:line="261" w:lineRule="auto"/>
        <w:rPr>
          <w:sz w:val="20"/>
          <w:szCs w:val="20"/>
          <w:color w:val="auto"/>
        </w:rPr>
      </w:pPr>
      <w:r>
        <w:rPr>
          <w:rFonts w:ascii="Times New Roman" w:cs="Times New Roman" w:eastAsia="Times New Roman" w:hAnsi="Times New Roman"/>
          <w:sz w:val="18"/>
          <w:szCs w:val="18"/>
          <w:color w:val="auto"/>
        </w:rPr>
        <w:t>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Class A common stock or warrants. See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highlight w:val="white"/>
        </w:rPr>
        <w:t>” beginning on 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highlight w:val="white"/>
        </w:rPr>
        <w:t>26</w:t>
      </w:r>
      <w:r>
        <w:rPr>
          <w:rFonts w:ascii="Times New Roman" w:cs="Times New Roman" w:eastAsia="Times New Roman" w:hAnsi="Times New Roman"/>
          <w:sz w:val="18"/>
          <w:szCs w:val="18"/>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-285115</wp:posOffset>
            </wp:positionV>
            <wp:extent cx="317500"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7500" cy="128905"/>
                    </a:xfrm>
                    <a:prstGeom prst="rect">
                      <a:avLst/>
                    </a:prstGeom>
                    <a:noFill/>
                  </pic:spPr>
                </pic:pic>
              </a:graphicData>
            </a:graphic>
          </wp:anchor>
        </w:drawing>
      </w:r>
    </w:p>
    <w:p>
      <w:pPr>
        <w:spacing w:after="0" w:line="1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traded on the Nasdaq Global Select Market (the “Nasdaq”) under the symbols “SMFR” and “SMFRW,” respectively. On August 25, 2022, the last reported sales price of our Class A common stock was $1.22 per share and the last reported sales price of our public warrants was $0.31 per warrant.</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04"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w:t>
      </w:r>
      <w:r>
        <w:rPr>
          <w:rFonts w:ascii="Times New Roman" w:cs="Times New Roman" w:eastAsia="Times New Roman" w:hAnsi="Times New Roman"/>
          <w:sz w:val="18"/>
          <w:szCs w:val="18"/>
          <w:b w:val="1"/>
          <w:bCs w:val="1"/>
          <w:i w:val="1"/>
          <w:iCs w:val="1"/>
          <w:u w:val="single" w:color="auto"/>
          <w:color w:val="0000FF"/>
        </w:rPr>
        <w:t>Risk Factors</w:t>
      </w:r>
      <w:r>
        <w:rPr>
          <w:rFonts w:ascii="Times New Roman" w:cs="Times New Roman" w:eastAsia="Times New Roman" w:hAnsi="Times New Roman"/>
          <w:sz w:val="18"/>
          <w:szCs w:val="18"/>
          <w:b w:val="1"/>
          <w:bCs w:val="1"/>
          <w:i w:val="1"/>
          <w:iCs w:val="1"/>
          <w:color w:val="auto"/>
          <w:highlight w:val="white"/>
        </w:rPr>
        <w:t>” beginning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u w:val="single" w:color="auto"/>
          <w:color w:val="0000FF"/>
          <w:highlight w:val="white"/>
        </w:rPr>
        <w:t>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highlight w:val="white"/>
        </w:rPr>
        <w:t>of this prospectus, as well as the sections entitled</w:t>
      </w:r>
      <w:r>
        <w:rPr>
          <w:rFonts w:ascii="Times New Roman" w:cs="Times New Roman" w:eastAsia="Times New Roman" w:hAnsi="Times New Roman"/>
          <w:sz w:val="18"/>
          <w:szCs w:val="18"/>
          <w:b w:val="1"/>
          <w:bCs w:val="1"/>
          <w:i w:val="1"/>
          <w:iCs w:val="1"/>
          <w:color w:val="auto"/>
        </w:rPr>
        <w:t xml:space="preserve"> “Risk Factors” beginning on page 30 of our Annual Report on Form 10-K for the year ended December 31, 2021, beginning on page 46 of our Quarterly Report on Form 10-Q for the quarter ended March 31, 2022 and beginning on page 60 of our Quarterly Report on Form 10-Q for the quarter ended June 30, 2022, which reports are incorporated by reference in this prospectus, to read about factors you should consider before buying our securities.</w:t>
      </w:r>
    </w:p>
    <w:p>
      <w:pPr>
        <w:spacing w:after="0" w:line="1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registration statement to which this prospectus relates registers the resale of a substantial number of shares of our Class A common stock by the Selling Securityholders. Sales in the public market of a large number of shares, or the perception in the market that the holders of a large number of shares intend to sell shares, could reduce the market price of our Class A common stock.</w:t>
      </w:r>
    </w:p>
    <w:p>
      <w:pPr>
        <w:spacing w:after="0" w:line="118"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2022</w:t>
            </w:r>
          </w:p>
        </w:tc>
      </w:tr>
    </w:tbl>
    <w:p>
      <w:pPr>
        <w:sectPr>
          <w:pgSz w:w="11900" w:h="16838" w:orient="portrait"/>
          <w:cols w:equalWidth="0" w:num="1">
            <w:col w:w="11240"/>
          </w:cols>
          <w:pgMar w:left="320" w:top="1417" w:right="339" w:bottom="1440" w:gutter="0" w:footer="0" w:header="0"/>
        </w:sectPr>
      </w:pPr>
    </w:p>
    <w:bookmarkStart w:id="4" w:name="page5"/>
    <w:bookmarkEnd w:id="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24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ABOUT THIS PROSPECTUS</w:t>
            </w:r>
          </w:p>
        </w:tc>
        <w:tc>
          <w:tcPr>
            <w:tcW w:w="8260" w:type="dxa"/>
            <w:vAlign w:val="bottom"/>
            <w:gridSpan w:val="4"/>
          </w:tcPr>
          <w:p>
            <w:pPr>
              <w:spacing w:after="0"/>
              <w:rPr>
                <w:sz w:val="15"/>
                <w:szCs w:val="15"/>
                <w:color w:val="auto"/>
              </w:rPr>
            </w:pPr>
          </w:p>
        </w:tc>
        <w:tc>
          <w:tcPr>
            <w:tcW w:w="400" w:type="dxa"/>
            <w:vAlign w:val="bottom"/>
            <w:gridSpan w:val="2"/>
          </w:tcPr>
          <w:p>
            <w:pPr>
              <w:jc w:val="center"/>
              <w:ind w:left="230"/>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320" w:type="dxa"/>
            <w:vAlign w:val="bottom"/>
          </w:tcPr>
          <w:p>
            <w:pPr>
              <w:spacing w:after="0"/>
              <w:rPr>
                <w:sz w:val="15"/>
                <w:szCs w:val="15"/>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SELECTED DEFINITIONS</w:t>
            </w:r>
          </w:p>
        </w:tc>
        <w:tc>
          <w:tcPr>
            <w:tcW w:w="180" w:type="dxa"/>
            <w:vAlign w:val="bottom"/>
          </w:tcPr>
          <w:p>
            <w:pPr>
              <w:spacing w:after="0"/>
              <w:rPr>
                <w:sz w:val="18"/>
                <w:szCs w:val="18"/>
                <w:color w:val="auto"/>
              </w:rPr>
            </w:pPr>
          </w:p>
        </w:tc>
        <w:tc>
          <w:tcPr>
            <w:tcW w:w="8260" w:type="dxa"/>
            <w:vAlign w:val="bottom"/>
            <w:gridSpan w:val="4"/>
          </w:tcPr>
          <w:p>
            <w:pPr>
              <w:spacing w:after="0"/>
              <w:rPr>
                <w:sz w:val="18"/>
                <w:szCs w:val="18"/>
                <w:color w:val="auto"/>
              </w:rPr>
            </w:pPr>
          </w:p>
        </w:tc>
        <w:tc>
          <w:tcPr>
            <w:tcW w:w="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6"/>
              </w:rPr>
              <w:t>PROSPECTUS SUMMARY</w:t>
            </w:r>
          </w:p>
        </w:tc>
        <w:tc>
          <w:tcPr>
            <w:tcW w:w="8440" w:type="dxa"/>
            <w:vAlign w:val="bottom"/>
            <w:gridSpan w:val="5"/>
          </w:tcPr>
          <w:p>
            <w:pPr>
              <w:spacing w:after="0"/>
              <w:rPr>
                <w:sz w:val="18"/>
                <w:szCs w:val="18"/>
                <w:color w:val="auto"/>
              </w:rPr>
            </w:pPr>
          </w:p>
        </w:tc>
        <w:tc>
          <w:tcPr>
            <w:tcW w:w="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00" w:type="dxa"/>
            <w:vAlign w:val="bottom"/>
            <w:gridSpan w:val="3"/>
          </w:tcPr>
          <w:p>
            <w:pPr>
              <w:spacing w:after="0"/>
              <w:rPr>
                <w:sz w:val="18"/>
                <w:szCs w:val="18"/>
                <w:color w:val="auto"/>
              </w:rPr>
            </w:pPr>
          </w:p>
        </w:tc>
        <w:tc>
          <w:tcPr>
            <w:tcW w:w="8440" w:type="dxa"/>
            <w:vAlign w:val="bottom"/>
            <w:gridSpan w:val="5"/>
          </w:tcPr>
          <w:p>
            <w:pPr>
              <w:spacing w:after="0"/>
              <w:rPr>
                <w:sz w:val="18"/>
                <w:szCs w:val="18"/>
                <w:color w:val="auto"/>
              </w:rPr>
            </w:pPr>
          </w:p>
        </w:tc>
        <w:tc>
          <w:tcPr>
            <w:tcW w:w="4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w w:val="88"/>
              </w:rPr>
              <w:t>9</w:t>
            </w:r>
          </w:p>
        </w:tc>
        <w:tc>
          <w:tcPr>
            <w:tcW w:w="320" w:type="dxa"/>
            <w:vAlign w:val="bottom"/>
          </w:tcPr>
          <w:p>
            <w:pPr>
              <w:spacing w:after="0"/>
              <w:rPr>
                <w:sz w:val="18"/>
                <w:szCs w:val="18"/>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105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280" w:type="dxa"/>
            <w:vAlign w:val="bottom"/>
            <w:tcBorders>
              <w:left w:val="single" w:sz="8" w:color="0000FF"/>
            </w:tcBorders>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5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472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12</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DESCRIPTION OF SECURITIES</w:t>
            </w:r>
          </w:p>
        </w:tc>
        <w:tc>
          <w:tcPr>
            <w:tcW w:w="80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13</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0" w:type="dxa"/>
            <w:vAlign w:val="bottom"/>
            <w:tcBorders>
              <w:left w:val="single" w:sz="8" w:color="0000FF"/>
            </w:tcBorders>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SELLING SECURITYHOLDERS</w:t>
            </w:r>
          </w:p>
        </w:tc>
        <w:tc>
          <w:tcPr>
            <w:tcW w:w="80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PLAN OF DISTRIBUTION</w:t>
            </w:r>
          </w:p>
        </w:tc>
        <w:tc>
          <w:tcPr>
            <w:tcW w:w="440" w:type="dxa"/>
            <w:vAlign w:val="bottom"/>
            <w:gridSpan w:val="2"/>
          </w:tcPr>
          <w:p>
            <w:pPr>
              <w:spacing w:after="0"/>
              <w:rPr>
                <w:sz w:val="18"/>
                <w:szCs w:val="18"/>
                <w:color w:val="auto"/>
              </w:rPr>
            </w:pPr>
          </w:p>
        </w:tc>
        <w:tc>
          <w:tcPr>
            <w:tcW w:w="8000" w:type="dxa"/>
            <w:vAlign w:val="bottom"/>
            <w:gridSpan w:val="3"/>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26</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10"/>
        </w:trPr>
        <w:tc>
          <w:tcPr>
            <w:tcW w:w="20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40" w:type="dxa"/>
            <w:vAlign w:val="bottom"/>
            <w:gridSpan w:val="5"/>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2"/>
          </w:tcPr>
          <w:p>
            <w:pPr>
              <w:spacing w:after="0"/>
              <w:rPr>
                <w:sz w:val="18"/>
                <w:szCs w:val="18"/>
                <w:color w:val="auto"/>
              </w:rPr>
            </w:pPr>
          </w:p>
        </w:tc>
        <w:tc>
          <w:tcPr>
            <w:tcW w:w="9040" w:type="dxa"/>
            <w:vAlign w:val="bottom"/>
            <w:gridSpan w:val="7"/>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r>
      <w:tr>
        <w:trPr>
          <w:trHeight w:val="20"/>
        </w:trPr>
        <w:tc>
          <w:tcPr>
            <w:tcW w:w="780" w:type="dxa"/>
            <w:vAlign w:val="bottom"/>
            <w:shd w:val="clear" w:color="auto" w:fill="0000FF"/>
          </w:tcPr>
          <w:p>
            <w:pPr>
              <w:spacing w:after="0" w:line="20" w:lineRule="exact"/>
              <w:rPr>
                <w:sz w:val="1"/>
                <w:szCs w:val="1"/>
                <w:color w:val="auto"/>
              </w:rPr>
            </w:pPr>
          </w:p>
        </w:tc>
        <w:tc>
          <w:tcPr>
            <w:tcW w:w="7520" w:type="dxa"/>
            <w:vAlign w:val="bottom"/>
            <w:gridSpan w:val="8"/>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r>
        <w:trPr>
          <w:trHeight w:val="209"/>
        </w:trPr>
        <w:tc>
          <w:tcPr>
            <w:tcW w:w="8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OF INFORMATION BY REFERENCE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0000FF"/>
                <w:w w:val="70"/>
              </w:rPr>
              <w:t>30</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80" w:type="dxa"/>
            <w:vAlign w:val="bottom"/>
            <w:tcBorders>
              <w:left w:val="single" w:sz="8" w:color="0000FF"/>
            </w:tcBorders>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5" w:name="page6"/>
    <w:bookmarkEnd w:id="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warrants. We will receive proceeds from any exercise of the warrants for cash.</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or incorporated by reference in this prospectus or any applicable prospectus supplement or, if permitted,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also provide a prospectus supplement or, if required, a post-effective amendment, to the registration statement to add information to, or update or change information contained or incorporated by reference in, this prospectus. You should read both this prospectus and any applicable prospectus supplement or post-effective amendment to the registration statement together with the additional information to which we refer you in the section of this prospectus entitled “</w:t>
      </w:r>
      <w:r>
        <w:rPr>
          <w:rFonts w:ascii="Times New Roman" w:cs="Times New Roman" w:eastAsia="Times New Roman" w:hAnsi="Times New Roman"/>
          <w:sz w:val="18"/>
          <w:szCs w:val="18"/>
          <w:i w:val="1"/>
          <w:iCs w:val="1"/>
          <w:color w:val="auto"/>
        </w:rPr>
        <w:t>Where You Can Find More Information; Incorporation by Reference</w:t>
      </w:r>
      <w:r>
        <w:rPr>
          <w:rFonts w:ascii="Times New Roman" w:cs="Times New Roman" w:eastAsia="Times New Roman" w:hAnsi="Times New Roman"/>
          <w:sz w:val="18"/>
          <w:szCs w:val="18"/>
          <w:color w:val="auto"/>
        </w:rPr>
        <w:t>.”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(“Legacy Sema4”) prior to the consummation of our business combination with CM Life Sciences, Inc. (“CMLS”) on July 22, 2021 (the “Business Combination”) and (ii) Sema4 Holdings Corp. (“Sema4 Holdings”) and its consolidated subsidiaries following the consummation of the Business Combination. References in this prospectus to “GeneDx” refer to GeneDx, LLC, a Delaware limited liability company (formerly, GeneDx, Inc., a New Jersey corporation), which we acquired on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1440" w:right="419" w:bottom="1440" w:gutter="0" w:footer="0" w:header="0"/>
        </w:sectPr>
      </w:pPr>
    </w:p>
    <w:bookmarkStart w:id="6" w:name="page7"/>
    <w:bookmarkEnd w:id="6"/>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means the transactions contemplated by the Acquisition Merger Agreement, including the Mergers, pursuant to which the Company acquired GeneDx on April 29, 2022.</w:t>
      </w:r>
    </w:p>
    <w:p>
      <w:pPr>
        <w:spacing w:after="0" w:line="104"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Merger Agreement</w:t>
      </w:r>
      <w:r>
        <w:rPr>
          <w:rFonts w:ascii="Times New Roman" w:cs="Times New Roman" w:eastAsia="Times New Roman" w:hAnsi="Times New Roman"/>
          <w:sz w:val="18"/>
          <w:szCs w:val="18"/>
          <w:color w:val="auto"/>
        </w:rPr>
        <w:t>” means that certain Agreement and Plan of Merger and Reorganization, dated as of January 14, 2022, by and among the Company, Merger Sub I, Merger Sub II, GeneDx, OPKO, and Holdco, as amended by the Amendment to Agreement and Plan of Merger and Reorganization, dated as of April 29, 2022.</w:t>
      </w:r>
    </w:p>
    <w:p>
      <w:pPr>
        <w:spacing w:after="0" w:line="119"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Investment</w:t>
      </w:r>
      <w:r>
        <w:rPr>
          <w:rFonts w:ascii="Times New Roman" w:cs="Times New Roman" w:eastAsia="Times New Roman" w:hAnsi="Times New Roman"/>
          <w:sz w:val="18"/>
          <w:szCs w:val="18"/>
          <w:color w:val="auto"/>
        </w:rPr>
        <w:t>” means the private placement pursuant to which the Acquisition PIPE Investors collectively subscribed for the Acquisition PIPE Shares at $4.00 per share, for an aggregate purchase price of $200 million, on the closing of the Acquisition.</w:t>
      </w:r>
    </w:p>
    <w:p>
      <w:pPr>
        <w:spacing w:after="0" w:line="104"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Investors</w:t>
      </w:r>
      <w:r>
        <w:rPr>
          <w:rFonts w:ascii="Times New Roman" w:cs="Times New Roman" w:eastAsia="Times New Roman" w:hAnsi="Times New Roman"/>
          <w:sz w:val="18"/>
          <w:szCs w:val="18"/>
          <w:color w:val="auto"/>
        </w:rPr>
        <w:t>” means certain institutional investors that invested in the Acquisition PIPE Investment pursuant to, and on the terms and subject to the conditions of, the Acquisition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Shares</w:t>
      </w:r>
      <w:r>
        <w:rPr>
          <w:rFonts w:ascii="Times New Roman" w:cs="Times New Roman" w:eastAsia="Times New Roman" w:hAnsi="Times New Roman"/>
          <w:sz w:val="18"/>
          <w:szCs w:val="18"/>
          <w:color w:val="auto"/>
        </w:rPr>
        <w:t>” means the 50,000,000 shares of Class A common stock issued in the Acquisition PIPE Investment.</w:t>
      </w:r>
    </w:p>
    <w:p>
      <w:pPr>
        <w:spacing w:after="0" w:line="171"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Subscription Agreements</w:t>
      </w:r>
      <w:r>
        <w:rPr>
          <w:rFonts w:ascii="Times New Roman" w:cs="Times New Roman" w:eastAsia="Times New Roman" w:hAnsi="Times New Roman"/>
          <w:sz w:val="18"/>
          <w:szCs w:val="18"/>
          <w:color w:val="auto"/>
        </w:rPr>
        <w:t>” means, collectively, those certain subscription agreements entered into on January 14, 2022, between the Company and the Acquisition PIPE Investors, pursuant to which such investors agreed to purchase the Acquisition PIPE Shares in the Acquisition PIPE Investment on the terms and subject to the conditions of the Acquisition Subscription Agreements.</w:t>
      </w:r>
    </w:p>
    <w:p>
      <w:pPr>
        <w:spacing w:after="0" w:line="11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xml:space="preserve"> means our Third Amended and Restated Certificate of Incorporation, dated as of July 22, 2021, as amended by the Amendment to the Amended and Restated Certificate of Incorporation, dated as of April 29, 2022.</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Registration Rights Agreement</w:t>
      </w:r>
      <w:r>
        <w:rPr>
          <w:rFonts w:ascii="Times New Roman" w:cs="Times New Roman" w:eastAsia="Times New Roman" w:hAnsi="Times New Roman"/>
          <w:sz w:val="18"/>
          <w:szCs w:val="18"/>
          <w:color w:val="auto"/>
        </w:rPr>
        <w:t>” means that certain Amended and Restated Registration Rights Agreement, dated as of July 22, 2021, by and among the Company, the Former Sponsor and certain other parties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71"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Business Combination Merger Agreement pursuant to which Legacy Sema4 consummated its business combination with CMLS on July 22, 2021.</w:t>
      </w:r>
    </w:p>
    <w:p>
      <w:pPr>
        <w:spacing w:after="0" w:line="104"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means that certain Agreement and Plan of Merger, dated as of February 9, 2021, as amended, by and among CMLS, S-IV Sub, Inc. and Legacy Sema4.</w:t>
      </w:r>
    </w:p>
    <w:p>
      <w:pPr>
        <w:spacing w:after="0" w:line="10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PIPE Investment</w:t>
      </w:r>
      <w:r>
        <w:rPr>
          <w:rFonts w:ascii="Times New Roman" w:cs="Times New Roman" w:eastAsia="Times New Roman" w:hAnsi="Times New Roman"/>
          <w:sz w:val="18"/>
          <w:szCs w:val="18"/>
          <w:color w:val="auto"/>
        </w:rPr>
        <w:t>” means the private placement pursuant to which the Business Combination PIPE Investors collectively subscribed for the Business Combination PIPE Shares at $10.00 per share, for an aggregate purchase price of $350 million, on the closing of the Business Combination.</w:t>
      </w:r>
    </w:p>
    <w:p>
      <w:pPr>
        <w:spacing w:after="0" w:line="11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PIPE Investors</w:t>
      </w:r>
      <w:r>
        <w:rPr>
          <w:rFonts w:ascii="Times New Roman" w:cs="Times New Roman" w:eastAsia="Times New Roman" w:hAnsi="Times New Roman"/>
          <w:sz w:val="18"/>
          <w:szCs w:val="18"/>
          <w:color w:val="auto"/>
        </w:rPr>
        <w:t>” means certain institutional investors that invested in the Business Combination PIPE Investment pursuant to, and on the terms and subject to the conditions of, the Business Combination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PIPE Shares</w:t>
      </w:r>
      <w:r>
        <w:rPr>
          <w:rFonts w:ascii="Times New Roman" w:cs="Times New Roman" w:eastAsia="Times New Roman" w:hAnsi="Times New Roman"/>
          <w:sz w:val="18"/>
          <w:szCs w:val="18"/>
          <w:color w:val="auto"/>
        </w:rPr>
        <w:t>” means the 35,000,000 shares of our Class A common stock issued in the Business Combination PIPE Investment.</w:t>
      </w:r>
    </w:p>
    <w:p>
      <w:pPr>
        <w:spacing w:after="0" w:line="171"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 Subscription Agreements</w:t>
      </w:r>
      <w:r>
        <w:rPr>
          <w:rFonts w:ascii="Times New Roman" w:cs="Times New Roman" w:eastAsia="Times New Roman" w:hAnsi="Times New Roman"/>
          <w:sz w:val="18"/>
          <w:szCs w:val="18"/>
          <w:color w:val="auto"/>
        </w:rPr>
        <w:t>” means, collectively, those certain subscription agreements, entered into on February 9, 2021, between the Company and the Business Combination PIPE Investors.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means the Restated Bylaws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means the shares of Class A common stock, par value $0.0001 per share, of the Company.</w:t>
      </w:r>
    </w:p>
    <w:p>
      <w:pPr>
        <w:spacing w:after="0" w:line="171"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means the shares of Class B common stock, par value $0.0001 per share, of the Company, which automatically converted into shares of Class A common stock in connection with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means CM Life Sciences, Inc. prior to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means the shares of Class A common stock issuable pursuant to the Business Combination Merger Agreement upon the achievement of certain vesting conditions.</w:t>
      </w:r>
    </w:p>
    <w:p>
      <w:pPr>
        <w:spacing w:after="0" w:line="10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RSU Shares</w:t>
      </w:r>
      <w:r>
        <w:rPr>
          <w:rFonts w:ascii="Times New Roman" w:cs="Times New Roman" w:eastAsia="Times New Roman" w:hAnsi="Times New Roman"/>
          <w:sz w:val="18"/>
          <w:szCs w:val="18"/>
          <w:color w:val="auto"/>
        </w:rPr>
        <w:t>” means up to 2,689,764 shares of our Class A common stock issuable pursuant to the Earn-Out RSUs upon achievement of certain vesting conditions.</w:t>
      </w:r>
    </w:p>
    <w:p>
      <w:pPr>
        <w:spacing w:after="0" w:line="10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RSUs</w:t>
      </w:r>
      <w:r>
        <w:rPr>
          <w:rFonts w:ascii="Times New Roman" w:cs="Times New Roman" w:eastAsia="Times New Roman" w:hAnsi="Times New Roman"/>
          <w:sz w:val="18"/>
          <w:szCs w:val="18"/>
          <w:color w:val="auto"/>
        </w:rPr>
        <w:t>” certain restricted stock unit (“RSU”) awards granted to certain Legacy Sema4 Equity Holders pursuant to the Business Combination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means CMLS Holdings LLC, a Delaware limited liability company.</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11,068,750 shares of our Class A common stock issued in connection with the consummation of the Business Combination in exchange for shares of our Class B common stock originally issued in a private placement to the Former Sponsor.</w:t>
      </w:r>
    </w:p>
    <w:p>
      <w:pPr>
        <w:spacing w:after="0" w:line="104"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means (i) GeneDx, Inc., a New Jersey corporation prior to the closing of the Acquisition and (ii) GeneDx, LLC, a Delaware limited liability company, following the closing of the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means GeneDx Holding 2, Inc., which held 100% of GeneDx immediately following the time the First Merger became effective.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Stockholders</w:t>
      </w:r>
      <w:r>
        <w:rPr>
          <w:rFonts w:ascii="Times New Roman" w:cs="Times New Roman" w:eastAsia="Times New Roman" w:hAnsi="Times New Roman"/>
          <w:sz w:val="18"/>
          <w:szCs w:val="18"/>
          <w:color w:val="auto"/>
        </w:rPr>
        <w:t>” means the Former Sponsor together with Munib Islam, Emily Leproust and Nat Turner.</w:t>
      </w:r>
    </w:p>
    <w:p>
      <w:pPr>
        <w:spacing w:after="0" w:line="171"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w:t>
      </w:r>
      <w:r>
        <w:rPr>
          <w:rFonts w:ascii="Times New Roman" w:cs="Times New Roman" w:eastAsia="Times New Roman" w:hAnsi="Times New Roman"/>
          <w:sz w:val="18"/>
          <w:szCs w:val="18"/>
          <w:color w:val="auto"/>
        </w:rPr>
        <w:t>” means Mount Sinai Genomics, Inc., a Delaware corporation, doing business as Sema4 prior to the consummation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 Equity Holders</w:t>
      </w:r>
      <w:r>
        <w:rPr>
          <w:rFonts w:ascii="Times New Roman" w:cs="Times New Roman" w:eastAsia="Times New Roman" w:hAnsi="Times New Roman"/>
          <w:sz w:val="18"/>
          <w:szCs w:val="18"/>
          <w:color w:val="auto"/>
        </w:rPr>
        <w:t>” means certain former stockholders and equity award holders of Legacy Sema4.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Lock-Up Holder</w:t>
      </w:r>
      <w:r>
        <w:rPr>
          <w:rFonts w:ascii="Times New Roman" w:cs="Times New Roman" w:eastAsia="Times New Roman" w:hAnsi="Times New Roman"/>
          <w:sz w:val="18"/>
          <w:szCs w:val="18"/>
          <w:color w:val="auto"/>
        </w:rPr>
        <w:t>” means certain stockholders of OPKO who entered into the Shareholder Agreements with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w:t>
      </w:r>
      <w:r>
        <w:rPr>
          <w:rFonts w:ascii="Times New Roman" w:cs="Times New Roman" w:eastAsia="Times New Roman" w:hAnsi="Times New Roman"/>
          <w:sz w:val="18"/>
          <w:szCs w:val="18"/>
          <w:color w:val="auto"/>
        </w:rPr>
        <w:t>” means Orion Merger Sub I,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means Orion Merger Sub II,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means the First Merger and the Second Merger.</w:t>
      </w:r>
    </w:p>
    <w:p>
      <w:pPr>
        <w:spacing w:after="0" w:line="171"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Milestone Payments</w:t>
      </w:r>
      <w:r>
        <w:rPr>
          <w:rFonts w:ascii="Times New Roman" w:cs="Times New Roman" w:eastAsia="Times New Roman" w:hAnsi="Times New Roman"/>
          <w:sz w:val="18"/>
          <w:szCs w:val="18"/>
          <w:color w:val="auto"/>
        </w:rPr>
        <w:t>” means the up to $150 million payable by the Company to OPKO Health, Inc. pursuant to the Acquisition Merger Agreement following the closing of the Acquisition, if certain revenue-based milestones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15" w:right="37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color w:val="auto"/>
        </w:rPr>
        <w:t>achieved for each of the fiscal years ending December 31, 2022 and December 31, 2023. Each Milestone Payment, if and to the extent earned under the terms of the Acquisition Merger Agreement, will be satisfied through the payment and/or issuance of a combination of cash and shares of Class A common stock (valued at $4.86 per share based on the average of the daily volume average weighted price of our Class A common stock over the period of 30 trading days ended January 12, 2022), with such mix to be determined in our sole discretion.</w:t>
      </w:r>
    </w:p>
    <w:p>
      <w:pPr>
        <w:spacing w:after="0" w:line="124"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Milestone Shares</w:t>
      </w:r>
      <w:r>
        <w:rPr>
          <w:rFonts w:ascii="Times New Roman" w:cs="Times New Roman" w:eastAsia="Times New Roman" w:hAnsi="Times New Roman"/>
          <w:sz w:val="18"/>
          <w:szCs w:val="18"/>
          <w:color w:val="auto"/>
        </w:rPr>
        <w:t>” means the up to 30,864,198 shares of our Class A common stock that may be issuable to OPKO in connection with the Milestone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Global Select Market.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OPKO</w:t>
      </w:r>
      <w:r>
        <w:rPr>
          <w:rFonts w:ascii="Times New Roman" w:cs="Times New Roman" w:eastAsia="Times New Roman" w:hAnsi="Times New Roman"/>
          <w:sz w:val="18"/>
          <w:szCs w:val="18"/>
          <w:color w:val="auto"/>
        </w:rPr>
        <w:t>” means OPKO Health, Inc.</w:t>
      </w:r>
    </w:p>
    <w:p>
      <w:pPr>
        <w:spacing w:after="0" w:line="171"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7,236,667 warrants originally issued to the Former Sponsor and certain of the other initial stockholders of CMLS in a private placement in connection with our IPO.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shares of Class A common stock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71"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Merger</w:t>
      </w:r>
      <w:r>
        <w:rPr>
          <w:rFonts w:ascii="Times New Roman" w:cs="Times New Roman" w:eastAsia="Times New Roman" w:hAnsi="Times New Roman"/>
          <w:sz w:val="18"/>
          <w:szCs w:val="18"/>
          <w:color w:val="auto"/>
        </w:rPr>
        <w:t>” means the merger of HoldCo, as the surviving corporation in the First Merger, with and into Merger Sub II, with Merger Sub II as the surviving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right="4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Sema4</w:t>
      </w:r>
      <w:r>
        <w:rPr>
          <w:rFonts w:ascii="Times New Roman" w:cs="Times New Roman" w:eastAsia="Times New Roman" w:hAnsi="Times New Roman"/>
          <w:sz w:val="18"/>
          <w:szCs w:val="18"/>
          <w:color w:val="auto"/>
        </w:rPr>
        <w:t>” means (i) Mount Sinai Genomics, Inc. d/b/a Sema4, a Delaware corporation, prior to the closing of the Business Combination or (ii) Sema4 Holdings Corp., a Delaware corporation, following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Sema4 Holdings</w:t>
      </w:r>
      <w:r>
        <w:rPr>
          <w:rFonts w:ascii="Times New Roman" w:cs="Times New Roman" w:eastAsia="Times New Roman" w:hAnsi="Times New Roman"/>
          <w:sz w:val="18"/>
          <w:szCs w:val="18"/>
          <w:color w:val="auto"/>
        </w:rPr>
        <w:t>” means Sema4 Holdings Corp., a Delaware corporation, following the closing of the Business Combination.</w:t>
      </w:r>
    </w:p>
    <w:p>
      <w:pPr>
        <w:spacing w:after="0" w:line="171"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 Agreements</w:t>
      </w:r>
      <w:r>
        <w:rPr>
          <w:rFonts w:ascii="Times New Roman" w:cs="Times New Roman" w:eastAsia="Times New Roman" w:hAnsi="Times New Roman"/>
          <w:sz w:val="18"/>
          <w:szCs w:val="18"/>
          <w:color w:val="auto"/>
        </w:rPr>
        <w:t>” means, collectively, those certain shareholder agreements entered into on January 14, 2022, between the Company and OPKO and the Lock-Up Holders, pursuant to which OPKO and the Lock-Up Holders have agreed, among other things, to certain transfer restrictions in respect of the shares of Class A common stock issued and to be issued pursuant to the Acquisition Merger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means the selling securityholders named in this prospectus.</w:t>
      </w:r>
    </w:p>
    <w:p>
      <w:pPr>
        <w:spacing w:after="0" w:line="171"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Consideration Shares</w:t>
      </w:r>
      <w:r>
        <w:rPr>
          <w:rFonts w:ascii="Times New Roman" w:cs="Times New Roman" w:eastAsia="Times New Roman" w:hAnsi="Times New Roman"/>
          <w:sz w:val="18"/>
          <w:szCs w:val="18"/>
          <w:color w:val="auto"/>
        </w:rPr>
        <w:t>” means the 80,000,000 shares of Class A common stock issued by the Company to OPKO at the closing of the Acquisition pursuant to the Acquisition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means holders of shares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means the warrant agreement between us and Continental Stock Transfer &amp; Trust Company, as warrant agent, governing the terms of the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means the public warrants and the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320" w:top="1417" w:right="3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70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summary may not contain all the information that you should consider before investing in our Class A common stock and warrants.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 should read the entire prospectus and the information incorporated by reference in this prospectus carefully, including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and the financial statements and related notes incorporated by reference herein, before making an investment decision.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a health insights company dedicated to accelerating the use of genomics and leveraging large-scale clinical data to enhance the standard of care through the more extensive use of precision medicine. Our mission is to unlock insights from data, leading to healthier lives and a healthier society. We are one of the largest and most advanced providers of genomic testing in the U.S. and have an industry-leading health information database to transform patient care and improve therapeutic development.</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focused on effectively delivering our portfolio of genomic and data solutions to guide patients through their family health journey. That includes family planning, delivery, pediatrics, hereditary cancer screening, and rare disorders for children and adults. We are committed to helping families make better health decisions with our panels, exome, and genome – fueled by our interpretation platform designed for a genome’s worth of information and a data engine built to combine genomic and clinical data to deliver better insights.</w:t>
      </w:r>
    </w:p>
    <w:p>
      <w:pPr>
        <w:spacing w:after="0" w:line="1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integrated information platform leverages longitudinal patient data, artificial intelligence (“AI”)-driven predictive modeling, and genomics in combination with other molecular and high-dimensional data in our efforts both to deliver better outcomes for patients and to transform the practice of medicine, including how disease is diagnosed, treated, and prevented. We now maintain a database that includes patient data available for research on approximately 12 million patients from a number of public and proprietary sources, including more than five million patients available with clinical data through our partner health systems and genomic testing solutions. </w:t>
      </w:r>
      <w:r>
        <w:rPr>
          <w:rFonts w:ascii="Times New Roman" w:cs="Times New Roman" w:eastAsia="Times New Roman" w:hAnsi="Times New Roman"/>
          <w:sz w:val="18"/>
          <w:szCs w:val="18"/>
          <w:color w:val="auto"/>
          <w:highlight w:val="white"/>
        </w:rPr>
        <w:t>Our data asset also includes one of the world’s largest datasets of approximately 400,000 clinical exomes, the vast majority of which are associated with rare disease, providing us an unparalleled platform for pharmaceutical and biotech (“Biopharma”) companies to leverage.</w:t>
      </w:r>
    </w:p>
    <w:p>
      <w:pPr>
        <w:spacing w:after="0" w:line="13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(the “U.S.”) in areas such as reproductive and women’s health, pediatric and rare disease health, and population health, , we are reimbursed by payors, providers, and patients for providing these services. In collaboration with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Legacy Sema4 pursuant to the Business Combination Merger Agreement. In connection with the Business Combination, CMLS changed its name to Sema4 Holdings Corp. (“Sema4 Holdings”).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880"/>
          </w:cols>
          <w:pgMar w:left="1000" w:top="1440" w:right="101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1367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3671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880"/>
          </w:cols>
          <w:pgMar w:left="1000" w:top="1440" w:right="10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07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67075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2"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17"/>
          <w:szCs w:val="17"/>
          <w:b w:val="1"/>
          <w:bCs w:val="1"/>
          <w:color w:val="auto"/>
        </w:rPr>
        <w:t>Issuer</w:t>
      </w:r>
      <w:r>
        <w:rPr>
          <w:sz w:val="20"/>
          <w:szCs w:val="20"/>
          <w:color w:val="auto"/>
        </w:rPr>
        <w:tab/>
      </w:r>
      <w:r>
        <w:rPr>
          <w:rFonts w:ascii="Times New Roman" w:cs="Times New Roman" w:eastAsia="Times New Roman" w:hAnsi="Times New Roman"/>
          <w:sz w:val="17"/>
          <w:szCs w:val="17"/>
          <w:color w:val="auto"/>
        </w:rPr>
        <w:t>Sema4 Holdings Corp.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9820"/>
          </w:cols>
          <w:pgMar w:left="1020" w:top="1440" w:right="105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 of Class A common stock outstanding as of August 9,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 price of public warrants and private placement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31" w:lineRule="exact"/>
        <w:rPr>
          <w:sz w:val="20"/>
          <w:szCs w:val="20"/>
          <w:color w:val="auto"/>
        </w:rPr>
      </w:pPr>
    </w:p>
    <w:p>
      <w:pPr>
        <w:ind w:left="160" w:right="820" w:hanging="161"/>
        <w:spacing w:after="0" w:line="245" w:lineRule="auto"/>
        <w:rPr>
          <w:sz w:val="20"/>
          <w:szCs w:val="20"/>
          <w:color w:val="auto"/>
        </w:rPr>
      </w:pPr>
      <w:r>
        <w:rPr>
          <w:rFonts w:ascii="Times New Roman" w:cs="Times New Roman" w:eastAsia="Times New Roman" w:hAnsi="Times New Roman"/>
          <w:sz w:val="18"/>
          <w:szCs w:val="18"/>
          <w:color w:val="auto"/>
        </w:rPr>
        <w:t>Shares of Class A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380"/>
        <w:spacing w:after="0" w:line="297" w:lineRule="auto"/>
        <w:rPr>
          <w:sz w:val="20"/>
          <w:szCs w:val="20"/>
          <w:color w:val="auto"/>
        </w:rPr>
      </w:pPr>
      <w:r>
        <w:rPr>
          <w:rFonts w:ascii="Times New Roman" w:cs="Times New Roman" w:eastAsia="Times New Roman" w:hAnsi="Times New Roman"/>
          <w:sz w:val="18"/>
          <w:szCs w:val="18"/>
          <w:color w:val="auto"/>
        </w:rPr>
        <w:t>Warrants offered by the Selling Securityholders Terms of the offering</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8"/>
          <w:szCs w:val="18"/>
          <w:color w:val="auto"/>
        </w:rPr>
        <w:t>Up to 21,994,972 shares of Class A common stock issuable upon exercise of warrants, consisting of:</w:t>
      </w:r>
    </w:p>
    <w:p>
      <w:pPr>
        <w:ind w:left="640" w:right="60" w:hanging="404"/>
        <w:spacing w:after="0" w:line="211" w:lineRule="auto"/>
        <w:tabs>
          <w:tab w:leader="none" w:pos="6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14,758,333 shares of Class A common stock that are issuable upon the exercise of the public warrants; and</w:t>
      </w:r>
    </w:p>
    <w:p>
      <w:pPr>
        <w:ind w:left="640" w:right="140" w:hanging="404"/>
        <w:spacing w:after="0" w:line="218" w:lineRule="auto"/>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shares of Class A common stock that are issuable upon the exercise of the private placement warrants following the public resale of the private placement warrants by the Selling Securityholders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380,641,510 shares of Class A common stock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adjustments as described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receive up to an aggregate of approximately $252.9 million</w:t>
      </w:r>
    </w:p>
    <w:p>
      <w:pPr>
        <w:spacing w:after="0" w:line="9"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from the exercise of the warrants, assuming the exercise in full of all of the warrants for cash. We expect to use the net proceeds from the exercise of the warrants for investment in growth and general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purposes. See “Use of Proceeds”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358,211,888 shares of Class A common stock, consisting of:</w:t>
      </w:r>
    </w:p>
    <w:p>
      <w:pPr>
        <w:spacing w:after="0" w:line="11" w:lineRule="exact"/>
        <w:rPr>
          <w:sz w:val="20"/>
          <w:szCs w:val="20"/>
          <w:color w:val="auto"/>
        </w:rPr>
      </w:pPr>
    </w:p>
    <w:p>
      <w:pPr>
        <w:ind w:left="640" w:hanging="40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18,550,000 Business Combination PIPE Shares;</w:t>
      </w:r>
    </w:p>
    <w:p>
      <w:pPr>
        <w:ind w:left="640" w:hanging="404"/>
        <w:spacing w:after="0" w:line="219"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11,068,750 Founder Shares;</w:t>
      </w:r>
    </w:p>
    <w:p>
      <w:pPr>
        <w:ind w:left="640" w:right="40" w:hanging="404"/>
        <w:spacing w:after="0" w:line="230" w:lineRule="auto"/>
        <w:tabs>
          <w:tab w:leader="none" w:pos="63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160,492,273 shares of Class A common stock issued or issuable to the Legacy Sema4 Equity Holders in connection with or as a result of the consummation of the Business Combination consisting of:</w:t>
      </w:r>
    </w:p>
    <w:p>
      <w:pPr>
        <w:spacing w:after="0" w:line="3" w:lineRule="exact"/>
        <w:rPr>
          <w:rFonts w:ascii="Times New Roman" w:cs="Times New Roman" w:eastAsia="Times New Roman" w:hAnsi="Times New Roman"/>
          <w:sz w:val="18"/>
          <w:szCs w:val="18"/>
          <w:color w:val="auto"/>
        </w:rPr>
      </w:pPr>
    </w:p>
    <w:p>
      <w:pPr>
        <w:ind w:left="1040" w:right="80" w:hanging="407"/>
        <w:spacing w:after="0" w:line="234" w:lineRule="auto"/>
        <w:tabs>
          <w:tab w:leader="none" w:pos="1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141,470,697 shares of Class A common stock; and</w:t>
      </w:r>
    </w:p>
    <w:p>
      <w:pPr>
        <w:spacing w:after="0" w:line="1" w:lineRule="exact"/>
        <w:rPr>
          <w:rFonts w:ascii="Times New Roman" w:cs="Times New Roman" w:eastAsia="Times New Roman" w:hAnsi="Times New Roman"/>
          <w:sz w:val="18"/>
          <w:szCs w:val="18"/>
          <w:color w:val="auto"/>
        </w:rPr>
      </w:pPr>
    </w:p>
    <w:p>
      <w:pPr>
        <w:ind w:left="1040" w:hanging="457"/>
        <w:spacing w:after="0" w:line="203" w:lineRule="auto"/>
        <w:tabs>
          <w:tab w:leader="none" w:pos="1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Earn-Out Shares;</w:t>
      </w:r>
    </w:p>
    <w:p>
      <w:pPr>
        <w:ind w:left="640" w:right="320" w:hanging="404"/>
        <w:spacing w:after="0" w:line="223" w:lineRule="auto"/>
        <w:tabs>
          <w:tab w:leader="none" w:pos="6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7,236,667 shares of Class A common stock issuable upon the exercise of the private placement warrants;</w:t>
      </w:r>
    </w:p>
    <w:p>
      <w:pPr>
        <w:spacing w:after="0" w:line="1" w:lineRule="exact"/>
        <w:rPr>
          <w:rFonts w:ascii="Times New Roman" w:cs="Times New Roman" w:eastAsia="Times New Roman" w:hAnsi="Times New Roman"/>
          <w:sz w:val="17"/>
          <w:szCs w:val="17"/>
          <w:color w:val="auto"/>
        </w:rPr>
      </w:pPr>
    </w:p>
    <w:p>
      <w:pPr>
        <w:ind w:left="640" w:hanging="404"/>
        <w:spacing w:after="0" w:line="203"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80,000,000 Stock Consideration Shares;</w:t>
      </w:r>
    </w:p>
    <w:p>
      <w:pPr>
        <w:ind w:left="640" w:hanging="404"/>
        <w:spacing w:after="0" w:line="219"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Milestone Shares; and</w:t>
      </w:r>
    </w:p>
    <w:p>
      <w:pPr>
        <w:ind w:left="640" w:hanging="40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50,000,000 Acquisition PIPE Shares.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7,236,667 private placement warrants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w:t>
      </w:r>
    </w:p>
    <w:p>
      <w:pPr>
        <w:ind w:right="520"/>
        <w:spacing w:after="0" w:line="226" w:lineRule="auto"/>
        <w:rPr>
          <w:sz w:val="20"/>
          <w:szCs w:val="20"/>
          <w:color w:val="auto"/>
        </w:rPr>
      </w:pPr>
      <w:r>
        <w:rPr>
          <w:rFonts w:ascii="Times New Roman" w:cs="Times New Roman" w:eastAsia="Times New Roman" w:hAnsi="Times New Roman"/>
          <w:sz w:val="18"/>
          <w:szCs w:val="18"/>
          <w:color w:val="auto"/>
        </w:rPr>
        <w:t>dispose of the shares of Class A common stock and warrants registered under this prospectus for resale.</w:t>
      </w:r>
    </w:p>
    <w:p>
      <w:pPr>
        <w:spacing w:after="0" w:line="1" w:lineRule="exact"/>
        <w:rPr>
          <w:sz w:val="20"/>
          <w:szCs w:val="20"/>
          <w:color w:val="auto"/>
        </w:rPr>
      </w:pPr>
    </w:p>
    <w:p>
      <w:pPr>
        <w:sectPr>
          <w:pgSz w:w="11900" w:h="16838" w:orient="portrait"/>
          <w:cols w:equalWidth="0" w:num="2">
            <w:col w:w="4800" w:space="140"/>
            <w:col w:w="4880"/>
          </w:cols>
          <w:pgMar w:left="1020" w:top="1440" w:right="1059" w:bottom="1440" w:gutter="0" w:footer="0" w:header="0"/>
          <w:type w:val="continuous"/>
        </w:sectPr>
      </w:pPr>
    </w:p>
    <w:p>
      <w:pPr>
        <w:ind w:left="4940" w:right="20" w:hanging="4940"/>
        <w:spacing w:after="0" w:line="242" w:lineRule="auto"/>
        <w:tabs>
          <w:tab w:leader="none" w:pos="49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will not receive any proceeds from the sale of shares of Class A common stock or warrants by the Selling Securityholders.</w:t>
      </w:r>
    </w:p>
    <w:p>
      <w:pPr>
        <w:spacing w:after="0"/>
        <w:tabs>
          <w:tab w:leader="none" w:pos="4920" w:val="left"/>
        </w:tabs>
        <w:rPr>
          <w:sz w:val="20"/>
          <w:szCs w:val="20"/>
          <w:color w:val="auto"/>
        </w:rPr>
      </w:pPr>
      <w:r>
        <w:rPr>
          <w:rFonts w:ascii="Times New Roman" w:cs="Times New Roman" w:eastAsia="Times New Roman" w:hAnsi="Times New Roman"/>
          <w:sz w:val="18"/>
          <w:szCs w:val="18"/>
          <w:color w:val="auto"/>
        </w:rPr>
        <w:t>Lock-up restrictions</w:t>
      </w:r>
      <w:r>
        <w:rPr>
          <w:sz w:val="20"/>
          <w:szCs w:val="20"/>
          <w:color w:val="auto"/>
        </w:rPr>
        <w:tab/>
      </w:r>
      <w:r>
        <w:rPr>
          <w:rFonts w:ascii="Times New Roman" w:cs="Times New Roman" w:eastAsia="Times New Roman" w:hAnsi="Times New Roman"/>
          <w:sz w:val="17"/>
          <w:szCs w:val="17"/>
          <w:color w:val="auto"/>
        </w:rPr>
        <w:t>110,864,198 shares registered on behalf of OPKO are subject to</w:t>
      </w:r>
    </w:p>
    <w:p>
      <w:pPr>
        <w:ind w:left="4940"/>
        <w:spacing w:after="0" w:line="204" w:lineRule="auto"/>
        <w:rPr>
          <w:sz w:val="20"/>
          <w:szCs w:val="20"/>
          <w:color w:val="auto"/>
        </w:rPr>
      </w:pPr>
      <w:r>
        <w:rPr>
          <w:rFonts w:ascii="Times New Roman" w:cs="Times New Roman" w:eastAsia="Times New Roman" w:hAnsi="Times New Roman"/>
          <w:sz w:val="18"/>
          <w:szCs w:val="18"/>
          <w:color w:val="auto"/>
        </w:rPr>
        <w:t>transfer restrictions pursuant to the Shareholder Agreements. See</w:t>
      </w:r>
    </w:p>
    <w:p>
      <w:pPr>
        <w:ind w:left="4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820"/>
          </w:cols>
          <w:pgMar w:left="1020" w:top="1440" w:right="105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258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58445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940" w:right="240" w:hanging="4940"/>
        <w:spacing w:after="0" w:line="262" w:lineRule="auto"/>
        <w:tabs>
          <w:tab w:leader="none" w:pos="4920" w:val="left"/>
        </w:tabs>
        <w:rPr>
          <w:sz w:val="20"/>
          <w:szCs w:val="20"/>
          <w:color w:val="auto"/>
        </w:rPr>
      </w:pPr>
      <w:r>
        <w:rPr>
          <w:rFonts w:ascii="Times New Roman" w:cs="Times New Roman" w:eastAsia="Times New Roman" w:hAnsi="Times New Roman"/>
          <w:sz w:val="18"/>
          <w:szCs w:val="18"/>
          <w:b w:val="1"/>
          <w:bCs w:val="1"/>
          <w:color w:val="auto"/>
        </w:rPr>
        <w:t>Nasdaq symbols</w:t>
      </w:r>
      <w:r>
        <w:rPr>
          <w:sz w:val="20"/>
          <w:szCs w:val="20"/>
          <w:color w:val="auto"/>
        </w:rPr>
        <w:tab/>
      </w:r>
      <w:r>
        <w:rPr>
          <w:rFonts w:ascii="Times New Roman" w:cs="Times New Roman" w:eastAsia="Times New Roman" w:hAnsi="Times New Roman"/>
          <w:sz w:val="17"/>
          <w:szCs w:val="17"/>
          <w:color w:val="auto"/>
        </w:rPr>
        <w:t>Our Class A common stock and public warrants are listed on the Nasdaq under the symbols SMFR and SMFRW, respectively.</w:t>
      </w:r>
    </w:p>
    <w:p>
      <w:pPr>
        <w:spacing w:after="0"/>
        <w:tabs>
          <w:tab w:leader="none" w:pos="49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7"/>
          <w:szCs w:val="17"/>
          <w:color w:val="auto"/>
        </w:rPr>
        <w:t>Investing in our securities involves a high degree of risk. Before</w:t>
      </w:r>
    </w:p>
    <w:p>
      <w:pPr>
        <w:ind w:left="4940"/>
        <w:spacing w:after="0" w:line="203" w:lineRule="auto"/>
        <w:rPr>
          <w:sz w:val="20"/>
          <w:szCs w:val="20"/>
          <w:color w:val="auto"/>
        </w:rPr>
      </w:pPr>
      <w:r>
        <w:rPr>
          <w:rFonts w:ascii="Times New Roman" w:cs="Times New Roman" w:eastAsia="Times New Roman" w:hAnsi="Times New Roman"/>
          <w:sz w:val="18"/>
          <w:szCs w:val="18"/>
          <w:color w:val="auto"/>
        </w:rPr>
        <w:t>buying any of our securities, you should carefully read the</w:t>
      </w:r>
    </w:p>
    <w:p>
      <w:pPr>
        <w:ind w:left="4940"/>
        <w:spacing w:after="0" w:line="216" w:lineRule="auto"/>
        <w:rPr>
          <w:sz w:val="20"/>
          <w:szCs w:val="20"/>
          <w:color w:val="auto"/>
        </w:rPr>
      </w:pPr>
      <w:r>
        <w:rPr>
          <w:rFonts w:ascii="Times New Roman" w:cs="Times New Roman" w:eastAsia="Times New Roman" w:hAnsi="Times New Roman"/>
          <w:sz w:val="17"/>
          <w:szCs w:val="17"/>
          <w:color w:val="auto"/>
        </w:rPr>
        <w:t>discussion of material risks of investing in our securities. Please see</w:t>
      </w:r>
    </w:p>
    <w:p>
      <w:pPr>
        <w:ind w:left="4940"/>
        <w:spacing w:after="0" w:line="219" w:lineRule="auto"/>
        <w:rPr>
          <w:sz w:val="20"/>
          <w:szCs w:val="20"/>
          <w:color w:val="auto"/>
        </w:rPr>
      </w:pPr>
      <w:r>
        <w:rPr>
          <w:rFonts w:ascii="Times New Roman" w:cs="Times New Roman" w:eastAsia="Times New Roman" w:hAnsi="Times New Roman"/>
          <w:sz w:val="18"/>
          <w:szCs w:val="18"/>
          <w:color w:val="auto"/>
        </w:rPr>
        <w:t>the section entitled “Risk Factors” beginning on page 9 of this</w:t>
      </w:r>
    </w:p>
    <w:p>
      <w:pPr>
        <w:ind w:left="4940"/>
        <w:spacing w:after="0" w:line="203" w:lineRule="auto"/>
        <w:rPr>
          <w:sz w:val="20"/>
          <w:szCs w:val="20"/>
          <w:color w:val="auto"/>
        </w:rPr>
      </w:pPr>
      <w:r>
        <w:rPr>
          <w:rFonts w:ascii="Times New Roman" w:cs="Times New Roman" w:eastAsia="Times New Roman" w:hAnsi="Times New Roman"/>
          <w:sz w:val="18"/>
          <w:szCs w:val="18"/>
          <w:color w:val="auto"/>
        </w:rPr>
        <w:t>prospectus, as well as well as the sections entitled “Risk Factors”</w:t>
      </w:r>
    </w:p>
    <w:p>
      <w:pPr>
        <w:ind w:left="4940"/>
        <w:spacing w:after="0" w:line="204" w:lineRule="auto"/>
        <w:rPr>
          <w:sz w:val="20"/>
          <w:szCs w:val="20"/>
          <w:color w:val="auto"/>
        </w:rPr>
      </w:pPr>
      <w:r>
        <w:rPr>
          <w:rFonts w:ascii="Times New Roman" w:cs="Times New Roman" w:eastAsia="Times New Roman" w:hAnsi="Times New Roman"/>
          <w:sz w:val="18"/>
          <w:szCs w:val="18"/>
          <w:color w:val="auto"/>
        </w:rPr>
        <w:t>beginning on page 30 of our Annual Report on Form 10-K for the</w:t>
      </w:r>
    </w:p>
    <w:p>
      <w:pPr>
        <w:ind w:left="4940"/>
        <w:spacing w:after="0" w:line="219" w:lineRule="auto"/>
        <w:rPr>
          <w:sz w:val="20"/>
          <w:szCs w:val="20"/>
          <w:color w:val="auto"/>
        </w:rPr>
      </w:pPr>
      <w:r>
        <w:rPr>
          <w:rFonts w:ascii="Times New Roman" w:cs="Times New Roman" w:eastAsia="Times New Roman" w:hAnsi="Times New Roman"/>
          <w:sz w:val="18"/>
          <w:szCs w:val="18"/>
          <w:color w:val="auto"/>
        </w:rPr>
        <w:t>year ended December 31, 2021, beginning on page 46 of our</w:t>
      </w:r>
    </w:p>
    <w:p>
      <w:pPr>
        <w:ind w:left="4940"/>
        <w:spacing w:after="0" w:line="204" w:lineRule="auto"/>
        <w:rPr>
          <w:sz w:val="20"/>
          <w:szCs w:val="20"/>
          <w:color w:val="auto"/>
        </w:rPr>
      </w:pPr>
      <w:r>
        <w:rPr>
          <w:rFonts w:ascii="Times New Roman" w:cs="Times New Roman" w:eastAsia="Times New Roman" w:hAnsi="Times New Roman"/>
          <w:sz w:val="18"/>
          <w:szCs w:val="18"/>
          <w:color w:val="auto"/>
        </w:rPr>
        <w:t>Quarterly Report on Form 10-Q for the quarter ended March 31,</w:t>
      </w:r>
    </w:p>
    <w:p>
      <w:pPr>
        <w:ind w:left="4940"/>
        <w:spacing w:after="0" w:line="203" w:lineRule="auto"/>
        <w:rPr>
          <w:sz w:val="20"/>
          <w:szCs w:val="20"/>
          <w:color w:val="auto"/>
        </w:rPr>
      </w:pPr>
      <w:r>
        <w:rPr>
          <w:rFonts w:ascii="Times New Roman" w:cs="Times New Roman" w:eastAsia="Times New Roman" w:hAnsi="Times New Roman"/>
          <w:sz w:val="18"/>
          <w:szCs w:val="18"/>
          <w:color w:val="auto"/>
        </w:rPr>
        <w:t>2022 and beginning on page 60 of our Quarterly Report on Form</w:t>
      </w:r>
    </w:p>
    <w:p>
      <w:pPr>
        <w:ind w:left="4940"/>
        <w:spacing w:after="0" w:line="219" w:lineRule="auto"/>
        <w:rPr>
          <w:sz w:val="20"/>
          <w:szCs w:val="20"/>
          <w:color w:val="auto"/>
        </w:rPr>
      </w:pPr>
      <w:r>
        <w:rPr>
          <w:rFonts w:ascii="Times New Roman" w:cs="Times New Roman" w:eastAsia="Times New Roman" w:hAnsi="Times New Roman"/>
          <w:sz w:val="18"/>
          <w:szCs w:val="18"/>
          <w:color w:val="auto"/>
        </w:rPr>
        <w:t>10-Q for the quarter ended June 30, 2022, which reports are</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820"/>
          </w:cols>
          <w:pgMar w:left="1020" w:top="1440" w:right="1059" w:bottom="1440" w:gutter="0" w:footer="0" w:header="0"/>
        </w:sectPr>
      </w:pPr>
    </w:p>
    <w:bookmarkStart w:id="13" w:name="page14"/>
    <w:bookmarkEnd w:id="13"/>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consider the risk factors described in the “Risk Factors” sections of our Annual Report on Form 10-K for the fiscal year ended December 31, 2021, our Quarterly Report on Form 10-Q for the quarter ended March 31, 2022 and our Quarterly Report on Form 10-Q for the quarter ended June 30, 2022, which reports are incorporated herein by reference, in addition to the factors set forth below and other information contained in or incorporated by reference in this prospectus or in any prospectus supplement or post-effective amendment, if required, before purchasing any of our Class A common stock or warrants. We may face additional risks and uncertainties that are not presently known to us, or that we currently deem immaterial, which may also impair our business or financial condition.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resales of our Class A common stock could cause the market price of our Class A common stock to drop significantly, even if our business is doing well.</w:t>
      </w:r>
    </w:p>
    <w:p>
      <w:pPr>
        <w:spacing w:after="0" w:line="1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had outstanding 380,641,510 shares of Class A common stock as of August 9, 2022. The registration statement to which this prospectus relates registers the offer and sale from time to time by the Selling Securityholders of up 358,211,888 shares of our Class A common stock, although the 110,864,198 shares registered on behalf of OPKO will be subject to transfer restrictions pursuant to the Shareholder Agreements. To the extent shares are sold into the market pursuant to this prospectus, under Rule 144 under the Securities Act or otherwise, particularly in substantial quantities and including following the end of the transfer restrictions provided for in the Shareholder Agreements in the case of OPKO and the other Lock-Up Holders, the market price of our Class A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1440" w:right="459" w:bottom="1440" w:gutter="0" w:footer="0" w:header="0"/>
        </w:sectPr>
      </w:pPr>
    </w:p>
    <w:bookmarkStart w:id="14" w:name="page15"/>
    <w:bookmarkEnd w:id="1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prospectus and the documents incorporated by reference in this prospectus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in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elsewhere in this prospectus and the documents incorporated by reference herein,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4"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benefits expected from the Acquisition and the other transactions contemplated by the Acquisition Merger Agreement and the related Acquisition PIPE Investment;</w:t>
      </w:r>
    </w:p>
    <w:p>
      <w:pPr>
        <w:spacing w:after="0" w:line="107" w:lineRule="exact"/>
        <w:rPr>
          <w:rFonts w:ascii="Times New Roman" w:cs="Times New Roman" w:eastAsia="Times New Roman" w:hAnsi="Times New Roman"/>
          <w:sz w:val="18"/>
          <w:szCs w:val="18"/>
          <w:color w:val="auto"/>
        </w:rPr>
      </w:pPr>
    </w:p>
    <w:p>
      <w:pPr>
        <w:ind w:left="660" w:right="9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the ongoing COVID-19 pandemic;</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plans to exit out somatic tumor testing business and the associated cost savings and impact on our gross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(the “FDA”) or other regulatory authorities;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 negotiations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Nasdaq listing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15" w:name="page16"/>
    <w:bookmarkEnd w:id="15"/>
    <w:p>
      <w:pPr>
        <w:ind w:left="660" w:right="4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estimates, including the adequacy of our reserves for third party payor claims and our estimates of the fair value of milestone payments related to the Acquisition;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 and</w:t>
      </w:r>
    </w:p>
    <w:p>
      <w:pPr>
        <w:spacing w:after="0" w:line="16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the documents incorporated by reference herein reflect our views and assumptions only as of the date of this prospectus or such document, as applicable. Except as required by law, we assume no responsibility for updating any forward-looking statements.</w:t>
      </w:r>
    </w:p>
    <w:p>
      <w:pPr>
        <w:spacing w:after="0" w:line="12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20" w:top="1417" w:right="379" w:bottom="1440" w:gutter="0" w:footer="0" w:header="0"/>
        </w:sectPr>
      </w:pPr>
    </w:p>
    <w:bookmarkStart w:id="16" w:name="page17"/>
    <w:bookmarkEnd w:id="16"/>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warrants for cash, we will receive an aggregate of approximately $252.9 million, but will not receive any proceeds from the sale of the shares of Class A common stock issuable upon such exercise. We expect to use the net proceeds from the exercise of the warrants, if any, for investment in growth,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securities.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as amended (our “Amended and Restated Certificate of Incorporation”), our restated bylaws (our “Bylaws”), and the warrant agreement governing our warrants (the “warrant agreement”), each of which is incorporated by reference as an exhibit to the registration statement of which this prospectus forms a part. We encourage you to read our Amended and Certificate of Incorporation, our Bylaws, the warrant agreement and the applicable provisions of the DGCL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1,000,000,000 shares of Class A common stock, $0.0001 par value per share, and 1,000,000 shares of preferred stock, $0.0001 par value per share. As of June 30, 2022, there were 379,896,799 shares of our Class A common stock outstanding, no shares of preferred stock outstanding and 21,994,972 warrants outstanding. The outstanding shares of our Class A common stock are duly authorized, validly issued, fully paid and non-assessable.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Class A common stock has the same relative rights and is identical in all respects to each other share of our Class A common stock. The rights, preferences and privileges of holders of our Class A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Class A common stock possess all voting power for the election of our directors and all other matters requiring stockholder action and are entitled to one vote per share on matters to be voted on by stockholders. The holders of Class A common stock shall at all times vote together as one class on all matters submitted to a vote of the holders of Class A common stock under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Class A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under our Amended and Restated Certificate of Incorporation, holders of Class A common stock will be entitled to receive all the remaining assets of the Company available for distribution to stockholders, ratably in proportion to the number of shares of Class A common stock held by them, after the rights of the holders of the preferred stock have been satisfied.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144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classified board of directors with staggered three-year terms, consisting of the three classes: Class I, Class II and Class III. The term of the Class I Directors will expire at our 2025 annual meeting of the stockholders, the term of the Class II Directors will expire at our 2023 annual meeting of the stockholders and the term of the Class III Directors will expire at our 2024 annual meeting of the stockholders.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Class A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September 4, 2021. Pursuant to the warrant agreement, a warrant holder may exercise its public warrants only for a whole number of shares of Class A common stock. This means that only a whole public warrant may be exercised at any given time by a warrant holder. No fractional public warrants will be issued upon separation of the units and only whole public warrants will trade. The public warrants will expire September 4, 2026, at 5:00 p.m., New York City time, or earlier upon redemption or liquidation.</w:t>
      </w:r>
    </w:p>
    <w:p>
      <w:pPr>
        <w:spacing w:after="0" w:line="1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not obligated to deliver any shares of Class A common stock pursuant to the exercise of a public warrant and will have no obligation to settle such public warrant exercise unless a registration statement under the Securities Act of 1933, as amended (the “Securities Act”), with respect to the shares of Class A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 </w:t>
      </w:r>
      <w:r>
        <w:rPr>
          <w:rFonts w:ascii="Times New Roman" w:cs="Times New Roman" w:eastAsia="Times New Roman" w:hAnsi="Times New Roman"/>
          <w:sz w:val="18"/>
          <w:szCs w:val="18"/>
          <w:color w:val="auto"/>
        </w:rPr>
        <w:t>We may redeem the outstanding public warrants:</w:t>
      </w:r>
    </w:p>
    <w:p>
      <w:pPr>
        <w:spacing w:after="0" w:line="17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19" w:name="page20"/>
    <w:bookmarkEnd w:id="19"/>
    <w:p>
      <w:pPr>
        <w:ind w:right="600"/>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we are unable to register or qualify the underlying securities for sale under all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We may redeem the outstanding warrants:</w:t>
      </w:r>
    </w:p>
    <w:p>
      <w:pPr>
        <w:spacing w:after="0" w:line="17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Class A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the exercise of our public warrants. If our management takes advantage of this option, all holders of public warrants would pay the exercise price by surrendering their public warrants for that number of shares of Class A common stock equal to the quotient obtained by dividing (i) the product of the number of shares of Class A common stock underlying the public warrants, multiplied by the difference between the exercise price of the public warrants and the “fair market value” (defined below) by (ii) the fair market value. The “fair market value” shall mean the average reported last sale price of the Class A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spacing w:after="0" w:line="14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17" w:right="339" w:bottom="1440" w:gutter="0" w:footer="0" w:header="0"/>
        </w:sectPr>
      </w:pPr>
    </w:p>
    <w:bookmarkStart w:id="20" w:name="page21"/>
    <w:bookmarkEnd w:id="20"/>
    <w:p>
      <w:pPr>
        <w:ind w:right="220"/>
        <w:spacing w:after="0" w:line="282" w:lineRule="auto"/>
        <w:rPr>
          <w:sz w:val="20"/>
          <w:szCs w:val="20"/>
          <w:color w:val="auto"/>
        </w:rPr>
      </w:pPr>
      <w:r>
        <w:rPr>
          <w:rFonts w:ascii="Times New Roman" w:cs="Times New Roman" w:eastAsia="Times New Roman" w:hAnsi="Times New Roman"/>
          <w:sz w:val="18"/>
          <w:szCs w:val="18"/>
          <w:color w:val="auto"/>
        </w:rPr>
        <w:t>beneficially own in excess of 9.8% (or such other amount as a holder may specify) of the shares of Class A common stock outstanding immediately after giving effect to such exercise.</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Class A common stock is increased by a stock dividend payable in shares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by a split-up of shares of Class A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to holders of Class A common stock entitling holders to purchase shares of Class A common stock at a price less than the fair market value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multiplied by (ii) one minus the quotient of (a) the price per share of Class A common stock paid in such rights offering divided by (b) the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fair market value means the volume weighted average price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Class A common stock on account of such shares of Class A common stock (or other shares of our capital stock into which the public warrants are convertible), other than (i) as described above; or (ii) certain ordinary cash dividends,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2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Class A common stock in such a transaction is payable in the form of common stock in the successor entity that is listed for trading on a national securities exchange or is quoted in an established over-the-counter market, or is to be so listed for trading or quoted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17" w:right="339" w:bottom="1440" w:gutter="0" w:footer="0" w:header="0"/>
        </w:sectPr>
      </w:pPr>
    </w:p>
    <w:bookmarkStart w:id="21" w:name="page22"/>
    <w:bookmarkEnd w:id="21"/>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of which this prospectus forms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Class A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except that (1) the private placement warrants are exercisable on a cashless basis, (2) the private placement warrants are non-redeemable (except as described above in “Redemption of Warrants When the Price per Share of Class A Common Stock Equals or Exceeds $10.00”) so long as they are held by the initial purchasers or their permitted transferees, and (3) the holders of the private placement warrants and the Class A common stock issuable upon the exercise of the private placement warrants have certain registration rights. If the private placement warrants are held by someone other than the initial purchasers or their permitted transferees, the private placement warrants are redeemable by us and exercisable by such holders on the same basis as the public warrants.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Class A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t>The transfer agent for our Class A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17" w:right="359" w:bottom="1440" w:gutter="0" w:footer="0" w:header="0"/>
        </w:sectPr>
      </w:pPr>
    </w:p>
    <w:bookmarkStart w:id="22" w:name="page23"/>
    <w:bookmarkEnd w:id="22"/>
    <w:p>
      <w:pPr>
        <w:ind w:right="300"/>
        <w:spacing w:after="0" w:line="438" w:lineRule="auto"/>
        <w:rPr>
          <w:sz w:val="20"/>
          <w:szCs w:val="20"/>
          <w:color w:val="auto"/>
        </w:rPr>
      </w:pPr>
      <w:r>
        <w:rPr>
          <w:rFonts w:ascii="Times New Roman" w:cs="Times New Roman" w:eastAsia="Times New Roman" w:hAnsi="Times New Roman"/>
          <w:sz w:val="18"/>
          <w:szCs w:val="18"/>
          <w:color w:val="auto"/>
        </w:rPr>
        <w:t xml:space="preserve">for its activities in that capacity, except for any liability due to any gross negligence, willful misconduct or bad faith of the indemnified person or entity. </w:t>
      </w: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Class A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85" w:lineRule="exact"/>
        <w:rPr>
          <w:rFonts w:ascii="Times New Roman" w:cs="Times New Roman" w:eastAsia="Times New Roman" w:hAnsi="Times New Roman"/>
          <w:sz w:val="17"/>
          <w:szCs w:val="17"/>
          <w:color w:val="auto"/>
        </w:rPr>
      </w:pPr>
    </w:p>
    <w:p>
      <w:pPr>
        <w:ind w:left="660" w:right="8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 unreserved Class A common stock and preferred stock could render more difficult or discourage an attempt to obtain control of us by means of a proxy contest, tender offer, merger or otherwise.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1417" w:right="359" w:bottom="1440" w:gutter="0" w:footer="0" w:header="0"/>
        </w:sectPr>
      </w:pPr>
    </w:p>
    <w:bookmarkStart w:id="23" w:name="page24"/>
    <w:bookmarkEnd w:id="23"/>
    <w:p>
      <w:pPr>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enforce any duty or liability created by the Securities Act or the rules and regulations promulgated thereunder.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and warrants are listed on Nasdaq under the symbols “SMFR” and “SMFRW,”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1417" w:right="399" w:bottom="1440" w:gutter="0" w:footer="0" w:header="0"/>
        </w:sectPr>
      </w:pPr>
    </w:p>
    <w:bookmarkStart w:id="24" w:name="page25"/>
    <w:bookmarkEnd w:id="2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shares of Class A common stock or warrants being offered for resale by this prospectus, which consists of:</w:t>
      </w:r>
    </w:p>
    <w:p>
      <w:pPr>
        <w:spacing w:after="0" w:line="10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18,550,000 Business Combination PIPE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11,068,750 Founder Shares;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160,492,273 shares of Class A common stock issued or issuable to the Legacy Sema4 Equity Holders in connection with or as a result of the consummation of the Business Combination, consisting of:</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141,470,697 shares of our Class A common stock (“Legacy Sema4 Holder Shares”);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Earn-Out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shares of Class A common stock issuable upon the exercise of private placement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80,000,000 Stock Consideration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30,864,198 Milestone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50,000,000 Acquisition PIPE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private placement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“Selling Securityholders” includes the securityholders listed in the tables below and their permitted transferees.</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following tables provide, as of the date of this prospectus, information regarding the beneficial ownership of our Class A common stock and warrants of each Selling Securityholder, the number of shares of Class A common stock and number of warrants that may be sold by each Selling Securityholder under this prospectus and that each Selling Securityholder will beneficially own after this offering.</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earn-out provisions of the Business Combination Merger Agreement, we may issue an aggregate of up to 19,021,576 shares of Class A common stock upon the occurrence of certain triggering events provided for in the Business Combination Merger Agreement, which shares are comprised of Earn-Out Shares issuable to pre-closing Legacy Sema4 Equity Holders and shares of Class A common stock (“Earn-Out RSU Shares”) issuable upon the vesting of certain RSU awards (“Earn-Out RSUs”) granted to certain Legacy Sema4 Equity Holders. As of the closing date of the Business Combination, the initial allocation of such shares comprised up to 16,331,812 Earn-Out Shares and up to 2,689,764 Earn-Out RSU Shares. Upon any forfeiture of Earn-Out RSUs following the closing date of the Business Combination (for example, as a result of a Legacy Sema4 Equity Holder no longer being an employee of our company), the Business Combination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a Selling Securityholder that is entitled to receive Earn-Out Shares pursuant to the Business Combination Merger Agreement, the table below includes such Selling Securityholder’s pro rata portion of the initial allocation of Earn-Out Shares as of the closing date of the Business Combination (such Selling Securityholder’s “Initially Allocated Earn-Out Shares”), as well as such Selling Securityholder’s pro rata portion of the reallocated Earn-Out RSU Shares (such Selling Securityholder’s “Reallocated Earn-Out Shares”), assuming that 100% of the Earn-Out RSUs are forfeited after the closing date of the Business Combination.</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pursuant to the terms of the Acquisition Merger Agreement, we may issue an aggregate of up to 30,864,198 Milestone Shares to OPKO as consideration for the $150 million in Milestone Payments. Each Milestone Payment, if and to the extent earned under the terms of the Merger Agreement, will be satisfied through the payment and/or issuance of a combination of cash and shares of Class A common stock (valued at $4.86 per share based on the average of the daily volume average weighted price of our Class A common stock over the period of 30 trading days ended January 12, 2022), with such mix to be determined in our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20"/>
          </w:cols>
          <w:pgMar w:left="320" w:top="1440" w:right="359" w:bottom="1440" w:gutter="0" w:footer="0" w:header="0"/>
        </w:sectPr>
      </w:pPr>
    </w:p>
    <w:bookmarkStart w:id="25" w:name="page26"/>
    <w:bookmarkEnd w:id="25"/>
    <w:p>
      <w:pPr>
        <w:spacing w:after="0" w:line="256" w:lineRule="auto"/>
        <w:rPr>
          <w:sz w:val="20"/>
          <w:szCs w:val="20"/>
          <w:color w:val="auto"/>
        </w:rPr>
      </w:pPr>
      <w:r>
        <w:rPr>
          <w:rFonts w:ascii="Times New Roman" w:cs="Times New Roman" w:eastAsia="Times New Roman" w:hAnsi="Times New Roman"/>
          <w:sz w:val="18"/>
          <w:szCs w:val="18"/>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 below, however, we have assumed that after termination of this offering none of the securities covered by this prospectus will be beneficially owned by the Selling Securityholder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 in transactions exempt from the registration requirements of the Securities Act after the date on which the information in the tables is presented.</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in the future to update or change this Selling Securityholders list and the securities that may be resold.</w:t>
      </w:r>
    </w:p>
    <w:p>
      <w:pPr>
        <w:spacing w:after="0" w:line="106"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Please see the section titled “</w:t>
      </w:r>
      <w:r>
        <w:rPr>
          <w:rFonts w:ascii="Times New Roman" w:cs="Times New Roman" w:eastAsia="Times New Roman" w:hAnsi="Times New Roman"/>
          <w:sz w:val="18"/>
          <w:szCs w:val="18"/>
          <w:i w:val="1"/>
          <w:iCs w:val="1"/>
          <w:u w:val="single" w:color="auto"/>
          <w:color w:val="0000FF"/>
        </w:rPr>
        <w:t>Plan of Distribution</w:t>
      </w:r>
      <w:r>
        <w:rPr>
          <w:rFonts w:ascii="Times New Roman" w:cs="Times New Roman" w:eastAsia="Times New Roman" w:hAnsi="Times New Roman"/>
          <w:sz w:val="18"/>
          <w:szCs w:val="18"/>
          <w:color w:val="auto"/>
          <w:highlight w:val="white"/>
        </w:rPr>
        <w:t>” for further information regarding the Selling</w:t>
      </w:r>
      <w:r>
        <w:rPr>
          <w:rFonts w:ascii="Times New Roman" w:cs="Times New Roman" w:eastAsia="Times New Roman" w:hAnsi="Times New Roman"/>
          <w:sz w:val="18"/>
          <w:szCs w:val="18"/>
          <w:color w:val="auto"/>
        </w:rPr>
        <w:t xml:space="preserve"> Securityholders’ method of distributing these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1417" w:right="439" w:bottom="1440" w:gutter="0" w:footer="0" w:header="0"/>
        </w:sectPr>
      </w:pPr>
    </w:p>
    <w:bookmarkStart w:id="26" w:name="page27"/>
    <w:bookmarkEnd w:id="26"/>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0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66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Registered for</w:t>
            </w:r>
          </w:p>
        </w:tc>
        <w:tc>
          <w:tcPr>
            <w:tcW w:w="16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Beneficially</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46"/>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4"/>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60" w:type="dxa"/>
            <w:vAlign w:val="bottom"/>
            <w:gridSpan w:val="4"/>
            <w:vMerge w:val="continue"/>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60" w:type="dxa"/>
            <w:vAlign w:val="bottom"/>
            <w:gridSpan w:val="4"/>
            <w:vMerge w:val="continue"/>
          </w:tcPr>
          <w:p>
            <w:pPr>
              <w:spacing w:after="0"/>
              <w:rPr>
                <w:sz w:val="17"/>
                <w:szCs w:val="17"/>
                <w:color w:val="auto"/>
              </w:rPr>
            </w:pPr>
          </w:p>
        </w:tc>
        <w:tc>
          <w:tcPr>
            <w:tcW w:w="16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r>
              <w:rPr>
                <w:rFonts w:ascii="Times New Roman" w:cs="Times New Roman" w:eastAsia="Times New Roman" w:hAnsi="Times New Roman"/>
                <w:sz w:val="9"/>
                <w:szCs w:val="9"/>
                <w:b w:val="1"/>
                <w:bCs w:val="1"/>
                <w:color w:val="auto"/>
              </w:rPr>
              <w:t>(1)</w:t>
            </w:r>
          </w:p>
        </w:tc>
        <w:tc>
          <w:tcPr>
            <w:tcW w:w="16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Sale Hereby</w:t>
            </w:r>
          </w:p>
        </w:tc>
        <w:tc>
          <w:tcPr>
            <w:tcW w:w="16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15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Offering </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Entities affiliated with Avidity</w:t>
            </w:r>
            <w:r>
              <w:rPr>
                <w:rFonts w:ascii="Times New Roman" w:cs="Times New Roman" w:eastAsia="Times New Roman" w:hAnsi="Times New Roman"/>
                <w:sz w:val="23"/>
                <w:szCs w:val="23"/>
                <w:color w:val="auto"/>
                <w:vertAlign w:val="superscript"/>
              </w:rPr>
              <w:t>(3)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BlackRock, Inc.</w:t>
            </w:r>
            <w:r>
              <w:rPr>
                <w:rFonts w:ascii="Times New Roman" w:cs="Times New Roman" w:eastAsia="Times New Roman" w:hAnsi="Times New Roman"/>
                <w:sz w:val="23"/>
                <w:szCs w:val="23"/>
                <w:color w:val="auto"/>
                <w:vertAlign w:val="superscript"/>
              </w:rPr>
              <w:t>(4)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Blackstone</w:t>
            </w:r>
            <w:r>
              <w:rPr>
                <w:rFonts w:ascii="Times New Roman" w:cs="Times New Roman" w:eastAsia="Times New Roman" w:hAnsi="Times New Roman"/>
                <w:sz w:val="23"/>
                <w:szCs w:val="23"/>
                <w:color w:val="auto"/>
                <w:vertAlign w:val="superscript"/>
              </w:rPr>
              <w:t>(5)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30,945,879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30,845,879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16,437,500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CMLS Holdings LLC</w:t>
            </w:r>
            <w:r>
              <w:rPr>
                <w:rFonts w:ascii="Times New Roman" w:cs="Times New Roman" w:eastAsia="Times New Roman" w:hAnsi="Times New Roman"/>
                <w:sz w:val="23"/>
                <w:szCs w:val="23"/>
                <w:color w:val="auto"/>
                <w:vertAlign w:val="superscript"/>
              </w:rPr>
              <w:t>(7)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17,730,419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17,730,419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Connecticut Innovations, Incorporated</w:t>
            </w:r>
            <w:r>
              <w:rPr>
                <w:rFonts w:ascii="Times New Roman" w:cs="Times New Roman" w:eastAsia="Times New Roman" w:hAnsi="Times New Roman"/>
                <w:sz w:val="23"/>
                <w:szCs w:val="23"/>
                <w:color w:val="auto"/>
                <w:vertAlign w:val="superscript"/>
              </w:rPr>
              <w:t>(8)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advised by Corvex Management</w:t>
            </w:r>
            <w:r>
              <w:rPr>
                <w:rFonts w:ascii="Times New Roman" w:cs="Times New Roman" w:eastAsia="Times New Roman" w:hAnsi="Times New Roman"/>
                <w:sz w:val="23"/>
                <w:szCs w:val="23"/>
                <w:color w:val="auto"/>
                <w:vertAlign w:val="superscript"/>
              </w:rPr>
              <w:t>(9)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Decheng Capital China Life Sciences USD Fund III, L.P.</w:t>
            </w:r>
            <w:r>
              <w:rPr>
                <w:rFonts w:ascii="Times New Roman" w:cs="Times New Roman" w:eastAsia="Times New Roman" w:hAnsi="Times New Roman"/>
                <w:sz w:val="23"/>
                <w:szCs w:val="23"/>
                <w:color w:val="auto"/>
                <w:vertAlign w:val="superscript"/>
              </w:rPr>
              <w:t>(10)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3,795,012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Deerfield Management Company, L.P.</w:t>
            </w:r>
            <w:r>
              <w:rPr>
                <w:rFonts w:ascii="Times New Roman" w:cs="Times New Roman" w:eastAsia="Times New Roman" w:hAnsi="Times New Roman"/>
                <w:sz w:val="23"/>
                <w:szCs w:val="23"/>
                <w:color w:val="auto"/>
                <w:vertAlign w:val="superscript"/>
              </w:rPr>
              <w:t>(11)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20,069,320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Emily Leproust</w:t>
            </w:r>
            <w:r>
              <w:rPr>
                <w:rFonts w:ascii="Times New Roman" w:cs="Times New Roman" w:eastAsia="Times New Roman" w:hAnsi="Times New Roman"/>
                <w:sz w:val="23"/>
                <w:szCs w:val="23"/>
                <w:color w:val="auto"/>
                <w:vertAlign w:val="superscript"/>
              </w:rPr>
              <w:t>(12)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204,502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Icahn School of Medicine at Mount Sinai</w:t>
            </w:r>
            <w:r>
              <w:rPr>
                <w:rFonts w:ascii="Times New Roman" w:cs="Times New Roman" w:eastAsia="Times New Roman" w:hAnsi="Times New Roman"/>
                <w:sz w:val="23"/>
                <w:szCs w:val="23"/>
                <w:color w:val="auto"/>
                <w:vertAlign w:val="superscript"/>
              </w:rPr>
              <w:t>(13)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106,202,671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106,202,671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JS Capital LLC</w:t>
            </w:r>
            <w:r>
              <w:rPr>
                <w:rFonts w:ascii="Times New Roman" w:cs="Times New Roman" w:eastAsia="Times New Roman" w:hAnsi="Times New Roman"/>
                <w:sz w:val="23"/>
                <w:szCs w:val="23"/>
                <w:color w:val="auto"/>
                <w:vertAlign w:val="superscript"/>
              </w:rPr>
              <w:t>(14)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 Munib Z. Islam</w:t>
            </w:r>
            <w:r>
              <w:rPr>
                <w:rFonts w:ascii="Times New Roman" w:cs="Times New Roman" w:eastAsia="Times New Roman" w:hAnsi="Times New Roman"/>
                <w:sz w:val="23"/>
                <w:szCs w:val="23"/>
                <w:color w:val="auto"/>
                <w:vertAlign w:val="superscript"/>
              </w:rPr>
              <w:t>(15)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Moore</w:t>
            </w:r>
            <w:r>
              <w:rPr>
                <w:rFonts w:ascii="Times New Roman" w:cs="Times New Roman" w:eastAsia="Times New Roman" w:hAnsi="Times New Roman"/>
                <w:sz w:val="23"/>
                <w:szCs w:val="23"/>
                <w:color w:val="auto"/>
                <w:vertAlign w:val="superscript"/>
              </w:rPr>
              <w:t>(16)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23"/>
                <w:szCs w:val="23"/>
                <w:color w:val="auto"/>
                <w:vertAlign w:val="superscript"/>
              </w:rPr>
              <w:t>(17)</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Oak HC/FT Partners II, L.P.</w:t>
            </w:r>
            <w:r>
              <w:rPr>
                <w:rFonts w:ascii="Times New Roman" w:cs="Times New Roman" w:eastAsia="Times New Roman" w:hAnsi="Times New Roman"/>
                <w:sz w:val="23"/>
                <w:szCs w:val="23"/>
                <w:color w:val="auto"/>
                <w:vertAlign w:val="superscript"/>
              </w:rPr>
              <w:t>(18)</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6,302,462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6,302,462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OPKO Health, Inc.</w:t>
            </w:r>
            <w:r>
              <w:rPr>
                <w:rFonts w:ascii="Times New Roman" w:cs="Times New Roman" w:eastAsia="Times New Roman" w:hAnsi="Times New Roman"/>
                <w:sz w:val="23"/>
                <w:szCs w:val="23"/>
                <w:color w:val="auto"/>
                <w:vertAlign w:val="superscript"/>
              </w:rPr>
              <w:t>(19)</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110,864,198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110,864,198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Perceptive Life Sciences Master Fund, Ltd.</w:t>
            </w:r>
            <w:r>
              <w:rPr>
                <w:rFonts w:ascii="Times New Roman" w:cs="Times New Roman" w:eastAsia="Times New Roman" w:hAnsi="Times New Roman"/>
                <w:sz w:val="23"/>
                <w:szCs w:val="23"/>
                <w:color w:val="auto"/>
                <w:vertAlign w:val="superscript"/>
              </w:rPr>
              <w:t>(20)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Pfizer Inc.</w:t>
            </w:r>
            <w:r>
              <w:rPr>
                <w:rFonts w:ascii="Times New Roman" w:cs="Times New Roman" w:eastAsia="Times New Roman" w:hAnsi="Times New Roman"/>
                <w:sz w:val="23"/>
                <w:szCs w:val="23"/>
                <w:color w:val="auto"/>
                <w:vertAlign w:val="superscript"/>
              </w:rPr>
              <w:t>(21)</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Section 32 Fund 2, L.P.</w:t>
            </w:r>
            <w:r>
              <w:rPr>
                <w:rFonts w:ascii="Times New Roman" w:cs="Times New Roman" w:eastAsia="Times New Roman" w:hAnsi="Times New Roman"/>
                <w:sz w:val="23"/>
                <w:szCs w:val="23"/>
                <w:color w:val="auto"/>
                <w:vertAlign w:val="superscript"/>
              </w:rPr>
              <w:t>(22)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9,518,643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9,518,643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Third Point Loan LLC</w:t>
            </w:r>
            <w:r>
              <w:rPr>
                <w:rFonts w:ascii="Times New Roman" w:cs="Times New Roman" w:eastAsia="Times New Roman" w:hAnsi="Times New Roman"/>
                <w:sz w:val="23"/>
                <w:szCs w:val="23"/>
                <w:color w:val="auto"/>
                <w:vertAlign w:val="superscript"/>
              </w:rPr>
              <w:t>(23)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T. Rowe Price Associates, Inc.</w:t>
            </w:r>
            <w:r>
              <w:rPr>
                <w:rFonts w:ascii="Times New Roman" w:cs="Times New Roman" w:eastAsia="Times New Roman" w:hAnsi="Times New Roman"/>
                <w:sz w:val="23"/>
                <w:szCs w:val="23"/>
                <w:color w:val="auto"/>
                <w:vertAlign w:val="superscript"/>
              </w:rPr>
              <w:t>(24)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Vaal Investment Partners Q9 LP</w:t>
            </w:r>
            <w:r>
              <w:rPr>
                <w:rFonts w:ascii="Times New Roman" w:cs="Times New Roman" w:eastAsia="Times New Roman" w:hAnsi="Times New Roman"/>
                <w:sz w:val="23"/>
                <w:szCs w:val="23"/>
                <w:color w:val="auto"/>
                <w:vertAlign w:val="superscript"/>
              </w:rPr>
              <w:t>(25)</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358,184,872</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358,211,888</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125,672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auto"/>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6"/>
        </w:trPr>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0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66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Registered for</w:t>
            </w:r>
          </w:p>
        </w:tc>
        <w:tc>
          <w:tcPr>
            <w:tcW w:w="164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Beneficially</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48"/>
        </w:trPr>
        <w:tc>
          <w:tcPr>
            <w:tcW w:w="4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60" w:type="dxa"/>
            <w:vAlign w:val="bottom"/>
            <w:gridSpan w:val="4"/>
            <w:vMerge w:val="continue"/>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gridSpan w:val="4"/>
            <w:vMerge w:val="continue"/>
          </w:tcPr>
          <w:p>
            <w:pPr>
              <w:spacing w:after="0"/>
              <w:rPr>
                <w:sz w:val="17"/>
                <w:szCs w:val="17"/>
                <w:color w:val="auto"/>
              </w:rPr>
            </w:pPr>
          </w:p>
        </w:tc>
        <w:tc>
          <w:tcPr>
            <w:tcW w:w="16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6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Sale Hereby</w:t>
            </w:r>
          </w:p>
        </w:tc>
        <w:tc>
          <w:tcPr>
            <w:tcW w:w="16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Offering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CMLS Holdings LLC</w:t>
            </w:r>
            <w:r>
              <w:rPr>
                <w:rFonts w:ascii="Times New Roman" w:cs="Times New Roman" w:eastAsia="Times New Roman" w:hAnsi="Times New Roman"/>
                <w:sz w:val="23"/>
                <w:szCs w:val="23"/>
                <w:color w:val="auto"/>
                <w:vertAlign w:val="superscript"/>
              </w:rPr>
              <w:t>(7)</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6,736,669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6,736,669</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23"/>
                <w:szCs w:val="23"/>
                <w:color w:val="auto"/>
                <w:vertAlign w:val="superscript"/>
              </w:rPr>
              <w:t>(31)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Emily Leproust</w:t>
            </w:r>
            <w:r>
              <w:rPr>
                <w:rFonts w:ascii="Times New Roman" w:cs="Times New Roman" w:eastAsia="Times New Roman" w:hAnsi="Times New Roman"/>
                <w:sz w:val="23"/>
                <w:szCs w:val="23"/>
                <w:color w:val="auto"/>
                <w:vertAlign w:val="superscript"/>
              </w:rPr>
              <w:t>(14)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M. Munib Z. Islam</w:t>
            </w:r>
            <w:r>
              <w:rPr>
                <w:rFonts w:ascii="Times New Roman" w:cs="Times New Roman" w:eastAsia="Times New Roman" w:hAnsi="Times New Roman"/>
                <w:sz w:val="23"/>
                <w:szCs w:val="23"/>
                <w:color w:val="auto"/>
                <w:vertAlign w:val="superscript"/>
              </w:rPr>
              <w:t>(18)</w:t>
            </w: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5" w:lineRule="exact"/>
        <w:rPr>
          <w:sz w:val="20"/>
          <w:szCs w:val="20"/>
          <w:color w:val="auto"/>
        </w:rPr>
      </w:pPr>
    </w:p>
    <w:p>
      <w:pPr>
        <w:ind w:left="340" w:right="360" w:hanging="332"/>
        <w:spacing w:after="0" w:line="272"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table includes Business Combination PIPE Shares, Founder Shares, Legacy Sema4 Holder Shares, Earn-Out Shares (includes both shares beneficially owned as determined in accordance with Rule 13d-3 of the Exchange Act and shares which the holder has a contingent right to receive), shares of Class A common stock issuable upon exercise of the private placement warrants, Stock Consideration Shares (including both shares beneficially owned as determined in accordance with Rule 13d-3 of the Exchange Act and additional shares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7" w:name="page28"/>
    <w:bookmarkEnd w:id="27"/>
    <w:p>
      <w:pPr>
        <w:ind w:left="332" w:right="40"/>
        <w:spacing w:after="0" w:line="262" w:lineRule="auto"/>
        <w:rPr>
          <w:sz w:val="20"/>
          <w:szCs w:val="20"/>
          <w:color w:val="auto"/>
        </w:rPr>
      </w:pPr>
      <w:r>
        <w:rPr>
          <w:rFonts w:ascii="Times New Roman" w:cs="Times New Roman" w:eastAsia="Times New Roman" w:hAnsi="Times New Roman"/>
          <w:sz w:val="14"/>
          <w:szCs w:val="14"/>
          <w:color w:val="auto"/>
        </w:rPr>
        <w:t>holder has the contingent right receive), Milestone Shares (including both shares beneficially owned as determined in accordance with Rule 13d-3 of the Exchange Act and additional shares the holder has the contingent right receive) and Acquisition PIPE Shares, and the second table includes the private placement warrants included in this table (collectively, the “Resale Securities”). We do not know when or in what amounts the Selling Securityholders will offer the Resale Securities for sale, if at all.</w:t>
      </w:r>
    </w:p>
    <w:p>
      <w:pPr>
        <w:spacing w:after="0" w:line="2" w:lineRule="exact"/>
        <w:rPr>
          <w:sz w:val="20"/>
          <w:szCs w:val="20"/>
          <w:color w:val="auto"/>
        </w:rPr>
      </w:pPr>
    </w:p>
    <w:p>
      <w:pPr>
        <w:ind w:left="332" w:right="360" w:hanging="332"/>
        <w:spacing w:after="0" w:line="260"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shares to be beneficially owned after completion of the offering is calculated on the basis of 380,641,510 shares of Class A common stock outstanding, assuming the issuance of 30,864,198 Milestone Shares, the issuance of all Earn-Out Shares and the exercise of all currently outstanding warrants, and the sale of all Resale Securities by the Selling Securityholders.</w:t>
      </w:r>
    </w:p>
    <w:p>
      <w:pPr>
        <w:ind w:left="332" w:right="180" w:hanging="332"/>
        <w:spacing w:after="0" w:line="254"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107,000 Business Combination PIPE Shares held by Avidity Capital Fund II LP (“Avidity Capital”) and 843,000 Business Combination PIPE Shares held by Avidity Master Fund LP (“Avidity Master”).</w:t>
      </w:r>
    </w:p>
    <w:p>
      <w:pPr>
        <w:ind w:left="332" w:hanging="332"/>
        <w:spacing w:after="0" w:line="257"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24,410 Earn-out Shares (consisting of 20,957 Initially Allocated Earn-Out Shares and 3,453 Reallocated Earn-Out Shares) held by BlackRock Global Allocation Collective Fund, 4,005 Earn-out Shares (consisting of 3,438 Initially Allocated Earn-Out Shares and 567 Reallocated Earn-Out Shares) held by BlackRock Global Allocation Fund (Aust), 233,680 Earn-out Shares (consisting of 200,637 Initially Allocated Earn-Out Shares and 33,043 Reallocated Earn-Out Shares) held by BlackRock Global Allocation Fund, Inc., 1,840 Earn-out Shares (consisting of 1,579 Initially Allocated Earn-Out Shares and 261 Reallocated Earn-Out Shares) held by BlackRock Global Allocation Portfolio of BlackRock Series Fund, Inc., 81,840 Earn-out Shares (consisting of 70,268 Initially Allocated Earn-Out Shares and 11,572 Reallocated Earn-Out Shares) held by BlackRock Global Allocation V.I. Fund of BlackRock Variable Series Funds, Inc., 141,325 Earn-out Shares (consisting of 121,342 Initially Allocated Earn-Out Shares and 19,983 Reallocated Earn-Out Shares) held by BlackRock Global Funds - Global Allocation Fund, 12,328 Earn-out Shares (consisting of 10,584 Initially Allocated Earn-Out Shares and 1,744 Reallocated Earn-Out Shares) held by BlackRock Global Funds - Global Dynamic Equity Fund, 166,471 Earn-out Shares (consisting of 142,931 Initially Allocated Earn-Out Shares and 23,540 Reallocated Earn-Out Shares) held by BlackRock Strategic Income Opportunities Portfolio of BlackRock Funds V. The registered holders of the referenced shares to be registered are the following funds and accounts under management by subsidiaries of BlackRock, Inc.: BlackRock Strategic Income Opportunities Portfolio of BlackRock Funds V; BlackRock Global Allocation Collective Fund; BlackRock Global Funds – Global Dynamic Equity Fund; BlackRock Global Allocation Portfolio of BlackRock Series Fund, Inc.; BlackRock Global Allocation Fund, Inc.; BlackRock Global Funds – Global Allocation Fund; BlackRock Global Allocation V.I. Fund of BlackRock Variable Series Funds, Inc.; and BlackRock Global Allocation Fund (Aust).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9" w:lineRule="exact"/>
        <w:rPr>
          <w:rFonts w:ascii="Times New Roman" w:cs="Times New Roman" w:eastAsia="Times New Roman" w:hAnsi="Times New Roman"/>
          <w:sz w:val="14"/>
          <w:szCs w:val="14"/>
          <w:color w:val="auto"/>
        </w:rPr>
      </w:pPr>
    </w:p>
    <w:p>
      <w:pPr>
        <w:ind w:left="332" w:right="20" w:hanging="332"/>
        <w:spacing w:after="0" w:line="258"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2,434,863 Acquisition PIPE Shares, 24,404,324 Legacy Sema4 Holder Shares and 3,203,218 Earn-out Shares (consisting of 2,750,264 Initially Allocated Earn-Out Shares and 452,954 Reallocated Earn-Out Shares) held by BTO Sema4 Holdings L.P. (“BTO Sema4 Holdings”), (ii) 50,402 Acquisition PIPE Shares, 505,095 Legacy Sema4 Holder Shares and 66,297 Earn-out Shares (consisting of 56,922 Initially Allocated Earn-Out Shares and 9,375 Reallocated Earn-Out Shares) held by Blackstone Tactical Opportunities Fund - FD L.P. (“Blackstone Opportunities Fund”), and (iii) 14,735 Acquisition PIPE Shares, 147,574 Legacy Sema4 Holder Shares and 19,371 Earn-out Shares (consisting of 16,632 Initially Allocated Earn-Out Shares and 2,739 Reallocated Earn-Out Shares) held by Blackstone Family Tactical Opportunities Investment Partnership III ESC L.P. (“Blackstone Opportunities Partnership”) held by Blackstone Family Tactical Opportunities Investment Partnership III ESC L.P.</w:t>
      </w:r>
    </w:p>
    <w:p>
      <w:pPr>
        <w:spacing w:after="0" w:line="1" w:lineRule="exact"/>
        <w:rPr>
          <w:rFonts w:ascii="Times New Roman" w:cs="Times New Roman" w:eastAsia="Times New Roman" w:hAnsi="Times New Roman"/>
          <w:sz w:val="14"/>
          <w:szCs w:val="14"/>
          <w:color w:val="auto"/>
        </w:rPr>
      </w:pPr>
    </w:p>
    <w:p>
      <w:pPr>
        <w:ind w:left="332" w:right="160" w:hanging="332"/>
        <w:spacing w:after="0" w:line="257"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11,437,500 Acquisition PIPE Shares and 5,000,000 Business Combination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Class A common stock held directly by Casdin Partners Master Fund, LP. Mr. Casdin is member of Sema4 Holdings’ board of directors. The business address of Casdin Partners Master Fund L.P. and Mr. Casdin is c/o Casdin Capital, LLC, 1350 Avenue of the Americas, Suite 2600, New York, NY 10019.</w:t>
      </w:r>
    </w:p>
    <w:p>
      <w:pPr>
        <w:spacing w:after="0" w:line="2" w:lineRule="exact"/>
        <w:rPr>
          <w:rFonts w:ascii="Times New Roman" w:cs="Times New Roman" w:eastAsia="Times New Roman" w:hAnsi="Times New Roman"/>
          <w:sz w:val="14"/>
          <w:szCs w:val="14"/>
          <w:color w:val="auto"/>
        </w:rPr>
      </w:pPr>
    </w:p>
    <w:p>
      <w:pPr>
        <w:ind w:left="332" w:hanging="332"/>
        <w:spacing w:after="0" w:line="259"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the first table, shares hereby offered consists of 10,993,750 Founder Shares and 6,736,669 shares of Class A common stock underlying warrants that are exercisable within 60 days of the date of this prospectus held by the Former Sponsor. For the purposes of the second table, consists of 6,736,669 warrants held by the Former Sponsor. The first table assumes the exercise in full of the warrants held by the Former Sponsor, and the second table assumes no exercise of the warrants held by the Former Sponsor. The Board of Managers of the Former Sponsor, or CMLS Holdings LLC, is comprised of Mr. Eli Casdin and Mr. Keith Meister who share voting and investment discretion with respect to the Class A common stock held of record by CMLS Holdings LLC. Mr. Casdin is a member of Sema4 Holdings’ board of directors. C-LSH LLC and M-LSH LLC are the members of CMLS Holdings LLC, and Mr. Casdin and Mr. Meister are the 5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 Since January 2022, Keith Meister, Managing Partner and Chief Investment Officer of Corvex Management LP, has served as a director on the Board and as Chairman of the Audit Committee.</w:t>
      </w:r>
    </w:p>
    <w:p>
      <w:pPr>
        <w:spacing w:after="0" w:line="162" w:lineRule="exact"/>
        <w:rPr>
          <w:rFonts w:ascii="Times New Roman" w:cs="Times New Roman" w:eastAsia="Times New Roman" w:hAnsi="Times New Roman"/>
          <w:sz w:val="14"/>
          <w:szCs w:val="14"/>
          <w:color w:val="auto"/>
        </w:rPr>
      </w:pPr>
    </w:p>
    <w:p>
      <w:pPr>
        <w:ind w:left="332" w:right="140" w:hanging="332"/>
        <w:spacing w:after="0" w:line="254"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520,380 Legacy Sema4 Holder Shares and 58,342 Earn-out Shares (consisting of 50,093 Initially Allocated Earn- Out Shares and 8,249 Reallocated Earn-Out Shares).</w:t>
      </w:r>
    </w:p>
    <w:p>
      <w:pPr>
        <w:ind w:left="332" w:right="140" w:hanging="332"/>
        <w:spacing w:after="0" w:line="260" w:lineRule="auto"/>
        <w:tabs>
          <w:tab w:leader="none" w:pos="3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f (i) 7,320,000 Acquisition PIPE Shares and 3,696,000 Business Combination PIPE Shares held by Corvex Select Equity Master Fund LP (“Corvex Select Fund”), (ii) 3,557,000 Acquisition PIPE Shares and 240,000 Business Combination PIPE Shares held by Corvex Master Fund LP (“Corvex Master Fund”), and (iii) 560,500 Acquisition PIPE Shares and 64,000 Business Combination PIPE Shares held by Corvex Dynamic Equity Select Master Fund LP (“Corvex Dynamic Fund”). Since January 2022, Keith Meister, Managing Partner and Chief Investment Officer of Corvex Management LP, has served as a director on the Board and as Chairman of the Audit Committee.</w:t>
      </w:r>
    </w:p>
    <w:p>
      <w:pPr>
        <w:spacing w:after="0" w:line="1" w:lineRule="exact"/>
        <w:rPr>
          <w:rFonts w:ascii="Times New Roman" w:cs="Times New Roman" w:eastAsia="Times New Roman" w:hAnsi="Times New Roman"/>
          <w:sz w:val="14"/>
          <w:szCs w:val="14"/>
          <w:color w:val="auto"/>
        </w:rPr>
      </w:pPr>
    </w:p>
    <w:p>
      <w:pPr>
        <w:ind w:left="332" w:right="200" w:hanging="332"/>
        <w:spacing w:after="0" w:line="263" w:lineRule="auto"/>
        <w:tabs>
          <w:tab w:leader="none" w:pos="329"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3,418,929 Legacy Sema4 Holder Shares and 376,083 Earn-out Shares (consisting of 322,902 Initially Allocated Earn-Out Shares and 53,181 Reallocated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32"/>
          </w:cols>
          <w:pgMar w:left="328" w:top="1413" w:right="339" w:bottom="1440" w:gutter="0" w:footer="0" w:header="0"/>
        </w:sectPr>
      </w:pPr>
    </w:p>
    <w:bookmarkStart w:id="28" w:name="page29"/>
    <w:bookmarkEnd w:id="28"/>
    <w:p>
      <w:pPr>
        <w:ind w:left="332" w:right="20" w:hanging="332"/>
        <w:spacing w:after="0" w:line="261" w:lineRule="auto"/>
        <w:tabs>
          <w:tab w:leader="none" w:pos="32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3,125,000 Acquisition PIPE Shares, 1,375,000 Business Combination PIPE Shares, 5,549,244 Legacy Sema4 Holder Shares and 610,416 Earn-out Shares (consisting of 524,100 Initially Allocated Earn-Out Shares and 86,316 Reallocated Earn-Out Shares) held by Deerfield Private Design Fund V, L.P. (“Deerfield Private Design”), and (ii) 1,875,000 Acquisition PIPE Shares, 1,375,000 Business Combination PIPE Shares, 5,549,244 Legacy Sema4 Holder Shares and 610,416 Earn-out Shares (consisting of 524,100 Initially Allocated Earn-Out Shares and 86,316 Reallocated Earn-Out Shares) held by Deerfield Partners, L.P. (“Deerfield Partners”). Deerfield Mgmt V, L.P. is the general partner of Deerfield Private Design Fund V, L.P. Deerfield Mgmt, L.P. is the general partner of Deerfield Partners, L.P. Deerfield Management Company, L.P. is the investment manager of each of Deerfield Private Design Fund V, L.P. and Deerfield Partners, L.P. Mr. James E. Flynn is the sole member of the general partner of each of Deerfield Private Design Fund V, L.P., Deerfield Partners, L.P. and Deerfield Management Company, L.P. Deerfield Mgmt V, L.P. may be deemed to beneficially own the securities held by Deerfield Private Design Fund V, L.P. Deerfield Mgmt, L.P. may be deemed to beneficially own the securities held by Deerfield Partners, L.P. Each of Deerfield Management Company, L.P. and Mr. Flynn may be deemed to beneficially own the securities held by each of Deerfield Private Design Fund V, L.P. and Deerfield Partners, L.P. The address for the foregoing entities and individual is 345 Park Avenue South, 12th Floor, New York, NY 10010.</w:t>
      </w:r>
    </w:p>
    <w:p>
      <w:pPr>
        <w:spacing w:after="0" w:line="165" w:lineRule="exact"/>
        <w:rPr>
          <w:rFonts w:ascii="Times New Roman" w:cs="Times New Roman" w:eastAsia="Times New Roman" w:hAnsi="Times New Roman"/>
          <w:sz w:val="14"/>
          <w:szCs w:val="14"/>
          <w:color w:val="auto"/>
        </w:rPr>
      </w:pPr>
    </w:p>
    <w:p>
      <w:pPr>
        <w:ind w:left="332" w:right="20" w:hanging="332"/>
        <w:spacing w:after="0" w:line="256"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166,666 shares of Class A common stock underlying warrants that are exercisable within 60 days of the date of this prospectus held by Emily Leproust and 25,000 Founder Shares. For the purposes of the second table, consists of 166,666 warrants. The first table assumes the exercise in full of the warrants held by Ms. Leproust, and the second table assumes no exercise of the warrants held by Ms. Leproust. Ms. Leproust is member of Sema4 Holdings’ board of directors.</w:t>
      </w:r>
    </w:p>
    <w:p>
      <w:pPr>
        <w:spacing w:after="0" w:line="1" w:lineRule="exact"/>
        <w:rPr>
          <w:rFonts w:ascii="Times New Roman" w:cs="Times New Roman" w:eastAsia="Times New Roman" w:hAnsi="Times New Roman"/>
          <w:sz w:val="14"/>
          <w:szCs w:val="14"/>
          <w:color w:val="auto"/>
        </w:rPr>
      </w:pPr>
    </w:p>
    <w:p>
      <w:pPr>
        <w:ind w:left="332" w:right="20" w:hanging="332"/>
        <w:spacing w:after="0" w:line="257"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6,250,000 Acquisition PIPE Shares, 88,355,473 Legacy Sema4 Holder Shares and 11,597,198 Earn-out Shares (consisting of 9,957,284 Initially Allocated Earn-Out Shares and 1,639,914 Reallocated Earn-Out Shares).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1,000,000 Business Combination PIPE Shares held by JS Capital LLC.</w:t>
      </w:r>
    </w:p>
    <w:p>
      <w:pPr>
        <w:spacing w:after="0" w:line="11" w:lineRule="exact"/>
        <w:rPr>
          <w:rFonts w:ascii="Times New Roman" w:cs="Times New Roman" w:eastAsia="Times New Roman" w:hAnsi="Times New Roman"/>
          <w:sz w:val="14"/>
          <w:szCs w:val="14"/>
          <w:color w:val="auto"/>
        </w:rPr>
      </w:pPr>
    </w:p>
    <w:p>
      <w:pPr>
        <w:ind w:left="332" w:right="120" w:hanging="332"/>
        <w:spacing w:after="0" w:line="261"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100,000 Business Combination PIPE Shares and 166,666 shares of Class A common stock underlying warrants that are exercisable within 60 days of the date of this prospectus held by M. Munib Z. For the purposes of the second table, consists of 166,666 warrants. The first table assumes the exercise in full of the warrants held by M. Munib Z., and the second table assumes no exercise of the warrants held by M. Munib Z.</w:t>
      </w:r>
    </w:p>
    <w:p>
      <w:pPr>
        <w:spacing w:after="0" w:line="1" w:lineRule="exact"/>
        <w:rPr>
          <w:rFonts w:ascii="Times New Roman" w:cs="Times New Roman" w:eastAsia="Times New Roman" w:hAnsi="Times New Roman"/>
          <w:sz w:val="14"/>
          <w:szCs w:val="14"/>
          <w:color w:val="auto"/>
        </w:rPr>
      </w:pPr>
    </w:p>
    <w:p>
      <w:pPr>
        <w:ind w:left="332" w:right="380" w:hanging="332"/>
        <w:spacing w:after="0" w:line="254"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110,977 Earn-out Shares (consisting of 95,283 Initially Allocated Earn-Out Shares and 15,694 Reallocated Earn- Out Shares) held by Moore Strategic Ventures, LLC (“MSV LLC”). Louis Bacon is the indirect majority owner of MSV LLC, has voting and investment control over shares held by MSV LLC, and may be deemed the beneficial owner of shares held by MSV LLC. The address of MSV LLC and Mr. Bacon is 11 Times Square, 38th Floor, New York, New York 10036.</w:t>
      </w:r>
    </w:p>
    <w:p>
      <w:pPr>
        <w:spacing w:after="0" w:line="1" w:lineRule="exact"/>
        <w:rPr>
          <w:rFonts w:ascii="Times New Roman" w:cs="Times New Roman" w:eastAsia="Times New Roman" w:hAnsi="Times New Roman"/>
          <w:sz w:val="14"/>
          <w:szCs w:val="14"/>
          <w:color w:val="auto"/>
        </w:rPr>
      </w:pPr>
    </w:p>
    <w:p>
      <w:pPr>
        <w:ind w:left="332" w:hanging="332"/>
        <w:spacing w:after="0" w:line="256"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166,666 shares of Class A common stock underlying warrants that are exercisable within 60 days of the date of this prospectus held by Nat Turner and 25,000 Founder Shares. For the purposes of the second table, consists of 166,666 warrants. The first table assumes the exercise in full of the warrants held by Mr. Turner, and the second table assumes no exercise of the warrants held by Mr. Turner.</w:t>
      </w:r>
    </w:p>
    <w:p>
      <w:pPr>
        <w:spacing w:after="0" w:line="1" w:lineRule="exact"/>
        <w:rPr>
          <w:rFonts w:ascii="Times New Roman" w:cs="Times New Roman" w:eastAsia="Times New Roman" w:hAnsi="Times New Roman"/>
          <w:sz w:val="14"/>
          <w:szCs w:val="14"/>
          <w:color w:val="auto"/>
        </w:rPr>
      </w:pPr>
    </w:p>
    <w:p>
      <w:pPr>
        <w:ind w:left="332" w:right="100" w:hanging="332"/>
        <w:spacing w:after="0" w:line="259"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5,571,207 Legacy Sema4 Holder Shares and 731,255 Earn-Out Shares (consisting of 627,851 Initially Allocated Earn-Out Shares and 103,404 Reallocated Earn-Out Shares).</w:t>
      </w: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80,000,000 Stock Consideration Shares and (ii) 30,864,198 Milestone Shares held by OPKO.</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2,500,000 Acquisition PIPE Shares and 2,500,000 Business Combination PIPE Shares held by Perceptive Life Sciences Master Fund, Ltd.</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6,250,000 Acquisition PIPE Shares held by Pfizer Inc.</w:t>
      </w:r>
    </w:p>
    <w:p>
      <w:pPr>
        <w:spacing w:after="0" w:line="4" w:lineRule="exact"/>
        <w:rPr>
          <w:rFonts w:ascii="Times New Roman" w:cs="Times New Roman" w:eastAsia="Times New Roman" w:hAnsi="Times New Roman"/>
          <w:sz w:val="14"/>
          <w:szCs w:val="14"/>
          <w:color w:val="auto"/>
        </w:rPr>
      </w:pPr>
    </w:p>
    <w:p>
      <w:pPr>
        <w:ind w:left="332" w:right="100" w:hanging="332"/>
        <w:spacing w:after="0" w:line="257"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1,250,000 Acquisition PIPE Shares, 7,449,227 Legacy Sema4 Holder Shares and 819,416 Earn-Out Shares (consisting of 703,545 Initially Allocated Earn-Out Shares and 115,871 Reallocated Earn-Out Shares). held by Section 32 Fund 2, L.P. The general partner of Section 32 Fund 2, LP is Section 32 GP 2, LLC. The general partner of Section 32 Fund 2, LP, may be deemed to have voting and dispositive power over the shares held by Section 32 Fund 2, LP. Investment decisions with respect to the shares held by Section 32 Fund 2, LP are made by the managing member of Section 32 GP 2, LLC, William J. Maris, and, therefore, Mr. Maris may be deemed to be the beneficial ownership of all shares held by Section 32 Fund 2, LP. Michael Pellini serves on the Board of Directors of Sema4 and is a Member of Section 32 GP 2, LLC. The address for all entities and individuals affiliated with Section 32 Fund 2, LP is 171 Main St. #671, Los Altos, CA 94022.</w:t>
      </w:r>
    </w:p>
    <w:p>
      <w:pPr>
        <w:spacing w:after="0" w:line="1" w:lineRule="exact"/>
        <w:rPr>
          <w:rFonts w:ascii="Times New Roman" w:cs="Times New Roman" w:eastAsia="Times New Roman" w:hAnsi="Times New Roman"/>
          <w:sz w:val="14"/>
          <w:szCs w:val="14"/>
          <w:color w:val="auto"/>
        </w:rPr>
      </w:pPr>
    </w:p>
    <w:p>
      <w:pPr>
        <w:ind w:left="332" w:right="60" w:hanging="332"/>
        <w:spacing w:after="0" w:line="257"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1,250,000 Acquisition PIPE Shares and1,500,000 Business Combination PIPE Shares held by Third Point Loan LLC. (“TP Loan”). TP Loan holds the securities listed herein as nominee for funds managed and/or advised by Third Point LLC (Third Point”) and not in its individual capacity. Daniel S. Loeb is the Chief Executive Officer of Third Point. By reason of the provisions of Rule 13d-3 under the Securities Exchange Act of 1934, as amended, Third Point and Mr. Loeb may be deemed to be the beneficial owners of the securities beneficially owned by TP Loan. Third Point and Mr. Loeb hereby disclaim beneficial ownership of all such securities, except to the extent of any indirect pecuniary interest therein. The business address for Mr. Loeb and the entities identified in this footnote is c/o Third Point LLC, 55 Hudson Yards, 51st Floor, New York, NY 10001.</w:t>
      </w:r>
    </w:p>
    <w:p>
      <w:pPr>
        <w:spacing w:after="0" w:line="2" w:lineRule="exact"/>
        <w:rPr>
          <w:rFonts w:ascii="Times New Roman" w:cs="Times New Roman" w:eastAsia="Times New Roman" w:hAnsi="Times New Roman"/>
          <w:sz w:val="14"/>
          <w:szCs w:val="14"/>
          <w:color w:val="auto"/>
        </w:rPr>
      </w:pPr>
    </w:p>
    <w:p>
      <w:pPr>
        <w:ind w:left="332" w:right="20" w:hanging="332"/>
        <w:spacing w:after="0" w:line="256"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666,431 Business Combination PIPE Shares held by T. Rowe Price Health Sciences Fund (“T. Rowe Health Sciences Fund”), 53,808 Business Combination PIPE Shares held by TD Mutual Funds - TD Health Sciences Fund (“TD Health Sciences Fund”) and 29,761 Business Combination PIPE Shares held by T. Rowe Price Health Sciences Portfolio (“T. Rowe Health Sciences Portfolio”).</w:t>
      </w:r>
    </w:p>
    <w:p>
      <w:pPr>
        <w:spacing w:after="0" w:line="1" w:lineRule="exact"/>
        <w:rPr>
          <w:rFonts w:ascii="Times New Roman" w:cs="Times New Roman" w:eastAsia="Times New Roman" w:hAnsi="Times New Roman"/>
          <w:sz w:val="14"/>
          <w:szCs w:val="14"/>
          <w:color w:val="auto"/>
        </w:rPr>
      </w:pPr>
    </w:p>
    <w:p>
      <w:pPr>
        <w:ind w:left="332" w:right="480" w:hanging="332"/>
        <w:spacing w:after="0" w:line="278" w:lineRule="auto"/>
        <w:tabs>
          <w:tab w:leader="none" w:pos="329"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(i) 1,632,963 Acquisition PIPE Shares held by Vaal Investment Partners Q9 LP, (ii) 329,665 Acquisition PIPE Shares held by RUGU2 LLC and (iii) 162,372 Acquisition PIPE Shares held by Kariba LLC. These entities are affiliated with Joshua Ruch, a member of our Board.</w:t>
      </w:r>
    </w:p>
    <w:p>
      <w:pPr>
        <w:spacing w:after="0" w:line="124" w:lineRule="exact"/>
        <w:rPr>
          <w:rFonts w:ascii="Times New Roman" w:cs="Times New Roman" w:eastAsia="Times New Roman" w:hAnsi="Times New Roman"/>
          <w:sz w:val="14"/>
          <w:szCs w:val="14"/>
          <w:color w:val="auto"/>
        </w:rPr>
      </w:pPr>
    </w:p>
    <w:p>
      <w:pPr>
        <w:ind w:left="332" w:right="180"/>
        <w:spacing w:after="0" w:line="30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entered into the Amended and Restated Registration Rights Agreement, the Business Combination Subscription Agreements, the Shareholder Agreements and/or the Acquisition Subscription Agreements with the Selling Securityholders party thereto pursuant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32"/>
          </w:cols>
          <w:pgMar w:left="328"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among other things, we have provided them with certain registration rights and agreed to pay certain expenses and indemnify them from certain liabilities in connection with this offering.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more information, see “Plan of Distribution”.</w:t>
      </w:r>
    </w:p>
    <w:p>
      <w:pPr>
        <w:spacing w:after="0" w:line="1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For additional information regarding certain related party transactions involving our officers, directors and other related parties, see the section “Certain Relationships and Related Party Transactions and Director Independence” beginning on page 171 of our Annual Report on Form 10-K for the fiscal year ended December 31, 2021,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660" w:top="1413" w:right="519" w:bottom="1440" w:gutter="0" w:footer="0" w:header="0"/>
        </w:sectPr>
      </w:pPr>
    </w:p>
    <w:bookmarkStart w:id="30" w:name="page31"/>
    <w:bookmarkEnd w:id="3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Selling Securityholders, which as used herein includes donees, pledgees, transferees, distributees or other successors-in-interest selling shares of our Class A common stock or warrants or interests in our Class A common stock or warrants received after the date of this prospectus from the Selling Securityholders as a gift, pledge, partnership distribution or other transfer, may, from time to time, sell, transfer, distribute or otherwise dispose of certain of their shares of Class A common stock or warrants or interests in our Class A common stock or warrants on any stock exchange, market or trading facility on which shares of our Class A common stock or warrants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shares of Class A common stock or warrants or interests therein:</w:t>
      </w:r>
    </w:p>
    <w:p>
      <w:pPr>
        <w:spacing w:after="0" w:line="10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block trades (which may involve crosses) in which the broker-dealer will attempt to sell the shares of Class A common stock or warrants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employees, partners, members or stockholders;</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(including short sales “against the box”) effected after the date of the registration statement of which this prospectus is a part is declared effective by the SEC;</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standardized or over-the-counter options or other hedging transactions, whether through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and stockholders, in a rights offering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of Class A common stock or warrants at a stipulated price per share;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may effect the distribution of our Class A common stock and warrants from time to time in one or more transactions either:</w:t>
      </w:r>
    </w:p>
    <w:p>
      <w:pPr>
        <w:spacing w:after="0" w:line="17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440" w:right="359" w:bottom="1440" w:gutter="0" w:footer="0" w:header="0"/>
        </w:sectPr>
      </w:pPr>
    </w:p>
    <w:bookmarkStart w:id="31" w:name="page32"/>
    <w:bookmarkEnd w:id="31"/>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our Class A common stock or warrants owned by them and, if a Selling Securityholder defaults in the performance of its secured obligations, the pledgees or secured parties may offer and sell such shares of Class A common stock or warrants from time to time, under this prospectus, or under an amendment or supplement to this prospectus under Rule 424(b)(3) or other applicable provision of the Securities Act amending the list of the Selling Securityholders to include the pledgee, transferee or other successors in interest as the Selling Securityholders under this prospectus. The Selling Securityholders also may transfer shares of our Class A common stock or warrants in other circumstances, in which case the transferees, pledgees or other successors in interest will be the selling beneficial owners for purposes of this prospectus.</w:t>
      </w:r>
    </w:p>
    <w:p>
      <w:pPr>
        <w:spacing w:after="0" w:line="13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 underwriter, broker-dealer or agent against certain liabilities related to the sale of our Class A common stock and warrants, including liabilities under the Securities Act. The Selling Securityholders have advised us that they have not entered into any agreements, understandings or arrangements with any underwriters or broker-dealers regarding the sale of their Class A common stock and warrants. Upon our notification by a Selling Securityholder that any material arrangement has been entered into with an underwriter or broker-dealer for the sale of Class A common stock and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3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and warrants being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other compensation paid to underwriters or broker-dealers and any discounts, commissions or concessions allowed or reallowed or paid by any underwriters to dealers;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 from the sale of the Class A common stock and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17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upon being notified by a Selling Securityholder that a donee, pledgee, transferee or other successor-in-interest intends to sell Class A common stock and warrants, we will, to the extent required, promptly file a supplement to this prospectus to name specifically such person as a Selling Securityholder.</w:t>
      </w:r>
    </w:p>
    <w:p>
      <w:pPr>
        <w:spacing w:after="0" w:line="12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Securityholders have a material relationship. The Selling Securityholders (or their affiliates) will describe the nature of any such relationship in the applicable prospectus supplement.</w:t>
      </w:r>
    </w:p>
    <w:p>
      <w:pPr>
        <w:spacing w:after="0" w:line="12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the Selling Securityholders will sell, nor are the Selling Securityholders required to sell, any or all of the Class A common stock and warrants offered under this prospectus.</w:t>
      </w:r>
    </w:p>
    <w:p>
      <w:pPr>
        <w:spacing w:after="0" w:line="10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sale of shares of our Class A common stock or warrants or interests therein, the Selling Securityholder may enter into hedging transactions with broker-dealers or other financial institutions, which may in turn engage in short sales of our Class A common stock or warrants in the course of hedging the positions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17" w:right="339" w:bottom="1440" w:gutter="0" w:footer="0" w:header="0"/>
        </w:sectPr>
      </w:pPr>
    </w:p>
    <w:bookmarkStart w:id="32" w:name="page33"/>
    <w:bookmarkEnd w:id="32"/>
    <w:p>
      <w:pPr>
        <w:ind w:right="20"/>
        <w:spacing w:after="0" w:line="256" w:lineRule="auto"/>
        <w:rPr>
          <w:sz w:val="20"/>
          <w:szCs w:val="20"/>
          <w:color w:val="auto"/>
        </w:rPr>
      </w:pPr>
      <w:r>
        <w:rPr>
          <w:rFonts w:ascii="Times New Roman" w:cs="Times New Roman" w:eastAsia="Times New Roman" w:hAnsi="Times New Roman"/>
          <w:sz w:val="18"/>
          <w:szCs w:val="18"/>
          <w:color w:val="auto"/>
        </w:rPr>
        <w:t>assume. The Selling Securityholders may also sell shares of our Class A common stock or warrants short and deliver these securities to close out their short positions, or loan or pledge shares of our Class A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offered by this prospectus, which shares such broker-dealer or other financial institution may resell pursuant to this prospectus (as supplemented or amended to reflect such transaction).</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shares of our Class A common stock or warrants offered by them will be the purchase price of such shares of our Class A common stock or warrants less discounts or commissions, if any. The Selling Securityholders reserve the right to accept and, together with their agents from time to time, to reject, in whole or in part, any proposed purchase of shares of our Class A common stock or warrants to be made directly or through agents. We will not receive any of the proceeds from any offering by the Selling Securityholders.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Selling Securityholders also may in the future resell a portion of our Class A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shares of our Class A common stock or warrants or interests therein may be “underwriters” within the meaning of Section 2(11) of the Securities Act. Any discounts, commissions, concessions or profit they earn on any resale of shares of our Class A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3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To the extent required, our Class A common stock or warrants to be sold, the respective purchase price and public offering price,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To facilitate the offering of shares of our Class A common stock and warrants offered by the Selling Securityholders, certain persons participating in the offering may engage in transactions that stabilize, maintain or otherwise affect the price of our Class A common stock or warrants. This may include over-allotments or short sales, which involve the sale by persons participating in the offering of more shares of Class A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or warrants by bidding for or purchasing shares of Class A common stock or warrants in the open market or by imposing penalty bids, whereby selling concessions allowed to dealers participating in the offering may be reclaimed if shares of Class A common stock or warrants sold by them are repurchased in connection with stabilization transactions. The effect of these transactions may be to stabilize or maintain the market price of our Class A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4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the Business Combination Subscription Agreements, the Shareholder Agreements and the Acquisition Subscription Agreements, 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17" w:right="339" w:bottom="1440" w:gutter="0" w:footer="0" w:header="0"/>
        </w:sectPr>
      </w:pPr>
    </w:p>
    <w:bookmarkStart w:id="33" w:name="page34"/>
    <w:bookmarkEnd w:id="33"/>
    <w:p>
      <w:pPr>
        <w:ind w:right="320"/>
        <w:spacing w:after="0" w:line="282"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any underwriter, broker-dealer or agent against certain liabilities related to the selling of the securities, including liabilities arising under the Securities Act.</w:t>
      </w:r>
    </w:p>
    <w:p>
      <w:pPr>
        <w:spacing w:after="0" w:line="10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and the Shareholder Agreements, we have agreed to use our commercially reasonable efforts to cause the registration statement of which this prospectus forms a part to remain effective with respect to any securities registered hereunder pursuant to such agreement, as applicable,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as applicable,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Business Combination Subscription Agreement and Acquisition Subscription Agreement, we have agreed to our commercially reasonable efforts to maintain the continuous effectiveness of the registration statement of which this prospectus forms a part with respect to any securities registered hereunder pursuant to such agreement, as applicable, until: (A) with respect to a Selling Securityholder party to such agreement, as applicable,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 (C) when such securities shall have ceased to be outstanding or three years from the date of effectiveness of our registration statement on Form S-1 (File No. 333-258467), originally filed with the SEC on August 4, 2021, or our registration statement on Form S-1 (File No. 333-264626), originally filed with the SEC on May 3, 2022, as applicable; or (B) such shorter period upon which such Selling Securityholder has notified us that such securities have actually been sold. Under the warrant agreement, we have agreed to maintain the effectiveness of this registration statement in respect of the shares of Class A common stock issuable upon the exercise of the public warrants and the private placement warrants until the expiration or redemption of such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Securityholders may use this prospectus in connection with resales of shares of our Class A common stock and warrants. This prospectus and any accompanying prospectus supplement will identify the Selling Securityholders, the terms of our Class A common stock or warrants and any material relationships between us and the Selling Securityholders. Selling Securityholders may be deemed to be underwriters under the Securities Act in connection with shares of our Class A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or warrants.</w:t>
      </w:r>
    </w:p>
    <w:p>
      <w:pPr>
        <w:spacing w:after="0" w:line="1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 Selling Securityholders that is an entity may elect to make an in-kind distribution of Class A common stock or warrants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Class A common stock or warrants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17" w:right="339" w:bottom="1440" w:gutter="0" w:footer="0" w:header="0"/>
        </w:sectPr>
      </w:pPr>
    </w:p>
    <w:bookmarkStart w:id="34" w:name="page35"/>
    <w:bookmarkEnd w:id="34"/>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Fenwick &amp; West LLP. Any underwriters or agents will be advised about other issues relating to the offering by counsel to be named in the applicable prospectus supplement.</w:t>
      </w:r>
    </w:p>
    <w:p>
      <w:pPr>
        <w:spacing w:after="0" w:line="1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appearing in Sema4 Holdings Corp.’s Annual Report (Form 10-K) for the year ended December 31, 2021,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combined carve out financial statements of GeneDx, Inc. and subsidiary at December 31, 2021 and 2020, and for each of the two years in the period ended December 31, 2021, included in the Proxy Statement of Sema4 Holdings Corp. dated March 31, 2022, incorporated by reference in this Prospectus and Registration Statement have been audited by Ernst &amp; Young LLP, independent auditors, as set forth in their report thereon, and are incorporated herein by reference in reliance upon such report given on the authority of such firm as experts in accounting and auditing.</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http://www.sec.gov.</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address is www.sema4.com. The information on our website, however, is not, and should not be deemed to be, a part of this prospectus.</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prospectus and any applicable prospectus supplement are part of a registration statement that we filed with the SEC and do not contain all of the information in the registration statement. The full registration statement may be obtained from the SEC or us, as provided below.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14">
        <w:r>
          <w:rPr>
            <w:rFonts w:ascii="Times New Roman" w:cs="Times New Roman" w:eastAsia="Times New Roman" w:hAnsi="Times New Roman"/>
            <w:sz w:val="18"/>
            <w:szCs w:val="18"/>
            <w:u w:val="single" w:color="auto"/>
            <w:color w:val="0000FF"/>
          </w:rPr>
          <w:t>March 14, 2022</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ectPr>
          <w:pgSz w:w="11900" w:h="16838" w:orient="portrait"/>
          <w:cols w:equalWidth="0" w:num="1">
            <w:col w:w="11160"/>
          </w:cols>
          <w:pgMar w:left="320" w:top="1440" w:right="419" w:bottom="1440" w:gutter="0" w:footer="0" w:header="0"/>
        </w:sectPr>
      </w:pPr>
    </w:p>
    <w:bookmarkStart w:id="35" w:name="page36"/>
    <w:bookmarkEnd w:id="35"/>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2022, filed with the SEC on </w:t>
      </w:r>
      <w:hyperlink r:id="rId15">
        <w:r>
          <w:rPr>
            <w:rFonts w:ascii="Times New Roman" w:cs="Times New Roman" w:eastAsia="Times New Roman" w:hAnsi="Times New Roman"/>
            <w:sz w:val="18"/>
            <w:szCs w:val="18"/>
            <w:u w:val="single" w:color="auto"/>
            <w:color w:val="0000FF"/>
          </w:rPr>
          <w:t>May 12, 2022</w:t>
        </w:r>
      </w:hyperlink>
      <w:r>
        <w:rPr>
          <w:rFonts w:ascii="Times New Roman" w:cs="Times New Roman" w:eastAsia="Times New Roman" w:hAnsi="Times New Roman"/>
          <w:sz w:val="18"/>
          <w:szCs w:val="18"/>
          <w:color w:val="auto"/>
        </w:rPr>
        <w:t xml:space="preserve">, and our Quarterly Report on Form 10-Q for the quarterly period ended June 30, 2022, filed with the SEC on </w:t>
      </w:r>
      <w:hyperlink r:id="rId16">
        <w:r>
          <w:rPr>
            <w:rFonts w:ascii="Times New Roman" w:cs="Times New Roman" w:eastAsia="Times New Roman" w:hAnsi="Times New Roman"/>
            <w:sz w:val="18"/>
            <w:szCs w:val="18"/>
            <w:u w:val="single" w:color="auto"/>
            <w:color w:val="0000FF"/>
          </w:rPr>
          <w:t>August 15, 2022</w:t>
        </w:r>
      </w:hyperlink>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20"/>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our Current Reports on Form 8-K filed with the SEC on </w:t>
      </w:r>
      <w:hyperlink r:id="rId17">
        <w:r>
          <w:rPr>
            <w:rFonts w:ascii="Times New Roman" w:cs="Times New Roman" w:eastAsia="Times New Roman" w:hAnsi="Times New Roman"/>
            <w:sz w:val="18"/>
            <w:szCs w:val="18"/>
            <w:u w:val="single" w:color="auto"/>
            <w:color w:val="0000FF"/>
          </w:rPr>
          <w:t>January 18,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(but only with respect to Items 1.01, 3.02, 5.02 and Exhibits 2.1, 10.1, </w:t>
      </w:r>
      <w:hyperlink r:id="rId18">
        <w:r>
          <w:rPr>
            <w:rFonts w:ascii="Times New Roman" w:cs="Times New Roman" w:eastAsia="Times New Roman" w:hAnsi="Times New Roman"/>
            <w:sz w:val="18"/>
            <w:szCs w:val="18"/>
            <w:color w:val="auto"/>
          </w:rPr>
          <w:t xml:space="preserve">10.2, 10.3 and 10.4 thereto), </w:t>
        </w:r>
        <w:r>
          <w:rPr>
            <w:rFonts w:ascii="Times New Roman" w:cs="Times New Roman" w:eastAsia="Times New Roman" w:hAnsi="Times New Roman"/>
            <w:sz w:val="18"/>
            <w:szCs w:val="18"/>
            <w:u w:val="single" w:color="auto"/>
            <w:color w:val="0000FF"/>
          </w:rPr>
          <w:t>January 31,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14, 2022</w:t>
        </w:r>
        <w:r>
          <w:rPr>
            <w:rFonts w:ascii="Times New Roman" w:cs="Times New Roman" w:eastAsia="Times New Roman" w:hAnsi="Times New Roman"/>
            <w:sz w:val="18"/>
            <w:szCs w:val="18"/>
            <w:color w:val="auto"/>
          </w:rPr>
          <w:t xml:space="preserve"> (but only with respect to Item 4.02 and 9.01 thereto), </w:t>
        </w:r>
        <w:r>
          <w:rPr>
            <w:rFonts w:ascii="Times New Roman" w:cs="Times New Roman" w:eastAsia="Times New Roman" w:hAnsi="Times New Roman"/>
            <w:sz w:val="18"/>
            <w:szCs w:val="18"/>
            <w:u w:val="single" w:color="auto"/>
            <w:color w:val="0000FF"/>
          </w:rPr>
          <w:t>April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May 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(but only with respect to Items 1.01, 2.01, 3.02, 5.02, 5.03, 8.01, 9.01(a) and 9.01(b), and Exhibits 2.1, 3.1, 10.1, 10.2, 23.1, 99.2 and </w:t>
        </w:r>
      </w:hyperlink>
      <w:r>
        <w:rPr>
          <w:rFonts w:ascii="Times New Roman" w:cs="Times New Roman" w:eastAsia="Times New Roman" w:hAnsi="Times New Roman"/>
          <w:sz w:val="18"/>
          <w:szCs w:val="18"/>
          <w:color w:val="0000FF"/>
        </w:rPr>
        <w:t xml:space="preserve">99.3 </w:t>
      </w:r>
      <w:r>
        <w:rPr>
          <w:rFonts w:ascii="Times New Roman" w:cs="Times New Roman" w:eastAsia="Times New Roman" w:hAnsi="Times New Roman"/>
          <w:sz w:val="18"/>
          <w:szCs w:val="18"/>
          <w:color w:val="000000"/>
        </w:rPr>
        <w:t xml:space="preserve">thereto), </w:t>
      </w:r>
      <w:hyperlink r:id="rId19">
        <w:r>
          <w:rPr>
            <w:rFonts w:ascii="Times New Roman" w:cs="Times New Roman" w:eastAsia="Times New Roman" w:hAnsi="Times New Roman"/>
            <w:sz w:val="18"/>
            <w:szCs w:val="18"/>
            <w:u w:val="single" w:color="auto"/>
            <w:color w:val="0000FF"/>
          </w:rPr>
          <w:t>June 14,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(but only with respect to Items 5.02 and 9.01), </w:t>
      </w:r>
      <w:hyperlink r:id="rId20">
        <w:r>
          <w:rPr>
            <w:rFonts w:ascii="Times New Roman" w:cs="Times New Roman" w:eastAsia="Times New Roman" w:hAnsi="Times New Roman"/>
            <w:sz w:val="18"/>
            <w:szCs w:val="18"/>
            <w:u w:val="single" w:color="auto"/>
            <w:color w:val="0000FF"/>
          </w:rPr>
          <w:t>July 1, 2022</w:t>
        </w:r>
      </w:hyperlink>
      <w:r>
        <w:rPr>
          <w:rFonts w:ascii="Times New Roman" w:cs="Times New Roman" w:eastAsia="Times New Roman" w:hAnsi="Times New Roman"/>
          <w:sz w:val="18"/>
          <w:szCs w:val="18"/>
          <w:color w:val="000000"/>
        </w:rPr>
        <w:t xml:space="preserve">, and </w:t>
      </w:r>
      <w:hyperlink r:id="rId21">
        <w:r>
          <w:rPr>
            <w:rFonts w:ascii="Times New Roman" w:cs="Times New Roman" w:eastAsia="Times New Roman" w:hAnsi="Times New Roman"/>
            <w:sz w:val="18"/>
            <w:szCs w:val="18"/>
            <w:u w:val="single" w:color="auto"/>
            <w:color w:val="0000FF"/>
          </w:rPr>
          <w:t>August 26,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(but only with respect to Items 5.02, 8.01, 9.01(a) and 9.01(b), and Exhibits 10.1, 99.2 and 99.3);</w:t>
      </w:r>
    </w:p>
    <w:p>
      <w:pPr>
        <w:spacing w:after="0" w:line="129" w:lineRule="exact"/>
        <w:rPr>
          <w:rFonts w:ascii="Times New Roman" w:cs="Times New Roman" w:eastAsia="Times New Roman" w:hAnsi="Times New Roman"/>
          <w:sz w:val="18"/>
          <w:szCs w:val="18"/>
          <w:color w:val="000000"/>
        </w:rPr>
      </w:pPr>
    </w:p>
    <w:p>
      <w:pPr>
        <w:ind w:left="660" w:right="1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combined carve-out balance sheets of GeneDx and subsidiary as of December 31, 2021 and 2020, the related audited combined carve out statements of comprehensive loss, equity and cash flows for each of the two years in the period ended December 31, 2021, and the related notes are included in our definitive proxy statement filed with the SEC on March 31, 2022 beginning on page F-41; and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contained in our Registration Statement on </w:t>
      </w:r>
      <w:hyperlink r:id="rId2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31, 2020, as updated by the description of our Class A common stock contained in Exhibit 4.4 to our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2021, including any subsequent amendments or reports filed for the purpose of updating such description.</w:t>
      </w:r>
    </w:p>
    <w:p>
      <w:pPr>
        <w:spacing w:after="0" w:line="122" w:lineRule="exact"/>
        <w:rPr>
          <w:rFonts w:ascii="Times New Roman" w:cs="Times New Roman" w:eastAsia="Times New Roman" w:hAnsi="Times New Roman"/>
          <w:sz w:val="18"/>
          <w:szCs w:val="18"/>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of such person, a copy of any or all of the documents incorporated by reference in this prospectus, other than exhibits to such documents unless such exhibits are specifically incorporated by reference into such documents. Requests may be made by telephone at 1(800) 298-6470, or by sending a written request to Sema4 Holdings Corp., 333 Ludlow Street, North Tower, 8th Floor, Stamford, Connecticut 06902, Attention: Investor Relations.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1417" w:right="359" w:bottom="1440" w:gutter="0" w:footer="0" w:header="0"/>
        </w:sectPr>
      </w:pPr>
    </w:p>
    <w:bookmarkStart w:id="36" w:name="page37"/>
    <w:bookmarkEnd w:id="36"/>
    <w:p>
      <w:pPr>
        <w:spacing w:after="0" w:line="1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in connection with the offering of the securities being registered, all of which will be paid by the registrant (except any underwriting discounts and commissions and expenses incurred by the selling securityholders in disposing of the securities).: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registration fee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332,257</w:t>
            </w:r>
          </w:p>
        </w:tc>
        <w:tc>
          <w:tcPr>
            <w:tcW w:w="0" w:type="dxa"/>
            <w:vAlign w:val="bottom"/>
          </w:tcPr>
          <w:p>
            <w:pPr>
              <w:spacing w:after="0"/>
              <w:rPr>
                <w:sz w:val="1"/>
                <w:szCs w:val="1"/>
                <w:color w:val="auto"/>
              </w:rPr>
            </w:pPr>
          </w:p>
        </w:tc>
      </w:tr>
      <w:tr>
        <w:trPr>
          <w:trHeight w:val="229"/>
        </w:trPr>
        <w:tc>
          <w:tcPr>
            <w:tcW w:w="9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Legal fees and expenses</w:t>
            </w:r>
            <w:r>
              <w:rPr>
                <w:rFonts w:ascii="Times New Roman" w:cs="Times New Roman" w:eastAsia="Times New Roman" w:hAnsi="Times New Roman"/>
                <w:sz w:val="23"/>
                <w:szCs w:val="23"/>
                <w:color w:val="auto"/>
                <w:vertAlign w:val="superscript"/>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Accounting fees and expenses</w:t>
            </w:r>
            <w:r>
              <w:rPr>
                <w:rFonts w:ascii="Times New Roman" w:cs="Times New Roman" w:eastAsia="Times New Roman" w:hAnsi="Times New Roman"/>
                <w:sz w:val="23"/>
                <w:szCs w:val="23"/>
                <w:color w:val="auto"/>
                <w:vertAlign w:val="superscript"/>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6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Printer fees and Miscellaneous expenses</w:t>
            </w:r>
            <w:r>
              <w:rPr>
                <w:rFonts w:ascii="Times New Roman" w:cs="Times New Roman" w:eastAsia="Times New Roman" w:hAnsi="Times New Roman"/>
                <w:sz w:val="23"/>
                <w:szCs w:val="23"/>
                <w:color w:val="auto"/>
                <w:vertAlign w:val="superscript"/>
              </w:rPr>
              <w: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96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w:t>
            </w: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66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fees and expenses not currently known.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Officers and Directors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certificate of incorporation, as amended (the “Certificate of Incorporation”), contains provisions that eliminate the personal liability of its directors for monetary damages for any breach of fiduciary duties as a director, except liability for the following:</w:t>
      </w:r>
    </w:p>
    <w:p>
      <w:pPr>
        <w:spacing w:after="0" w:line="12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Registrant or its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and stock purchases);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restated bylaws (the “Bylaws”) provide that:</w:t>
      </w:r>
    </w:p>
    <w:p>
      <w:pPr>
        <w:spacing w:after="0" w:line="171" w:lineRule="exact"/>
        <w:rPr>
          <w:sz w:val="20"/>
          <w:szCs w:val="20"/>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officers to the fullest extent permitted by the Delaware General Corporation Law, subject to very limited exceptions;</w:t>
      </w:r>
    </w:p>
    <w:p>
      <w:pPr>
        <w:spacing w:after="0" w:line="10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bylaws are not exclusive.</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its directors and executive officers, which provide for indemnification and advancements by the Registrant of certain expenses and costs under certain circumstances. At present, there is no pending litigation or proceeding involving a director or executive officer of the Registrant for which indemnification is sought. The indemnification provisions in the Registrant’s Certificate of Incorporation, Bylaws and the indemnification agreements entered into between the Registrant and each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220"/>
          </w:cols>
          <w:pgMar w:left="320" w:top="1440" w:right="359" w:bottom="1440" w:gutter="0" w:footer="0" w:header="0"/>
        </w:sectPr>
      </w:pPr>
    </w:p>
    <w:bookmarkStart w:id="37" w:name="page38"/>
    <w:bookmarkEnd w:id="37"/>
    <w:p>
      <w:pPr>
        <w:ind w:right="20"/>
        <w:spacing w:after="0" w:line="282" w:lineRule="auto"/>
        <w:rPr>
          <w:sz w:val="20"/>
          <w:szCs w:val="20"/>
          <w:color w:val="auto"/>
        </w:rPr>
      </w:pPr>
      <w:r>
        <w:rPr>
          <w:rFonts w:ascii="Times New Roman" w:cs="Times New Roman" w:eastAsia="Times New Roman" w:hAnsi="Times New Roman"/>
          <w:sz w:val="18"/>
          <w:szCs w:val="18"/>
          <w:color w:val="auto"/>
        </w:rPr>
        <w:t>directors and executive officers may be sufficiently broad to permit indemnification of the Registrant’s directors and executive officers for liabilities arising under the Securities Act.</w:t>
      </w:r>
    </w:p>
    <w:p>
      <w:pPr>
        <w:spacing w:after="0" w:line="108" w:lineRule="exact"/>
        <w:rPr>
          <w:sz w:val="20"/>
          <w:szCs w:val="20"/>
          <w:color w:val="auto"/>
        </w:rPr>
      </w:pPr>
    </w:p>
    <w:p>
      <w:pPr>
        <w:ind w:right="5260"/>
        <w:spacing w:after="0" w:line="525" w:lineRule="auto"/>
        <w:rPr>
          <w:sz w:val="20"/>
          <w:szCs w:val="20"/>
          <w:color w:val="auto"/>
        </w:rPr>
      </w:pPr>
      <w:r>
        <w:rPr>
          <w:rFonts w:ascii="Times New Roman" w:cs="Times New Roman" w:eastAsia="Times New Roman" w:hAnsi="Times New Roman"/>
          <w:sz w:val="18"/>
          <w:szCs w:val="18"/>
          <w:color w:val="auto"/>
        </w:rPr>
        <w:t xml:space="preserve">The Registrant has directors’ and officers’ liability insurance for securities matters. </w:t>
      </w:r>
      <w:r>
        <w:rPr>
          <w:rFonts w:ascii="Times New Roman" w:cs="Times New Roman" w:eastAsia="Times New Roman" w:hAnsi="Times New Roman"/>
          <w:sz w:val="18"/>
          <w:szCs w:val="18"/>
          <w:b w:val="1"/>
          <w:bCs w:val="1"/>
          <w:color w:val="auto"/>
        </w:rPr>
        <w:t xml:space="preserve">Item 16. Exhibits and Financial Statement Schedules </w:t>
      </w:r>
      <w:r>
        <w:rPr>
          <w:rFonts w:ascii="Times New Roman" w:cs="Times New Roman" w:eastAsia="Times New Roman" w:hAnsi="Times New Roman"/>
          <w:sz w:val="18"/>
          <w:szCs w:val="18"/>
          <w:color w:val="auto"/>
        </w:rPr>
        <w:t>(a) Exhibits.</w:t>
      </w:r>
    </w:p>
    <w:p>
      <w:pPr>
        <w:spacing w:after="0" w:line="26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6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78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680" w:type="dxa"/>
            <w:vAlign w:val="bottom"/>
            <w:vMerge w:val="continue"/>
          </w:tcPr>
          <w:p>
            <w:pPr>
              <w:spacing w:after="0"/>
              <w:rPr>
                <w:sz w:val="10"/>
                <w:szCs w:val="10"/>
                <w:color w:val="auto"/>
              </w:rPr>
            </w:pPr>
          </w:p>
        </w:tc>
        <w:tc>
          <w:tcPr>
            <w:tcW w:w="4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0"/>
        </w:trPr>
        <w:tc>
          <w:tcPr>
            <w:tcW w:w="6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6350</wp:posOffset>
            </wp:positionV>
            <wp:extent cx="831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94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gridSpan w:val="30"/>
          </w:tcPr>
          <w:p>
            <w:pPr>
              <w:spacing w:after="0" w:line="193"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Agreement and Plan of Merger, dated February 9, 2021, by</w:t>
              </w:r>
            </w:hyperlink>
          </w:p>
        </w:tc>
        <w:tc>
          <w:tcPr>
            <w:tcW w:w="80" w:type="dxa"/>
            <w:vAlign w:val="bottom"/>
          </w:tcPr>
          <w:p>
            <w:pPr>
              <w:spacing w:after="0"/>
              <w:rPr>
                <w:sz w:val="16"/>
                <w:szCs w:val="16"/>
                <w:color w:val="auto"/>
              </w:rPr>
            </w:pPr>
          </w:p>
        </w:tc>
        <w:tc>
          <w:tcPr>
            <w:tcW w:w="132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DEFM14A</w:t>
            </w:r>
          </w:p>
        </w:tc>
        <w:tc>
          <w:tcPr>
            <w:tcW w:w="80" w:type="dxa"/>
            <w:vAlign w:val="bottom"/>
          </w:tcPr>
          <w:p>
            <w:pPr>
              <w:spacing w:after="0"/>
              <w:rPr>
                <w:sz w:val="16"/>
                <w:szCs w:val="16"/>
                <w:color w:val="auto"/>
              </w:rPr>
            </w:pPr>
          </w:p>
        </w:tc>
        <w:tc>
          <w:tcPr>
            <w:tcW w:w="1320" w:type="dxa"/>
            <w:vAlign w:val="bottom"/>
            <w:tcBorders>
              <w:top w:val="single" w:sz="8" w:color="auto"/>
            </w:tcBorders>
          </w:tcPr>
          <w:p>
            <w:pPr>
              <w:ind w:left="340"/>
              <w:spacing w:after="0" w:line="193" w:lineRule="exact"/>
              <w:rPr>
                <w:sz w:val="20"/>
                <w:szCs w:val="20"/>
                <w:color w:val="auto"/>
              </w:rPr>
            </w:pPr>
            <w:r>
              <w:rPr>
                <w:rFonts w:ascii="Times New Roman" w:cs="Times New Roman" w:eastAsia="Times New Roman" w:hAnsi="Times New Roman"/>
                <w:sz w:val="18"/>
                <w:szCs w:val="18"/>
                <w:color w:val="auto"/>
              </w:rPr>
              <w:t>Annex A</w:t>
            </w:r>
          </w:p>
        </w:tc>
        <w:tc>
          <w:tcPr>
            <w:tcW w:w="100" w:type="dxa"/>
            <w:vAlign w:val="bottom"/>
          </w:tcPr>
          <w:p>
            <w:pPr>
              <w:spacing w:after="0"/>
              <w:rPr>
                <w:sz w:val="16"/>
                <w:szCs w:val="16"/>
                <w:color w:val="auto"/>
              </w:rPr>
            </w:pPr>
          </w:p>
        </w:tc>
        <w:tc>
          <w:tcPr>
            <w:tcW w:w="1320" w:type="dxa"/>
            <w:vAlign w:val="bottom"/>
            <w:tcBorders>
              <w:top w:val="single" w:sz="8" w:color="auto"/>
            </w:tcBorders>
          </w:tcPr>
          <w:p>
            <w:pPr>
              <w:jc w:val="right"/>
              <w:ind w:right="170"/>
              <w:spacing w:after="0" w:line="193" w:lineRule="exact"/>
              <w:rPr>
                <w:sz w:val="20"/>
                <w:szCs w:val="20"/>
                <w:color w:val="auto"/>
              </w:rPr>
            </w:pPr>
            <w:r>
              <w:rPr>
                <w:rFonts w:ascii="Times New Roman" w:cs="Times New Roman" w:eastAsia="Times New Roman" w:hAnsi="Times New Roman"/>
                <w:sz w:val="18"/>
                <w:szCs w:val="18"/>
                <w:color w:val="auto"/>
              </w:rPr>
              <w:t>07/02/2021</w:t>
            </w: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and among CMLS, Merger Sub and Legacy Sema4, as</w:t>
              </w:r>
            </w:hyperlink>
          </w:p>
        </w:tc>
        <w:tc>
          <w:tcPr>
            <w:tcW w:w="3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gridSpan w:val="31"/>
          </w:tcPr>
          <w:p>
            <w:pPr>
              <w:spacing w:after="0" w:line="169"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amended by Amendment to Agreement and Plan of Merger</w:t>
              </w:r>
            </w:hyperlink>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dated May 3, 2021</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Agreement and Plan of Merger and Reorganization, dated as</w:t>
              </w:r>
            </w:hyperlink>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01/18/2022</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gridSpan w:val="31"/>
          </w:tcPr>
          <w:p>
            <w:pPr>
              <w:spacing w:after="0" w:line="15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of January 14, 2022, by and among, Orion Merger Sub I, Inc.,</w:t>
              </w:r>
            </w:hyperlink>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tcBorders>
              <w:top w:val="single" w:sz="8" w:color="0000FF"/>
              <w:bottom w:val="single" w:sz="8" w:color="0000FF"/>
            </w:tcBorders>
            <w:gridSpan w:val="25"/>
          </w:tcPr>
          <w:p>
            <w:pPr>
              <w:spacing w:after="0" w:line="169" w:lineRule="exact"/>
              <w:rPr>
                <w:rFonts w:ascii="Times New Roman" w:cs="Times New Roman" w:eastAsia="Times New Roman" w:hAnsi="Times New Roman"/>
                <w:sz w:val="18"/>
                <w:szCs w:val="18"/>
                <w:color w:val="0000FF"/>
                <w:w w:val="99"/>
              </w:rPr>
            </w:pPr>
            <w:hyperlink r:id="rId25">
              <w:r>
                <w:rPr>
                  <w:rFonts w:ascii="Times New Roman" w:cs="Times New Roman" w:eastAsia="Times New Roman" w:hAnsi="Times New Roman"/>
                  <w:sz w:val="18"/>
                  <w:szCs w:val="18"/>
                  <w:color w:val="0000FF"/>
                  <w:w w:val="99"/>
                </w:rPr>
                <w:t>Orion Merger Sub II, LLC, GeneDx, Inc., GeneDx Holding 2,</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25">
              <w:r>
                <w:rPr>
                  <w:rFonts w:ascii="Times New Roman" w:cs="Times New Roman" w:eastAsia="Times New Roman" w:hAnsi="Times New Roman"/>
                  <w:sz w:val="18"/>
                  <w:szCs w:val="18"/>
                  <w:color w:val="0000FF"/>
                  <w:w w:val="98"/>
                </w:rPr>
                <w:t>Inc. and OPKO Health, Inc.</w:t>
              </w:r>
            </w:hyperlink>
          </w:p>
        </w:tc>
        <w:tc>
          <w:tcPr>
            <w:tcW w:w="248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Amendment to Agreement and Plan of Merger and</w:t>
              </w:r>
            </w:hyperlink>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05/02/2022</w:t>
            </w: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Reorganization, dated as of April 29, 2022, by and</w:t>
              </w:r>
            </w:hyperlink>
          </w:p>
        </w:tc>
        <w:tc>
          <w:tcPr>
            <w:tcW w:w="560" w:type="dxa"/>
            <w:vAlign w:val="bottom"/>
            <w:tcBorders>
              <w:bottom w:val="single" w:sz="8" w:color="0000FF"/>
            </w:tcBorders>
            <w:gridSpan w:val="6"/>
          </w:tcPr>
          <w:p>
            <w:pPr>
              <w:ind w:left="20"/>
              <w:spacing w:after="0" w:line="156" w:lineRule="exact"/>
              <w:rPr>
                <w:rFonts w:ascii="Times New Roman" w:cs="Times New Roman" w:eastAsia="Times New Roman" w:hAnsi="Times New Roman"/>
                <w:sz w:val="18"/>
                <w:szCs w:val="18"/>
                <w:color w:val="0000FF"/>
                <w:w w:val="97"/>
              </w:rPr>
            </w:pPr>
            <w:hyperlink r:id="rId26">
              <w:r>
                <w:rPr>
                  <w:rFonts w:ascii="Times New Roman" w:cs="Times New Roman" w:eastAsia="Times New Roman" w:hAnsi="Times New Roman"/>
                  <w:sz w:val="18"/>
                  <w:szCs w:val="18"/>
                  <w:color w:val="0000FF"/>
                  <w:w w:val="97"/>
                </w:rPr>
                <w:t>among,</w:t>
              </w:r>
            </w:hyperlink>
          </w:p>
        </w:tc>
        <w:tc>
          <w:tcPr>
            <w:tcW w:w="420" w:type="dxa"/>
            <w:vAlign w:val="bottom"/>
            <w:gridSpan w:val="13"/>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gridSpan w:val="31"/>
          </w:tcPr>
          <w:p>
            <w:pPr>
              <w:spacing w:after="0" w:line="169"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Orion Merger Sub I, Inc., Orion Merger Sub II, LLC, GeneDx,</w:t>
              </w:r>
            </w:hyperlink>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Inc., GeneDx Holding 2, Inc. and OPKO Health, Inc.</w:t>
              </w:r>
            </w:hyperlink>
          </w:p>
        </w:tc>
        <w:tc>
          <w:tcPr>
            <w:tcW w:w="720" w:type="dxa"/>
            <w:vAlign w:val="bottom"/>
            <w:tcBorders>
              <w:top w:val="single" w:sz="8" w:color="0000FF"/>
            </w:tcBorders>
            <w:gridSpan w:val="16"/>
          </w:tcPr>
          <w:p>
            <w:pPr>
              <w:spacing w:after="0"/>
              <w:rPr>
                <w:sz w:val="13"/>
                <w:szCs w:val="13"/>
                <w:color w:val="auto"/>
              </w:rPr>
            </w:pPr>
          </w:p>
        </w:tc>
        <w:tc>
          <w:tcPr>
            <w:tcW w:w="100" w:type="dxa"/>
            <w:vAlign w:val="bottom"/>
            <w:gridSpan w:val="2"/>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Third Amended and Restated Certificate of Incorporation of</w:t>
              </w:r>
            </w:hyperlink>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07/28/2021</w:t>
            </w: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27">
              <w:r>
                <w:rPr>
                  <w:rFonts w:ascii="Times New Roman" w:cs="Times New Roman" w:eastAsia="Times New Roman" w:hAnsi="Times New Roman"/>
                  <w:sz w:val="18"/>
                  <w:szCs w:val="18"/>
                  <w:color w:val="0000FF"/>
                  <w:w w:val="98"/>
                </w:rPr>
                <w:t>Sema4 Holdings Corp.</w:t>
              </w:r>
            </w:hyperlink>
          </w:p>
        </w:tc>
        <w:tc>
          <w:tcPr>
            <w:tcW w:w="2700" w:type="dxa"/>
            <w:vAlign w:val="bottom"/>
            <w:tcBorders>
              <w:top w:val="single" w:sz="8" w:color="0000FF"/>
            </w:tcBorders>
            <w:gridSpan w:val="18"/>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31"/>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Certificate of Amendment to the Third Amended and Restated</w:t>
              </w:r>
            </w:hyperlink>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05/02/2022</w:t>
            </w: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Certificate of Incorporation of Sema4 Holdings Corp.</w:t>
              </w:r>
            </w:hyperlink>
          </w:p>
        </w:tc>
        <w:tc>
          <w:tcPr>
            <w:tcW w:w="660" w:type="dxa"/>
            <w:vAlign w:val="bottom"/>
            <w:tcBorders>
              <w:top w:val="single" w:sz="8" w:color="0000FF"/>
            </w:tcBorders>
            <w:gridSpan w:val="14"/>
          </w:tcPr>
          <w:p>
            <w:pPr>
              <w:spacing w:after="0"/>
              <w:rPr>
                <w:sz w:val="13"/>
                <w:szCs w:val="13"/>
                <w:color w:val="auto"/>
              </w:rPr>
            </w:pPr>
          </w:p>
        </w:tc>
        <w:tc>
          <w:tcPr>
            <w:tcW w:w="120" w:type="dxa"/>
            <w:vAlign w:val="bottom"/>
            <w:gridSpan w:val="3"/>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Restated Bylaws of Sema4 Holdings Corp.</w:t>
              </w:r>
            </w:hyperlink>
          </w:p>
        </w:tc>
        <w:tc>
          <w:tcPr>
            <w:tcW w:w="1540" w:type="dxa"/>
            <w:vAlign w:val="bottom"/>
            <w:gridSpan w:val="21"/>
          </w:tcPr>
          <w:p>
            <w:pPr>
              <w:spacing w:after="0"/>
              <w:rPr>
                <w:sz w:val="19"/>
                <w:szCs w:val="19"/>
                <w:color w:val="auto"/>
              </w:rPr>
            </w:pPr>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07/28/2021</w:t>
            </w: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Specimen Warrant Certificate</w:t>
              </w:r>
            </w:hyperlink>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08/24/2020</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Warrant Agreement, dated as of September 1, 2020, by and</w:t>
              </w:r>
            </w:hyperlink>
          </w:p>
        </w:tc>
        <w:tc>
          <w:tcPr>
            <w:tcW w:w="14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09/04/2020</w:t>
            </w: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between CM Life Sciences, Inc. and Continental Stock</w:t>
              </w:r>
            </w:hyperlink>
          </w:p>
        </w:tc>
        <w:tc>
          <w:tcPr>
            <w:tcW w:w="120" w:type="dxa"/>
            <w:vAlign w:val="bottom"/>
            <w:gridSpan w:val="3"/>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4"/>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31">
              <w:r>
                <w:rPr>
                  <w:rFonts w:ascii="Times New Roman" w:cs="Times New Roman" w:eastAsia="Times New Roman" w:hAnsi="Times New Roman"/>
                  <w:sz w:val="18"/>
                  <w:szCs w:val="18"/>
                  <w:color w:val="0000FF"/>
                </w:rPr>
                <w:t>Transfer &amp; Trust Company, as warrant agent</w:t>
              </w:r>
            </w:hyperlink>
          </w:p>
        </w:tc>
        <w:tc>
          <w:tcPr>
            <w:tcW w:w="1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6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Legal Opinion of Fenwick &amp; West LLP</w:t>
            </w:r>
          </w:p>
        </w:tc>
        <w:tc>
          <w:tcPr>
            <w:tcW w:w="1440" w:type="dxa"/>
            <w:vAlign w:val="bottom"/>
            <w:gridSpan w:val="20"/>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accounting firm for Sema4 Holdings Corp.</w:t>
            </w:r>
          </w:p>
        </w:tc>
        <w:tc>
          <w:tcPr>
            <w:tcW w:w="140" w:type="dxa"/>
            <w:vAlign w:val="bottom"/>
            <w:gridSpan w:val="4"/>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auditors for</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5"/>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7"/>
              </w:rPr>
              <w:t>GeneDx, Inc.</w:t>
            </w:r>
          </w:p>
        </w:tc>
        <w:tc>
          <w:tcPr>
            <w:tcW w:w="3140" w:type="dxa"/>
            <w:vAlign w:val="bottom"/>
            <w:tcBorders>
              <w:top w:val="single" w:sz="8" w:color="0000FF"/>
            </w:tcBorders>
            <w:gridSpan w:val="15"/>
          </w:tcPr>
          <w:p>
            <w:pPr>
              <w:spacing w:after="0"/>
              <w:rPr>
                <w:sz w:val="13"/>
                <w:szCs w:val="13"/>
                <w:color w:val="auto"/>
              </w:rPr>
            </w:pPr>
          </w:p>
        </w:tc>
        <w:tc>
          <w:tcPr>
            <w:tcW w:w="1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240" w:type="dxa"/>
            <w:vAlign w:val="bottom"/>
            <w:gridSpan w:val="7"/>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Consent of Fenwick &amp; West LLP (included as part of Exhibit</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6"/>
        </w:trPr>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1"/>
              </w:rPr>
              <w:t>5.</w:t>
            </w:r>
            <w:r>
              <w:rPr>
                <w:rFonts w:ascii="Times New Roman" w:cs="Times New Roman" w:eastAsia="Times New Roman" w:hAnsi="Times New Roman"/>
                <w:sz w:val="18"/>
                <w:szCs w:val="18"/>
                <w:u w:val="single" w:color="auto"/>
                <w:color w:val="0000FF"/>
                <w:w w:val="91"/>
              </w:rPr>
              <w:t>1)</w:t>
            </w:r>
          </w:p>
        </w:tc>
        <w:tc>
          <w:tcPr>
            <w:tcW w:w="6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3"/>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 hereto).</w:t>
            </w:r>
          </w:p>
        </w:tc>
        <w:tc>
          <w:tcPr>
            <w:tcW w:w="400" w:type="dxa"/>
            <w:vAlign w:val="bottom"/>
            <w:gridSpan w:val="12"/>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09"/>
        </w:trPr>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94" w:lineRule="exact"/>
        <w:rPr>
          <w:sz w:val="20"/>
          <w:szCs w:val="20"/>
          <w:color w:val="auto"/>
        </w:rPr>
      </w:pPr>
    </w:p>
    <w:p>
      <w:pPr>
        <w:sectPr>
          <w:pgSz w:w="11900" w:h="16838" w:orient="portrait"/>
          <w:cols w:equalWidth="0" w:num="2">
            <w:col w:w="9840" w:space="680"/>
            <w:col w:w="720"/>
          </w:cols>
          <w:pgMar w:left="320" w:top="14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7" w:lineRule="exact"/>
        <w:rPr>
          <w:sz w:val="20"/>
          <w:szCs w:val="20"/>
          <w:color w:val="auto"/>
        </w:rPr>
      </w:pPr>
    </w:p>
    <w:p>
      <w:pPr>
        <w:ind w:left="340" w:right="540" w:hanging="332"/>
        <w:spacing w:after="0" w:line="278" w:lineRule="auto"/>
        <w:tabs>
          <w:tab w:leader="none" w:pos="277"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schedules and exhibits to this Exhibit have been omitted pursuant to Item 601(a)(5) or Item 601(b)(10)(iv), as applicable, of Regulation S-K. The Registrant agrees to furnish supplemental copies of all omitted exhibits and schedules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11240"/>
          </w:cols>
          <w:pgMar w:left="320" w:top="14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7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71" w:lineRule="exact"/>
        <w:rPr>
          <w:rFonts w:ascii="Times New Roman" w:cs="Times New Roman" w:eastAsia="Times New Roman" w:hAnsi="Times New Roman"/>
          <w:sz w:val="18"/>
          <w:szCs w:val="18"/>
          <w:color w:val="auto"/>
        </w:rPr>
      </w:pPr>
    </w:p>
    <w:p>
      <w:pPr>
        <w:ind w:left="1300" w:right="20" w:hanging="320"/>
        <w:spacing w:after="0" w:line="255" w:lineRule="auto"/>
        <w:tabs>
          <w:tab w:leader="none" w:pos="129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34"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3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7" w:lineRule="exact"/>
        <w:rPr>
          <w:rFonts w:ascii="Times New Roman" w:cs="Times New Roman" w:eastAsia="Times New Roman" w:hAnsi="Times New Roman"/>
          <w:sz w:val="18"/>
          <w:szCs w:val="18"/>
          <w:color w:val="auto"/>
        </w:rPr>
      </w:pPr>
    </w:p>
    <w:p>
      <w:pPr>
        <w:ind w:left="130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however, that subparagraphs (i),(ii), and (iii) do not apply if the information required to be included in a post-effective amendment by those paragraphs is contained in reports filed with or furnished to the Securities and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29"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1"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7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71"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7" w:lineRule="exact"/>
        <w:rPr>
          <w:rFonts w:ascii="Times New Roman" w:cs="Times New Roman" w:eastAsia="Times New Roman" w:hAnsi="Times New Roman"/>
          <w:sz w:val="18"/>
          <w:szCs w:val="18"/>
          <w:color w:val="auto"/>
        </w:rPr>
      </w:pPr>
    </w:p>
    <w:p>
      <w:pPr>
        <w:ind w:left="1300" w:hanging="320"/>
        <w:spacing w:after="0" w:line="255" w:lineRule="auto"/>
        <w:tabs>
          <w:tab w:leader="none" w:pos="129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11200"/>
          </w:cols>
          <w:pgMar w:left="320" w:top="1413" w:right="379" w:bottom="1440" w:gutter="0" w:footer="0" w:header="0"/>
        </w:sectPr>
      </w:pPr>
    </w:p>
    <w:bookmarkStart w:id="39" w:name="page40"/>
    <w:bookmarkEnd w:id="39"/>
    <w:p>
      <w:pPr>
        <w:ind w:left="968"/>
        <w:spacing w:after="0" w:line="258" w:lineRule="auto"/>
        <w:rPr>
          <w:sz w:val="20"/>
          <w:szCs w:val="20"/>
          <w:color w:val="auto"/>
        </w:rPr>
      </w:pPr>
      <w:r>
        <w:rPr>
          <w:rFonts w:ascii="Times New Roman" w:cs="Times New Roman" w:eastAsia="Times New Roman" w:hAnsi="Times New Roman"/>
          <w:sz w:val="18"/>
          <w:szCs w:val="18"/>
          <w:color w:val="auto"/>
        </w:rPr>
        <w:t>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9" w:lineRule="exact"/>
        <w:rPr>
          <w:sz w:val="20"/>
          <w:szCs w:val="20"/>
          <w:color w:val="auto"/>
        </w:rPr>
      </w:pPr>
    </w:p>
    <w:p>
      <w:pPr>
        <w:ind w:left="328" w:hanging="328"/>
        <w:spacing w:after="0" w:line="258" w:lineRule="auto"/>
        <w:tabs>
          <w:tab w:leader="none" w:pos="3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Times New Roman" w:cs="Times New Roman" w:eastAsia="Times New Roman" w:hAnsi="Times New Roman"/>
          <w:sz w:val="18"/>
          <w:szCs w:val="18"/>
          <w:color w:val="auto"/>
        </w:rPr>
      </w:pPr>
    </w:p>
    <w:p>
      <w:pPr>
        <w:ind w:left="328" w:hanging="328"/>
        <w:spacing w:after="0" w:line="254" w:lineRule="auto"/>
        <w:tabs>
          <w:tab w:leader="none" w:pos="3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808"/>
          </w:cols>
          <w:pgMar w:left="652" w:top="1417" w:right="4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on Form S-3 to be signed on its behalf by the undersigned, thereunto duly authorized, in the City of Stamford, State of Connecticut, on August 26, 2022.</w:t>
      </w:r>
    </w:p>
    <w:p>
      <w:pPr>
        <w:spacing w:after="0" w:line="15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SEMA4 HOLDINGS</w:t>
      </w:r>
    </w:p>
    <w:p>
      <w:pPr>
        <w:ind w:left="9320"/>
        <w:spacing w:after="0"/>
        <w:rPr>
          <w:sz w:val="20"/>
          <w:szCs w:val="20"/>
          <w:color w:val="auto"/>
        </w:rPr>
      </w:pPr>
      <w:r>
        <w:rPr>
          <w:rFonts w:ascii="Times New Roman" w:cs="Times New Roman" w:eastAsia="Times New Roman" w:hAnsi="Times New Roman"/>
          <w:sz w:val="18"/>
          <w:szCs w:val="18"/>
          <w:b w:val="1"/>
          <w:bCs w:val="1"/>
          <w:color w:val="auto"/>
        </w:rPr>
        <w:t>CORP.</w:t>
      </w:r>
    </w:p>
    <w:p>
      <w:pPr>
        <w:spacing w:after="0" w:line="275"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color w:val="auto"/>
        </w:rPr>
        <w:t>/s/ Katherine</w:t>
      </w:r>
    </w:p>
    <w:p>
      <w:pPr>
        <w:ind w:left="9320"/>
        <w:spacing w:after="0"/>
        <w:rPr>
          <w:sz w:val="20"/>
          <w:szCs w:val="20"/>
          <w:color w:val="auto"/>
        </w:rPr>
      </w:pPr>
      <w:r>
        <w:rPr>
          <w:rFonts w:ascii="Times New Roman" w:cs="Times New Roman" w:eastAsia="Times New Roman" w:hAnsi="Times New Roman"/>
          <w:sz w:val="18"/>
          <w:szCs w:val="18"/>
          <w:color w:val="auto"/>
        </w:rPr>
        <w:t>By: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13335</wp:posOffset>
            </wp:positionV>
            <wp:extent cx="103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0"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11"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i w:val="1"/>
          <w:iCs w:val="1"/>
          <w:color w:val="auto"/>
        </w:rPr>
        <w:t>Chief Executive</w:t>
      </w:r>
    </w:p>
    <w:p>
      <w:pPr>
        <w:ind w:left="9620"/>
        <w:spacing w:after="0" w:line="219" w:lineRule="auto"/>
        <w:rPr>
          <w:sz w:val="20"/>
          <w:szCs w:val="20"/>
          <w:color w:val="auto"/>
        </w:rPr>
      </w:pPr>
      <w:r>
        <w:rPr>
          <w:rFonts w:ascii="Times New Roman" w:cs="Times New Roman" w:eastAsia="Times New Roman" w:hAnsi="Times New Roman"/>
          <w:sz w:val="18"/>
          <w:szCs w:val="18"/>
          <w:i w:val="1"/>
          <w:iCs w:val="1"/>
          <w:color w:val="auto"/>
        </w:rPr>
        <w:t>Officer</w:t>
      </w:r>
    </w:p>
    <w:p>
      <w:pPr>
        <w:ind w:left="9620"/>
        <w:spacing w:after="0" w:line="203" w:lineRule="auto"/>
        <w:rPr>
          <w:sz w:val="20"/>
          <w:szCs w:val="20"/>
          <w:color w:val="auto"/>
        </w:rPr>
      </w:pPr>
      <w:r>
        <w:rPr>
          <w:rFonts w:ascii="Times New Roman" w:cs="Times New Roman" w:eastAsia="Times New Roman" w:hAnsi="Times New Roman"/>
          <w:sz w:val="18"/>
          <w:szCs w:val="18"/>
          <w:i w:val="1"/>
          <w:iCs w:val="1"/>
          <w:color w:val="auto"/>
        </w:rPr>
        <w:t>(Principal Executive</w:t>
      </w:r>
    </w:p>
    <w:p>
      <w:pPr>
        <w:spacing w:after="0" w:line="1"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Katherine Stueland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1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S-3 has been signed by the following persons in the capacities and on the dates indicated.</w:t>
      </w:r>
    </w:p>
    <w:p>
      <w:pPr>
        <w:sectPr>
          <w:pgSz w:w="11900" w:h="16838" w:orient="portrait"/>
          <w:cols w:equalWidth="0" w:num="1">
            <w:col w:w="11240"/>
          </w:cols>
          <w:pgMar w:left="320" w:top="927" w:right="339" w:bottom="1440" w:gutter="0" w:footer="0" w:header="0"/>
        </w:sectPr>
      </w:pPr>
    </w:p>
    <w:p>
      <w:pPr>
        <w:spacing w:after="0" w:line="14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962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8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Kevin Feeley</w:t>
      </w:r>
    </w:p>
    <w:p>
      <w:pPr>
        <w:spacing w:after="0" w:line="7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Jason Ryan</w:t>
      </w:r>
    </w:p>
    <w:p>
      <w:pPr>
        <w:spacing w:after="0" w:line="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Joshua Ruch</w:t>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Dennis Charney</w:t>
      </w:r>
    </w:p>
    <w:p>
      <w:pPr>
        <w:spacing w:after="0" w:line="7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Eli D. Casdin</w:t>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Emily Leproust</w:t>
      </w:r>
    </w:p>
    <w:p>
      <w:pPr>
        <w:spacing w:after="0" w:line="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Keith Meister</w:t>
      </w:r>
    </w:p>
    <w:p>
      <w:pPr>
        <w:spacing w:after="0" w:line="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Michael Pellini</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Richard C. Pfenniger,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9627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Richard C. Pfenniger, Jr.</w:t>
      </w:r>
    </w:p>
    <w:p>
      <w:pPr>
        <w:spacing w:after="0" w:line="1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62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Rachel Sherman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5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122"/>
        </w:trPr>
        <w:tc>
          <w:tcPr>
            <w:tcW w:w="5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80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122"/>
        </w:trPr>
        <w:tc>
          <w:tcPr>
            <w:tcW w:w="5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 &amp; Principal Accounting Officer)</w:t>
            </w:r>
          </w:p>
        </w:tc>
        <w:tc>
          <w:tcPr>
            <w:tcW w:w="2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800" w:type="dxa"/>
            <w:vAlign w:val="bottom"/>
            <w:gridSpan w:val="2"/>
            <w:vMerge w:val="continue"/>
          </w:tcPr>
          <w:p>
            <w:pPr>
              <w:spacing w:after="0"/>
              <w:rPr>
                <w:sz w:val="9"/>
                <w:szCs w:val="9"/>
                <w:color w:val="auto"/>
              </w:rPr>
            </w:pPr>
          </w:p>
        </w:tc>
        <w:tc>
          <w:tcPr>
            <w:tcW w:w="2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5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7"/>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7"/>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26"/>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r>
        <w:trPr>
          <w:trHeight w:val="580"/>
        </w:trPr>
        <w:tc>
          <w:tcPr>
            <w:tcW w:w="5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26, 2022</w:t>
            </w:r>
          </w:p>
        </w:tc>
        <w:tc>
          <w:tcPr>
            <w:tcW w:w="0" w:type="dxa"/>
            <w:vAlign w:val="bottom"/>
          </w:tcPr>
          <w:p>
            <w:pPr>
              <w:spacing w:after="0"/>
              <w:rPr>
                <w:sz w:val="1"/>
                <w:szCs w:val="1"/>
                <w:color w:val="auto"/>
              </w:rPr>
            </w:pPr>
          </w:p>
        </w:tc>
      </w:tr>
    </w:tbl>
    <w:p>
      <w:pPr>
        <w:spacing w:after="0" w:line="294" w:lineRule="exact"/>
        <w:rPr>
          <w:sz w:val="20"/>
          <w:szCs w:val="20"/>
          <w:color w:val="auto"/>
        </w:rPr>
      </w:pPr>
    </w:p>
    <w:p>
      <w:pPr>
        <w:sectPr>
          <w:pgSz w:w="11900" w:h="16838" w:orient="portrait"/>
          <w:cols w:equalWidth="0" w:num="2">
            <w:col w:w="2540" w:space="640"/>
            <w:col w:w="8060"/>
          </w:cols>
          <w:pgMar w:left="320" w:top="927" w:right="3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I-5</w:t>
      </w:r>
    </w:p>
    <w:p>
      <w:pPr>
        <w:sectPr>
          <w:pgSz w:w="11900" w:h="16838" w:orient="portrait"/>
          <w:cols w:equalWidth="0" w:num="1">
            <w:col w:w="11240"/>
          </w:cols>
          <w:pgMar w:left="320" w:top="927" w:right="3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Fee Filing Tables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Registration as Specified in its Charter)</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3 – Combined Prospectuses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3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Security</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Security</w:t>
            </w:r>
          </w:p>
        </w:tc>
        <w:tc>
          <w:tcPr>
            <w:tcW w:w="1980" w:type="dxa"/>
            <w:vAlign w:val="bottom"/>
            <w:tcBorders>
              <w:top w:val="single" w:sz="8" w:color="auto"/>
              <w:right w:val="single" w:sz="8" w:color="auto"/>
            </w:tcBorders>
            <w:vMerge w:val="restart"/>
          </w:tcPr>
          <w:p>
            <w:pPr>
              <w:ind w:left="280"/>
              <w:spacing w:after="0"/>
              <w:rPr>
                <w:sz w:val="20"/>
                <w:szCs w:val="20"/>
                <w:color w:val="auto"/>
              </w:rPr>
            </w:pPr>
            <w:r>
              <w:rPr>
                <w:rFonts w:ascii="Times New Roman" w:cs="Times New Roman" w:eastAsia="Times New Roman" w:hAnsi="Times New Roman"/>
                <w:sz w:val="16"/>
                <w:szCs w:val="16"/>
                <w:color w:val="auto"/>
              </w:rPr>
              <w:t>Amount of Securities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Maximum Aggregate</w:t>
            </w:r>
          </w:p>
        </w:tc>
        <w:tc>
          <w:tcPr>
            <w:tcW w:w="1320" w:type="dxa"/>
            <w:vAlign w:val="bottom"/>
            <w:tcBorders>
              <w:top w:val="single" w:sz="8" w:color="auto"/>
              <w:right w:val="single" w:sz="8" w:color="auto"/>
            </w:tcBorders>
          </w:tcPr>
          <w:p>
            <w:pPr>
              <w:spacing w:after="0"/>
              <w:rPr>
                <w:sz w:val="16"/>
                <w:szCs w:val="16"/>
                <w:color w:val="auto"/>
              </w:rPr>
            </w:pPr>
          </w:p>
        </w:tc>
        <w:tc>
          <w:tcPr>
            <w:tcW w:w="14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File</w:t>
            </w: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Initial Effective</w:t>
            </w: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continue"/>
          </w:tcPr>
          <w:p>
            <w:pPr>
              <w:spacing w:after="0"/>
              <w:rPr>
                <w:sz w:val="7"/>
                <w:szCs w:val="7"/>
                <w:color w:val="auto"/>
              </w:rPr>
            </w:pPr>
          </w:p>
        </w:tc>
        <w:tc>
          <w:tcPr>
            <w:tcW w:w="166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Class</w:t>
            </w:r>
          </w:p>
        </w:tc>
        <w:tc>
          <w:tcPr>
            <w:tcW w:w="198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Offering Price of Securities</w:t>
            </w:r>
          </w:p>
        </w:tc>
        <w:tc>
          <w:tcPr>
            <w:tcW w:w="1320" w:type="dxa"/>
            <w:vAlign w:val="bottom"/>
            <w:tcBorders>
              <w:right w:val="single" w:sz="8" w:color="auto"/>
            </w:tcBorders>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w w:val="97"/>
              </w:rPr>
              <w:t>Form Type</w:t>
            </w:r>
          </w:p>
        </w:tc>
        <w:tc>
          <w:tcPr>
            <w:tcW w:w="14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Type</w:t>
            </w:r>
          </w:p>
        </w:tc>
        <w:tc>
          <w:tcPr>
            <w:tcW w:w="166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restart"/>
          </w:tcPr>
          <w:p>
            <w:pPr>
              <w:ind w:left="260"/>
              <w:spacing w:after="0"/>
              <w:rPr>
                <w:sz w:val="20"/>
                <w:szCs w:val="20"/>
                <w:color w:val="auto"/>
              </w:rPr>
            </w:pPr>
            <w:r>
              <w:rPr>
                <w:rFonts w:ascii="Times New Roman" w:cs="Times New Roman" w:eastAsia="Times New Roman" w:hAnsi="Times New Roman"/>
                <w:sz w:val="16"/>
                <w:szCs w:val="16"/>
                <w:color w:val="auto"/>
              </w:rPr>
              <w:t>Previously Registered</w:t>
            </w:r>
          </w:p>
        </w:tc>
        <w:tc>
          <w:tcPr>
            <w:tcW w:w="198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continue"/>
          </w:tcPr>
          <w:p>
            <w:pPr>
              <w:spacing w:after="0"/>
              <w:rPr>
                <w:sz w:val="7"/>
                <w:szCs w:val="7"/>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Number</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Date</w:t>
            </w:r>
          </w:p>
        </w:tc>
        <w:tc>
          <w:tcPr>
            <w:tcW w:w="0" w:type="dxa"/>
            <w:vAlign w:val="bottom"/>
          </w:tcPr>
          <w:p>
            <w:pPr>
              <w:spacing w:after="0"/>
              <w:rPr>
                <w:sz w:val="1"/>
                <w:szCs w:val="1"/>
                <w:color w:val="auto"/>
              </w:rPr>
            </w:pPr>
          </w:p>
        </w:tc>
      </w:tr>
      <w:tr>
        <w:trPr>
          <w:trHeight w:val="129"/>
        </w:trPr>
        <w:tc>
          <w:tcPr>
            <w:tcW w:w="1340" w:type="dxa"/>
            <w:vAlign w:val="bottom"/>
            <w:tcBorders>
              <w:left w:val="single" w:sz="8" w:color="auto"/>
              <w:right w:val="single" w:sz="8" w:color="auto"/>
            </w:tcBorders>
            <w:vMerge w:val="continue"/>
          </w:tcPr>
          <w:p>
            <w:pPr>
              <w:spacing w:after="0"/>
              <w:rPr>
                <w:sz w:val="11"/>
                <w:szCs w:val="11"/>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Title</w:t>
            </w:r>
          </w:p>
        </w:tc>
        <w:tc>
          <w:tcPr>
            <w:tcW w:w="1980" w:type="dxa"/>
            <w:vAlign w:val="bottom"/>
            <w:tcBorders>
              <w:right w:val="single" w:sz="8" w:color="auto"/>
            </w:tcBorders>
            <w:vMerge w:val="continue"/>
          </w:tcPr>
          <w:p>
            <w:pPr>
              <w:spacing w:after="0"/>
              <w:rPr>
                <w:sz w:val="11"/>
                <w:szCs w:val="11"/>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Previously Registered</w:t>
            </w:r>
          </w:p>
        </w:tc>
        <w:tc>
          <w:tcPr>
            <w:tcW w:w="1320" w:type="dxa"/>
            <w:vAlign w:val="bottom"/>
            <w:tcBorders>
              <w:right w:val="single" w:sz="8" w:color="auto"/>
            </w:tcBorders>
          </w:tcPr>
          <w:p>
            <w:pPr>
              <w:spacing w:after="0"/>
              <w:rPr>
                <w:sz w:val="11"/>
                <w:szCs w:val="11"/>
                <w:color w:val="auto"/>
              </w:rPr>
            </w:pPr>
          </w:p>
        </w:tc>
        <w:tc>
          <w:tcPr>
            <w:tcW w:w="142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340" w:type="dxa"/>
            <w:vAlign w:val="bottom"/>
            <w:tcBorders>
              <w:left w:val="single" w:sz="8" w:color="auto"/>
              <w:bottom w:val="single" w:sz="8" w:color="auto"/>
              <w:right w:val="single" w:sz="8" w:color="auto"/>
            </w:tcBorders>
          </w:tcPr>
          <w:p>
            <w:pPr>
              <w:spacing w:after="0"/>
              <w:rPr>
                <w:sz w:val="8"/>
                <w:szCs w:val="8"/>
                <w:color w:val="auto"/>
              </w:rPr>
            </w:pPr>
          </w:p>
        </w:tc>
        <w:tc>
          <w:tcPr>
            <w:tcW w:w="1660" w:type="dxa"/>
            <w:vAlign w:val="bottom"/>
            <w:tcBorders>
              <w:bottom w:val="single" w:sz="8" w:color="auto"/>
              <w:right w:val="single" w:sz="8" w:color="auto"/>
            </w:tcBorders>
            <w:vMerge w:val="continue"/>
          </w:tcPr>
          <w:p>
            <w:pPr>
              <w:spacing w:after="0"/>
              <w:rPr>
                <w:sz w:val="8"/>
                <w:szCs w:val="8"/>
                <w:color w:val="auto"/>
              </w:rPr>
            </w:pPr>
          </w:p>
        </w:tc>
        <w:tc>
          <w:tcPr>
            <w:tcW w:w="198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vMerge w:val="continue"/>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Class A common stock,</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160,864,198</w:t>
            </w:r>
            <w:r>
              <w:rPr>
                <w:rFonts w:ascii="Times New Roman" w:cs="Times New Roman" w:eastAsia="Times New Roman" w:hAnsi="Times New Roman"/>
                <w:sz w:val="21"/>
                <w:szCs w:val="21"/>
                <w:color w:val="auto"/>
                <w:w w:val="94"/>
                <w:vertAlign w:val="superscript"/>
              </w:rPr>
              <w:t>(1)(2)</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rPr>
              <w:t>$350,683,952</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333-264626</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May 11, 2022</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 $0.0001 per</w:t>
            </w:r>
          </w:p>
        </w:tc>
        <w:tc>
          <w:tcPr>
            <w:tcW w:w="198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19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Class A common stock,</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4"/>
              </w:rPr>
              <w:t>197,195,002</w:t>
            </w:r>
            <w:r>
              <w:rPr>
                <w:rFonts w:ascii="Times New Roman" w:cs="Times New Roman" w:eastAsia="Times New Roman" w:hAnsi="Times New Roman"/>
                <w:sz w:val="21"/>
                <w:szCs w:val="21"/>
                <w:color w:val="auto"/>
                <w:w w:val="94"/>
                <w:vertAlign w:val="superscript"/>
              </w:rPr>
              <w:t>(1)(3)</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rPr>
              <w:t>$2,082,379,221</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333-258467</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August 12, 2021</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 $0.0001 per</w:t>
            </w:r>
          </w:p>
        </w:tc>
        <w:tc>
          <w:tcPr>
            <w:tcW w:w="198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19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Equity</w:t>
            </w:r>
          </w:p>
        </w:tc>
        <w:tc>
          <w:tcPr>
            <w:tcW w:w="1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Class A common stock,</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w w:val="93"/>
              </w:rPr>
              <w:t>21,994,972</w:t>
            </w:r>
            <w:r>
              <w:rPr>
                <w:rFonts w:ascii="Times New Roman" w:cs="Times New Roman" w:eastAsia="Times New Roman" w:hAnsi="Times New Roman"/>
                <w:sz w:val="21"/>
                <w:szCs w:val="21"/>
                <w:color w:val="000000"/>
                <w:w w:val="93"/>
                <w:vertAlign w:val="superscript"/>
              </w:rPr>
              <w:t>(1)(4)</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333333"/>
              </w:rPr>
              <w:t>$252,942,178</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333-258467</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August 12, 2021</w:t>
            </w:r>
          </w:p>
        </w:tc>
        <w:tc>
          <w:tcPr>
            <w:tcW w:w="0" w:type="dxa"/>
            <w:vAlign w:val="bottom"/>
          </w:tcPr>
          <w:p>
            <w:pPr>
              <w:spacing w:after="0"/>
              <w:rPr>
                <w:sz w:val="1"/>
                <w:szCs w:val="1"/>
                <w:color w:val="auto"/>
              </w:rPr>
            </w:pPr>
          </w:p>
        </w:tc>
      </w:tr>
      <w:tr>
        <w:trPr>
          <w:trHeight w:val="162"/>
        </w:trPr>
        <w:tc>
          <w:tcPr>
            <w:tcW w:w="1340" w:type="dxa"/>
            <w:vAlign w:val="bottom"/>
            <w:tcBorders>
              <w:left w:val="single" w:sz="8" w:color="auto"/>
              <w:right w:val="single" w:sz="8" w:color="auto"/>
            </w:tcBorders>
            <w:vMerge w:val="continue"/>
          </w:tcPr>
          <w:p>
            <w:pPr>
              <w:spacing w:after="0"/>
              <w:rPr>
                <w:sz w:val="14"/>
                <w:szCs w:val="14"/>
                <w:color w:val="auto"/>
              </w:rPr>
            </w:pPr>
          </w:p>
        </w:tc>
        <w:tc>
          <w:tcPr>
            <w:tcW w:w="16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par value $0.0001 per</w:t>
            </w:r>
          </w:p>
        </w:tc>
        <w:tc>
          <w:tcPr>
            <w:tcW w:w="1980" w:type="dxa"/>
            <w:vAlign w:val="bottom"/>
            <w:tcBorders>
              <w:right w:val="single" w:sz="8" w:color="auto"/>
            </w:tcBorders>
            <w:vMerge w:val="continue"/>
          </w:tcPr>
          <w:p>
            <w:pPr>
              <w:spacing w:after="0"/>
              <w:rPr>
                <w:sz w:val="14"/>
                <w:szCs w:val="14"/>
                <w:color w:val="auto"/>
              </w:rPr>
            </w:pPr>
          </w:p>
        </w:tc>
        <w:tc>
          <w:tcPr>
            <w:tcW w:w="1980" w:type="dxa"/>
            <w:vAlign w:val="bottom"/>
            <w:tcBorders>
              <w:right w:val="single" w:sz="8" w:color="auto"/>
            </w:tcBorders>
            <w:vMerge w:val="continue"/>
          </w:tcPr>
          <w:p>
            <w:pPr>
              <w:spacing w:after="0"/>
              <w:rPr>
                <w:sz w:val="14"/>
                <w:szCs w:val="14"/>
                <w:color w:val="auto"/>
              </w:rPr>
            </w:pPr>
          </w:p>
        </w:tc>
        <w:tc>
          <w:tcPr>
            <w:tcW w:w="1320" w:type="dxa"/>
            <w:vAlign w:val="bottom"/>
            <w:tcBorders>
              <w:right w:val="single" w:sz="8" w:color="auto"/>
            </w:tcBorders>
            <w:vMerge w:val="continue"/>
          </w:tcPr>
          <w:p>
            <w:pPr>
              <w:spacing w:after="0"/>
              <w:rPr>
                <w:sz w:val="14"/>
                <w:szCs w:val="14"/>
                <w:color w:val="auto"/>
              </w:rPr>
            </w:pPr>
          </w:p>
        </w:tc>
        <w:tc>
          <w:tcPr>
            <w:tcW w:w="1420" w:type="dxa"/>
            <w:vAlign w:val="bottom"/>
            <w:tcBorders>
              <w:right w:val="single" w:sz="8" w:color="auto"/>
            </w:tcBorders>
            <w:vMerge w:val="continue"/>
          </w:tcPr>
          <w:p>
            <w:pPr>
              <w:spacing w:after="0"/>
              <w:rPr>
                <w:sz w:val="14"/>
                <w:szCs w:val="14"/>
                <w:color w:val="auto"/>
              </w:rPr>
            </w:pPr>
          </w:p>
        </w:tc>
        <w:tc>
          <w:tcPr>
            <w:tcW w:w="1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340" w:type="dxa"/>
            <w:vAlign w:val="bottom"/>
            <w:tcBorders>
              <w:left w:val="single" w:sz="8" w:color="auto"/>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share</w:t>
            </w:r>
          </w:p>
        </w:tc>
        <w:tc>
          <w:tcPr>
            <w:tcW w:w="1980" w:type="dxa"/>
            <w:vAlign w:val="bottom"/>
            <w:tcBorders>
              <w:bottom w:val="single" w:sz="8" w:color="auto"/>
              <w:right w:val="single" w:sz="8" w:color="auto"/>
            </w:tcBorders>
          </w:tcPr>
          <w:p>
            <w:pPr>
              <w:spacing w:after="0"/>
              <w:rPr>
                <w:sz w:val="19"/>
                <w:szCs w:val="19"/>
                <w:color w:val="auto"/>
              </w:rPr>
            </w:pPr>
          </w:p>
        </w:tc>
        <w:tc>
          <w:tcPr>
            <w:tcW w:w="198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Warrants to purchase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7,236,667</w:t>
            </w:r>
            <w:r>
              <w:rPr>
                <w:rFonts w:ascii="Times New Roman" w:cs="Times New Roman" w:eastAsia="Times New Roman" w:hAnsi="Times New Roman"/>
                <w:sz w:val="21"/>
                <w:szCs w:val="21"/>
                <w:color w:val="auto"/>
                <w:w w:val="97"/>
                <w:vertAlign w:val="superscript"/>
              </w:rPr>
              <w:t>(5)</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333333"/>
                <w:w w:val="99"/>
              </w:rPr>
              <w:t>$—</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333-258467</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12, 2021</w:t>
            </w:r>
          </w:p>
        </w:tc>
        <w:tc>
          <w:tcPr>
            <w:tcW w:w="0" w:type="dxa"/>
            <w:vAlign w:val="bottom"/>
          </w:tcPr>
          <w:p>
            <w:pPr>
              <w:spacing w:after="0"/>
              <w:rPr>
                <w:sz w:val="1"/>
                <w:szCs w:val="1"/>
                <w:color w:val="auto"/>
              </w:rPr>
            </w:pPr>
          </w:p>
        </w:tc>
      </w:tr>
      <w:tr>
        <w:trPr>
          <w:trHeight w:val="142"/>
        </w:trPr>
        <w:tc>
          <w:tcPr>
            <w:tcW w:w="1340" w:type="dxa"/>
            <w:vAlign w:val="bottom"/>
            <w:tcBorders>
              <w:left w:val="single" w:sz="8" w:color="auto"/>
              <w:bottom w:val="single" w:sz="8" w:color="auto"/>
              <w:right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5"/>
                <w:szCs w:val="15"/>
                <w:color w:val="auto"/>
              </w:rPr>
              <w:t>common stock</w:t>
            </w:r>
          </w:p>
        </w:tc>
        <w:tc>
          <w:tcPr>
            <w:tcW w:w="1980" w:type="dxa"/>
            <w:vAlign w:val="bottom"/>
            <w:tcBorders>
              <w:bottom w:val="single" w:sz="8" w:color="auto"/>
              <w:right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14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260" w:right="40" w:hanging="252"/>
        <w:spacing w:after="0" w:line="271" w:lineRule="auto"/>
        <w:tabs>
          <w:tab w:leader="none" w:pos="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shares of Class A common stock, $0.0001 par value per share (the “Class A common stock”) of Sema4 Holdings Corp. (the “Registrant”) that will be offered pursuant to the prospectus to which this exhibit is attached. Pursuant to Rule 416(a) under the Securities Act of 1933, as amended (the “Securities Act”), this registration statement also covers any additional securities that may be offered or issued in connection with any stock split, stock dividend or similar transaction.</w:t>
      </w:r>
    </w:p>
    <w:p>
      <w:pPr>
        <w:spacing w:after="0" w:line="183" w:lineRule="exact"/>
        <w:rPr>
          <w:rFonts w:ascii="Times New Roman" w:cs="Times New Roman" w:eastAsia="Times New Roman" w:hAnsi="Times New Roman"/>
          <w:sz w:val="14"/>
          <w:szCs w:val="14"/>
          <w:color w:val="auto"/>
        </w:rPr>
      </w:pPr>
    </w:p>
    <w:p>
      <w:pPr>
        <w:ind w:left="260" w:right="60" w:hanging="252"/>
        <w:spacing w:after="0" w:line="281" w:lineRule="auto"/>
        <w:tabs>
          <w:tab w:leader="none" w:pos="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registration fee is payable in connection with the 160,864,198 shares of Class A common stock registered under the registration statement on Form S-1 (File No. 333-264626) filed by the Registrant on May 3, 2022 and subsequently declared effective (the “May 2022 Registration Statement,” as amended and/or supplemented), because such shares are being transferred from the May 2022 Registration Statement pursuant to Rule 429 under the Securities Act. See “Statement Pursuant to Rule 429” in this registration statement.</w:t>
      </w:r>
    </w:p>
    <w:p>
      <w:pPr>
        <w:spacing w:after="0" w:line="163" w:lineRule="exact"/>
        <w:rPr>
          <w:rFonts w:ascii="Times New Roman" w:cs="Times New Roman" w:eastAsia="Times New Roman" w:hAnsi="Times New Roman"/>
          <w:sz w:val="14"/>
          <w:szCs w:val="14"/>
          <w:color w:val="auto"/>
        </w:rPr>
      </w:pPr>
    </w:p>
    <w:p>
      <w:pPr>
        <w:ind w:left="260" w:right="60" w:hanging="252"/>
        <w:spacing w:after="0" w:line="281" w:lineRule="auto"/>
        <w:tabs>
          <w:tab w:leader="none" w:pos="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registration fee is payable in connection with the 197,195,002 shares of Class A common stock registered under the registration statement on Form S-1 (File No. 333-258467) filed by the Registrant on August 4, 2021 and subsequently declared effective (the “August 2021 Registration Statement,” as amended and/or supplemented), because such shares are being transferred from the August 2021 Registration Statement pursuant to Rule 429 under the Securities Act. See “Statement Pursuant to Rule 429” in this registration statement.</w:t>
      </w:r>
    </w:p>
    <w:p>
      <w:pPr>
        <w:spacing w:after="0" w:line="177" w:lineRule="exact"/>
        <w:rPr>
          <w:rFonts w:ascii="Times New Roman" w:cs="Times New Roman" w:eastAsia="Times New Roman" w:hAnsi="Times New Roman"/>
          <w:sz w:val="14"/>
          <w:szCs w:val="14"/>
          <w:color w:val="auto"/>
        </w:rPr>
      </w:pPr>
    </w:p>
    <w:p>
      <w:pPr>
        <w:ind w:left="260" w:right="140" w:hanging="252"/>
        <w:spacing w:after="0" w:line="266" w:lineRule="auto"/>
        <w:tabs>
          <w:tab w:leader="none" w:pos="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registration fee is payable in connection with the 21,994,972 shares of Class A common stock registered on the August 2021 Registration Statement, because such shares are being transferred from the August 2021 Registration Statement pursuant to Rule 429 under the Securities Act. See “Statement Pursuant to Rule 429” in this registration statement. The 21,994,972 shares of Class A common stock consist of (i) 14,758,305 shares of Class A common stock that are issuable by the Registrant upon the exercise of 14,758,305 warrants originally issued in the Registrant’s initial public offering; and (ii) up to 7,236,667 shares of Class A common stock that are issuable by the Registrant upon the exercise of the private placement warrants following the public resale of the private placement warrants by the Selling Securityholders pursuant to the August 2021 Registration Statement.</w:t>
      </w:r>
    </w:p>
    <w:p>
      <w:pPr>
        <w:spacing w:after="0" w:line="187" w:lineRule="exact"/>
        <w:rPr>
          <w:rFonts w:ascii="Times New Roman" w:cs="Times New Roman" w:eastAsia="Times New Roman" w:hAnsi="Times New Roman"/>
          <w:sz w:val="14"/>
          <w:szCs w:val="14"/>
          <w:color w:val="auto"/>
        </w:rPr>
      </w:pPr>
    </w:p>
    <w:p>
      <w:pPr>
        <w:ind w:left="260" w:hanging="252"/>
        <w:spacing w:after="0" w:line="271" w:lineRule="auto"/>
        <w:tabs>
          <w:tab w:leader="none" w:pos="252"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warrants includes 7,236,667 warrants (the “private placement warrants”) originally issued in a private placement to the former sponsor and certain directors of the Registrant, and registered under the August 2021 Registration Statement, which have not been sold. No separate fee was required pursuant to Rule 457(g) of the Securities Act. The offering of the unsold private placement warrants under the prior registration statements will be deemed terminated as of the date of effectiveness of this registration statement.</w:t>
      </w:r>
    </w:p>
    <w:p>
      <w:pPr>
        <w:sectPr>
          <w:pgSz w:w="11900" w:h="16838" w:orient="portrait"/>
          <w:cols w:equalWidth="0" w:num="1">
            <w:col w:w="11240"/>
          </w:cols>
          <w:pgMar w:left="320" w:top="10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122555</wp:posOffset>
            </wp:positionV>
            <wp:extent cx="1508760"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1508760" cy="34290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53975</wp:posOffset>
            </wp:positionV>
            <wp:extent cx="2383155" cy="480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238315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August 26,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Sema4 Holdings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Ludlow Street, North Tower, 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your request, we have examined the Registration Statement on Form S-3 filed by Sema4 Holdings Corp.,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August 26, 2022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w:t>
      </w:r>
    </w:p>
    <w:p>
      <w:pPr>
        <w:spacing w:after="0" w:line="207" w:lineRule="exact"/>
        <w:rPr>
          <w:sz w:val="20"/>
          <w:szCs w:val="20"/>
          <w:color w:val="auto"/>
        </w:rPr>
      </w:pPr>
    </w:p>
    <w:p>
      <w:pPr>
        <w:ind w:left="660" w:right="60" w:hanging="328"/>
        <w:spacing w:after="0" w:line="25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up to an aggregate of 21,995,000 shares of the Company’s Class A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(a) up to 14,758,333 shares of Common Stock (the “</w:t>
      </w:r>
      <w:r>
        <w:rPr>
          <w:rFonts w:ascii="Times New Roman" w:cs="Times New Roman" w:eastAsia="Times New Roman" w:hAnsi="Times New Roman"/>
          <w:sz w:val="18"/>
          <w:szCs w:val="18"/>
          <w:b w:val="1"/>
          <w:bCs w:val="1"/>
          <w:i w:val="1"/>
          <w:iCs w:val="1"/>
          <w:color w:val="auto"/>
        </w:rPr>
        <w:t>Public Warrant Shares</w:t>
      </w:r>
      <w:r>
        <w:rPr>
          <w:rFonts w:ascii="Times New Roman" w:cs="Times New Roman" w:eastAsia="Times New Roman" w:hAnsi="Times New Roman"/>
          <w:sz w:val="18"/>
          <w:szCs w:val="18"/>
          <w:color w:val="auto"/>
        </w:rPr>
        <w:t>”) issuable upon the exercise of the Company’s public warrants (the “</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and (b) under certain circumstances, up to 7,236,667 shares of Common Stock (the “</w:t>
      </w:r>
      <w:r>
        <w:rPr>
          <w:rFonts w:ascii="Times New Roman" w:cs="Times New Roman" w:eastAsia="Times New Roman" w:hAnsi="Times New Roman"/>
          <w:sz w:val="18"/>
          <w:szCs w:val="18"/>
          <w:b w:val="1"/>
          <w:bCs w:val="1"/>
          <w:i w:val="1"/>
          <w:iCs w:val="1"/>
          <w:color w:val="auto"/>
        </w:rPr>
        <w:t>Private Placement Warrant Shares</w:t>
      </w:r>
      <w:r>
        <w:rPr>
          <w:rFonts w:ascii="Times New Roman" w:cs="Times New Roman" w:eastAsia="Times New Roman" w:hAnsi="Times New Roman"/>
          <w:sz w:val="18"/>
          <w:szCs w:val="18"/>
          <w:color w:val="auto"/>
        </w:rPr>
        <w:t>”) issuable upon the exercise of the Company’s private placement warrants (the “</w:t>
      </w:r>
      <w:r>
        <w:rPr>
          <w:rFonts w:ascii="Times New Roman" w:cs="Times New Roman" w:eastAsia="Times New Roman" w:hAnsi="Times New Roman"/>
          <w:sz w:val="18"/>
          <w:szCs w:val="18"/>
          <w:b w:val="1"/>
          <w:bCs w:val="1"/>
          <w:i w:val="1"/>
          <w:iCs w:val="1"/>
          <w:color w:val="auto"/>
        </w:rPr>
        <w:t>Private 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resale by certain of the selling securityholders (the “</w:t>
      </w:r>
      <w:r>
        <w:rPr>
          <w:rFonts w:ascii="Times New Roman" w:cs="Times New Roman" w:eastAsia="Times New Roman" w:hAnsi="Times New Roman"/>
          <w:sz w:val="18"/>
          <w:szCs w:val="18"/>
          <w:b w:val="1"/>
          <w:bCs w:val="1"/>
          <w:i w:val="1"/>
          <w:iCs w:val="1"/>
          <w:color w:val="auto"/>
        </w:rPr>
        <w:t>Selling Securityholders</w:t>
      </w:r>
      <w:r>
        <w:rPr>
          <w:rFonts w:ascii="Times New Roman" w:cs="Times New Roman" w:eastAsia="Times New Roman" w:hAnsi="Times New Roman"/>
          <w:sz w:val="18"/>
          <w:szCs w:val="18"/>
          <w:color w:val="auto"/>
        </w:rPr>
        <w:t>”) defined and listed in the Registration Statement and the prospectus contained within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of up to an aggregate of 358,211,888 shares of Common Stock consisting of: (a) up to 18,550,000 shares of Common Stock (the “</w:t>
      </w:r>
      <w:r>
        <w:rPr>
          <w:rFonts w:ascii="Times New Roman" w:cs="Times New Roman" w:eastAsia="Times New Roman" w:hAnsi="Times New Roman"/>
          <w:sz w:val="18"/>
          <w:szCs w:val="18"/>
          <w:b w:val="1"/>
          <w:bCs w:val="1"/>
          <w:i w:val="1"/>
          <w:iCs w:val="1"/>
          <w:color w:val="auto"/>
        </w:rPr>
        <w:t>Business Combination PIPE Shares</w:t>
      </w:r>
      <w:r>
        <w:rPr>
          <w:rFonts w:ascii="Times New Roman" w:cs="Times New Roman" w:eastAsia="Times New Roman" w:hAnsi="Times New Roman"/>
          <w:sz w:val="18"/>
          <w:szCs w:val="18"/>
          <w:color w:val="auto"/>
        </w:rPr>
        <w:t>”) issued in connection with a private placement described in more detail in the Registration Statement; (b) up to 11,068,750 shares of Common Stock (the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issued in connection with the consummation of the Company’s business combination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as described in more detail in the Registration Statement; (c) up to 141,470,697 shares of Common Stock (the “</w:t>
      </w:r>
      <w:r>
        <w:rPr>
          <w:rFonts w:ascii="Times New Roman" w:cs="Times New Roman" w:eastAsia="Times New Roman" w:hAnsi="Times New Roman"/>
          <w:sz w:val="18"/>
          <w:szCs w:val="18"/>
          <w:b w:val="1"/>
          <w:bCs w:val="1"/>
          <w:i w:val="1"/>
          <w:iCs w:val="1"/>
          <w:color w:val="auto"/>
        </w:rPr>
        <w:t>Sema4 Holder Shares</w:t>
      </w:r>
      <w:r>
        <w:rPr>
          <w:rFonts w:ascii="Times New Roman" w:cs="Times New Roman" w:eastAsia="Times New Roman" w:hAnsi="Times New Roman"/>
          <w:sz w:val="18"/>
          <w:szCs w:val="18"/>
          <w:color w:val="auto"/>
        </w:rPr>
        <w:t>”) issued pursuant to that certain Agreement and Plan of Merger, dated February 9, 2021 (as amended, the “</w:t>
      </w:r>
      <w:r>
        <w:rPr>
          <w:rFonts w:ascii="Times New Roman" w:cs="Times New Roman" w:eastAsia="Times New Roman" w:hAnsi="Times New Roman"/>
          <w:sz w:val="18"/>
          <w:szCs w:val="18"/>
          <w:b w:val="1"/>
          <w:bCs w:val="1"/>
          <w:i w:val="1"/>
          <w:iCs w:val="1"/>
          <w:color w:val="auto"/>
        </w:rPr>
        <w:t>Business Combination Merger Agreement</w:t>
      </w:r>
      <w:r>
        <w:rPr>
          <w:rFonts w:ascii="Times New Roman" w:cs="Times New Roman" w:eastAsia="Times New Roman" w:hAnsi="Times New Roman"/>
          <w:sz w:val="18"/>
          <w:szCs w:val="18"/>
          <w:color w:val="auto"/>
        </w:rPr>
        <w:t>”), in connection with the consummation of the Business Combination as described in more detail in the Registration Statement; (d) up to 19,021,576 shares of Common Stock (the “</w:t>
      </w:r>
      <w:r>
        <w:rPr>
          <w:rFonts w:ascii="Times New Roman" w:cs="Times New Roman" w:eastAsia="Times New Roman" w:hAnsi="Times New Roman"/>
          <w:sz w:val="18"/>
          <w:szCs w:val="18"/>
          <w:b w:val="1"/>
          <w:bCs w:val="1"/>
          <w:i w:val="1"/>
          <w:iCs w:val="1"/>
          <w:color w:val="auto"/>
        </w:rPr>
        <w:t>Earn-Out Shares</w:t>
      </w:r>
      <w:r>
        <w:rPr>
          <w:rFonts w:ascii="Times New Roman" w:cs="Times New Roman" w:eastAsia="Times New Roman" w:hAnsi="Times New Roman"/>
          <w:sz w:val="18"/>
          <w:szCs w:val="18"/>
          <w:color w:val="auto"/>
        </w:rPr>
        <w:t>”) that certain of the Selling Securityholders have the contingent right to receive upon the achievement of certain stock price-based vesting conditions pursuant to the Business Combination Merger Agreement; and (e) up to 7,236,667 Private Placement Warrant Shares issuable upon the exercise of the Private Placement Warrants;</w:t>
      </w:r>
    </w:p>
    <w:p>
      <w:pPr>
        <w:spacing w:after="0" w:line="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resale by certain of the Selling Securityholders of up to 7,236,667 Private Placement Warrants; and</w:t>
      </w:r>
    </w:p>
    <w:p>
      <w:pPr>
        <w:spacing w:after="0" w:line="9" w:lineRule="exact"/>
        <w:rPr>
          <w:rFonts w:ascii="Times New Roman" w:cs="Times New Roman" w:eastAsia="Times New Roman" w:hAnsi="Times New Roman"/>
          <w:sz w:val="18"/>
          <w:szCs w:val="18"/>
          <w:color w:val="auto"/>
        </w:rPr>
      </w:pPr>
    </w:p>
    <w:p>
      <w:pPr>
        <w:ind w:left="660" w:hanging="328"/>
        <w:spacing w:after="0" w:line="265" w:lineRule="auto"/>
        <w:tabs>
          <w:tab w:leader="none" w:pos="6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 and resale by certain of the Selling Securityholders of up to an aggregate of up to 160,864,198 shares of the Company’s Common Stock consisting of: (a) up to 80,000,000 shares (the “</w:t>
      </w:r>
      <w:r>
        <w:rPr>
          <w:rFonts w:ascii="Times New Roman" w:cs="Times New Roman" w:eastAsia="Times New Roman" w:hAnsi="Times New Roman"/>
          <w:sz w:val="17"/>
          <w:szCs w:val="17"/>
          <w:b w:val="1"/>
          <w:bCs w:val="1"/>
          <w:i w:val="1"/>
          <w:iCs w:val="1"/>
          <w:color w:val="auto"/>
        </w:rPr>
        <w:t>Acquisition Shares</w:t>
      </w:r>
      <w:r>
        <w:rPr>
          <w:rFonts w:ascii="Times New Roman" w:cs="Times New Roman" w:eastAsia="Times New Roman" w:hAnsi="Times New Roman"/>
          <w:sz w:val="17"/>
          <w:szCs w:val="17"/>
          <w:color w:val="auto"/>
        </w:rPr>
        <w:t>”) issued pursuant to that certain Agreement and Plan of Merger, dated January 14, 2022 (as amended, the “</w:t>
      </w:r>
      <w:r>
        <w:rPr>
          <w:rFonts w:ascii="Times New Roman" w:cs="Times New Roman" w:eastAsia="Times New Roman" w:hAnsi="Times New Roman"/>
          <w:sz w:val="17"/>
          <w:szCs w:val="17"/>
          <w:b w:val="1"/>
          <w:bCs w:val="1"/>
          <w:i w:val="1"/>
          <w:iCs w:val="1"/>
          <w:color w:val="auto"/>
        </w:rPr>
        <w:t>Acquisition Merger Agreement</w:t>
      </w:r>
      <w:r>
        <w:rPr>
          <w:rFonts w:ascii="Times New Roman" w:cs="Times New Roman" w:eastAsia="Times New Roman" w:hAnsi="Times New Roman"/>
          <w:sz w:val="17"/>
          <w:szCs w:val="17"/>
          <w:color w:val="auto"/>
        </w:rPr>
        <w:t>”), in connection with the consummation of the Company’s acquisition of GeneDx, Inc., as described in more detail in the Registration Statement; (b) up to 30,864,198 shares that may be issuable pursuant to the Acquisition Merger Agreement in connection with the achievement of certain revenue-based milestones, as described in more detail in the Registration Statement; and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up to 50,000,000 shares (the “</w:t>
      </w:r>
      <w:r>
        <w:rPr>
          <w:rFonts w:ascii="Times New Roman" w:cs="Times New Roman" w:eastAsia="Times New Roman" w:hAnsi="Times New Roman"/>
          <w:sz w:val="18"/>
          <w:szCs w:val="18"/>
          <w:b w:val="1"/>
          <w:bCs w:val="1"/>
          <w:i w:val="1"/>
          <w:iCs w:val="1"/>
          <w:color w:val="auto"/>
        </w:rPr>
        <w:t>Acquisition PIPE Shares</w:t>
      </w:r>
      <w:r>
        <w:rPr>
          <w:rFonts w:ascii="Times New Roman" w:cs="Times New Roman" w:eastAsia="Times New Roman" w:hAnsi="Times New Roman"/>
          <w:sz w:val="18"/>
          <w:szCs w:val="18"/>
          <w:color w:val="auto"/>
        </w:rPr>
        <w:t>”) issued in a private placement described in more detail in the Registration Statement.</w:t>
      </w:r>
    </w:p>
    <w:p>
      <w:pPr>
        <w:spacing w:after="0" w:line="207"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of the Company’s Third and Amended Certificate of Incorporation, as amended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the Company’s Restated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the Warrant Agreement, dated September 1, 2022 (the “</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between the Company and Continental Stock Transfer &amp; Trust Company, the Business Combination Merger Agreement, the Acquisition Merger Agreement, certain corporate proceedings of the Company’s board of directors</w:t>
      </w:r>
    </w:p>
    <w:p>
      <w:pPr>
        <w:sectPr>
          <w:pgSz w:w="11900" w:h="16838" w:orient="portrait"/>
          <w:cols w:equalWidth="0" w:num="1">
            <w:col w:w="11240"/>
          </w:cols>
          <w:pgMar w:left="320" w:top="117" w:right="33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stockholders relating to the Registration Statement, the Certificate of Incorporation and the Bylaws, and such other agreements, documents, certificates and statements of the Company, its transfer agent, its warrant agent and public or government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issued by the Delaware Secretary of State dated August 26, 2022 and a management certificate addressed to us and dated of even date herewith executed by the Company containing certain factual representations (the “</w:t>
      </w:r>
      <w:r>
        <w:rPr>
          <w:rFonts w:ascii="Times New Roman" w:cs="Times New Roman" w:eastAsia="Times New Roman" w:hAnsi="Times New Roman"/>
          <w:sz w:val="18"/>
          <w:szCs w:val="18"/>
          <w:b w:val="1"/>
          <w:bCs w:val="1"/>
          <w:i w:val="1"/>
          <w:iCs w:val="1"/>
          <w:color w:val="auto"/>
        </w:rPr>
        <w:t>Management Certificate</w:t>
      </w:r>
      <w:r>
        <w:rPr>
          <w:rFonts w:ascii="Times New Roman" w:cs="Times New Roman" w:eastAsia="Times New Roman" w:hAnsi="Times New Roman"/>
          <w:sz w:val="18"/>
          <w:szCs w:val="18"/>
          <w:color w:val="auto"/>
        </w:rPr>
        <w:t>”), including representations that the Company has available a sufficient number of authorized shares of Common Stock that are not currently outstanding or reserved for issuance under other outstanding securities or equity plans of the Company, to enable the Company to issue and deliver all of the shares of Common Stock to be sold by the Selling Securityholders pursuant to the Registration Statement and the Prospectus. We also have assumed that the Warrant Agreement, at the time of the exercise of the Public Warrants and Private Placement Warrants in exchange for Public Warrant Shares and Private Placement Warrant Shares, respectively, will be a valid and legally binding obligation of the Warrant Agent (as defined in the Warrant Agreement).</w:t>
      </w:r>
    </w:p>
    <w:p>
      <w:pPr>
        <w:spacing w:after="0" w:line="19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As to matters of fact relevant to this opinion, we have relied solely upon our examination of the documents referred to above and the Management Certificate and have assumed the current accuracy and completeness of the information obtained from the documents referred to above and the representations and warranties made by representatives of the Company to us, including but not limited to those set forth in the Management Certificate. We have made no independent investigation or other attempt to verify the accuracy of any of such information or to determine the existence or non-existence of any other factual matters.</w:t>
      </w:r>
    </w:p>
    <w:p>
      <w:pPr>
        <w:spacing w:after="0" w:line="18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We are admitted to practice law in the State of New York and we render this opinion only with respect to, and express no opinion herein concerning the application or effect of the laws of any jurisdiction other than, (i) the Delaware General Corporation Law and, (ii) solely with respect to whether or not the Private Placement Warrants are the valid and binding obligations of the Company, the existing laws of the State of New York. Without limitation, we express no opinion with respect to the federal laws of the United States of America or the securities or “blue sky” laws of any state or any local or regional laws.</w:t>
      </w:r>
    </w:p>
    <w:p>
      <w:pPr>
        <w:spacing w:after="0" w:line="183"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opinion is qualified by, and is subject to, and we render no opinion with respect to, the following limitations and exceptions to the enforceability of the Private Placement Warrants:</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laws of bankruptcy, insolvency, reorganization, arrangement, moratorium, fraudulent conveyance, assignment for the benefit of creditors, and other similar laws now or hereinafter in effect relating to or affecting the rights and remedies of creditors, including the effect of statutory or other laws regarding fraudulent transfers or preferential transfers.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general principles of equity and similar principles, including, without limitation, concepts of materiality, reasonableness, good faith and fair dealing, public policy and unconscionability, and the possible unavailability of specific performance, injunctive relief, or other equitable remedies, regardless of whether considered in a proceeding in equity or at law.</w:t>
      </w:r>
    </w:p>
    <w:p>
      <w:pPr>
        <w:spacing w:after="0" w:line="176"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Based upon the foregoing, we are of the opinion that,</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64" w:lineRule="exact"/>
        <w:rPr>
          <w:sz w:val="20"/>
          <w:szCs w:val="20"/>
          <w:color w:val="auto"/>
        </w:rPr>
      </w:pPr>
    </w:p>
    <w:p>
      <w:pPr>
        <w:ind w:left="328"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Warrant Shares have been duly authorized and, when issued and delivered upon exercise of the Public Warrants in the manner and for the consideration stated in the Public Warrants, will be validly issued, fully paid and non-assessable.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 Shares have been duly authorized and, when issued and delivered upon exercise of the Private Placement Warrants following the public resale of the Private Placement Warrants by the Selling Securityholders pursuant to the Prospectus in the manner and for the consideration stated in the Private Placement Warrants, will be validly issued, fully paid and non-assessable.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PIPE Shares have been duly authorized and are validly issued, fully paid and non-assessable.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 Shares have been duly authorized and are validly issued, fully paid and non-assessable.</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Sema4 Holder Shares have been duly authorized and are validly issued, fully paid and non-assessable.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Earn-Out Shares have been duly authorized and, when issued and delivered in accordance with the Business Combination Merger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constitute valid and binding obligations of the Company, enforceable against the Company in accordance with their terms.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Shares have been duly authorized and are validly issued, fully paid and non-assessable.</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Shares have been duly authorized and, when issued and delivered in accordance with the Acquisition Merger Agreement, will be validly issued, fully paid and non-assessable.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PIPE Shares have been duly authorized and are validly issued, fully paid and non-assessable. .</w:t>
      </w:r>
    </w:p>
    <w:p>
      <w:pPr>
        <w:sectPr>
          <w:pgSz w:w="11900" w:h="16838" w:orient="portrait"/>
          <w:cols w:equalWidth="0" w:num="1">
            <w:col w:w="10908"/>
          </w:cols>
          <w:pgMar w:left="652"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w:t>
      </w:r>
    </w:p>
    <w:p>
      <w:pPr>
        <w:spacing w:after="0" w:line="176"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sale of the Common Stock to be issued and sold by the Company and the securities to be sold by the Selling Securityholders pursuant to the Registration Statement and the Prospectus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00" w:lineRule="exact"/>
        <w:rPr>
          <w:sz w:val="20"/>
          <w:szCs w:val="20"/>
          <w:color w:val="auto"/>
        </w:rPr>
      </w:pPr>
    </w:p>
    <w:p>
      <w:pPr>
        <w:spacing w:after="0" w:line="24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Fenwick &amp;</w:t>
      </w:r>
    </w:p>
    <w:p>
      <w:pPr>
        <w:ind w:left="5860"/>
        <w:spacing w:after="0"/>
        <w:rPr>
          <w:sz w:val="20"/>
          <w:szCs w:val="20"/>
          <w:color w:val="auto"/>
        </w:rPr>
      </w:pPr>
      <w:r>
        <w:rPr>
          <w:rFonts w:ascii="Times New Roman" w:cs="Times New Roman" w:eastAsia="Times New Roman" w:hAnsi="Times New Roman"/>
          <w:sz w:val="18"/>
          <w:szCs w:val="18"/>
          <w:color w:val="auto"/>
        </w:rPr>
        <w:t>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13335</wp:posOffset>
            </wp:positionV>
            <wp:extent cx="8655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4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Fenwick &amp; West</w:t>
      </w:r>
    </w:p>
    <w:p>
      <w:pPr>
        <w:ind w:left="5860"/>
        <w:spacing w:after="0"/>
        <w:rPr>
          <w:sz w:val="20"/>
          <w:szCs w:val="20"/>
          <w:color w:val="auto"/>
        </w:rPr>
      </w:pPr>
      <w:r>
        <w:rPr>
          <w:rFonts w:ascii="Times New Roman" w:cs="Times New Roman" w:eastAsia="Times New Roman" w:hAnsi="Times New Roman"/>
          <w:sz w:val="18"/>
          <w:szCs w:val="18"/>
          <w:color w:val="auto"/>
        </w:rPr>
        <w:t>LLP</w:t>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Sema4 Holdings Corp. for the registration of its Class A common stock and warrants and to the incorporation by reference therein of our report dated March 14, 2022, with respect to the consolidated financial statements of Sema4 Holdings Corp., included in its Annual Report (Form 10-K)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26, 2022</w:t>
      </w:r>
    </w:p>
    <w:p>
      <w:pPr>
        <w:sectPr>
          <w:pgSz w:w="11900" w:h="16838" w:orient="portrait"/>
          <w:cols w:equalWidth="0" w:num="1">
            <w:col w:w="11240"/>
          </w:cols>
          <w:pgMar w:left="320" w:top="10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333333"/>
        </w:rPr>
        <w:t>Consent of Independent Auditors</w:t>
      </w:r>
    </w:p>
    <w:p>
      <w:pPr>
        <w:spacing w:after="0" w:line="20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0"/>
          <w:szCs w:val="20"/>
          <w:color w:val="auto"/>
        </w:rPr>
        <w:t>We consent to the reference to our firm under the caption "Experts" in this Registration Statement (Form S-3) and related Prospectus of Sema4 Holdings Corp. and to the incorporation by reference therein of our report dated March 15, 2022, with respect to the combined carve out financial statements of GeneDx, Inc. and subsidiary, included in the Proxy Statement of Sema4 Holdings Corp. dated March 31, 2022, filed with the Securities and Exchange Commission.</w:t>
      </w:r>
    </w:p>
    <w:p>
      <w:pPr>
        <w:spacing w:after="0" w:line="29"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9"/>
          <w:szCs w:val="19"/>
          <w:color w:val="auto"/>
        </w:rPr>
        <w:t>/s/ Ernst &amp; Young LLP</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Miami, Florida</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August 26,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lowerLetter"/>
      <w:start w:val="1"/>
    </w:lvl>
  </w:abstractNum>
  <w:abstractNum w:abstractNumId="1">
    <w:nsid w:val="6B68079A"/>
    <w:multiLevelType w:val="hybridMultilevel"/>
    <w:lvl w:ilvl="0">
      <w:lvlJc w:val="left"/>
      <w:lvlText w:val="%1."/>
      <w:numFmt w:val="lowerLetter"/>
      <w:start w:val="1"/>
    </w:lvl>
    <w:lvl w:ilvl="1">
      <w:lvlJc w:val="left"/>
      <w:lvlText w:val="(%2)"/>
      <w:numFmt w:val="lowerRoman"/>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2"/>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3" Type="http://schemas.openxmlformats.org/officeDocument/2006/relationships/image" Target="media/image7.png"/><Relationship Id="rId32" Type="http://schemas.openxmlformats.org/officeDocument/2006/relationships/image" Target="media/image8.png"/><Relationship Id="rId33" Type="http://schemas.openxmlformats.org/officeDocument/2006/relationships/image" Target="media/image9.png"/><Relationship Id="rId34" Type="http://schemas.openxmlformats.org/officeDocument/2006/relationships/image" Target="media/image10.png"/><Relationship Id="rId35"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jpeg"/><Relationship Id="rId46" Type="http://schemas.openxmlformats.org/officeDocument/2006/relationships/image" Target="media/image22.jpeg"/><Relationship Id="rId47" Type="http://schemas.openxmlformats.org/officeDocument/2006/relationships/image" Target="media/image23.png"/><Relationship Id="rId14" Type="http://schemas.openxmlformats.org/officeDocument/2006/relationships/hyperlink" Target="https://www.sec.gov/ix?doc=/Archives/edgar/data/1818331/000181833122000037/cmlf-20211231.htm" TargetMode="External"/><Relationship Id="rId15" Type="http://schemas.openxmlformats.org/officeDocument/2006/relationships/hyperlink" Target="https://www.sec.gov/ix?doc=/Archives/edgar/data/1818331/000181833122000046/cmlf-20220331.htm" TargetMode="External"/><Relationship Id="rId16" Type="http://schemas.openxmlformats.org/officeDocument/2006/relationships/hyperlink" Target="https://www.sec.gov/ix?doc=/Archives/edgar/data/1818331/000181833122000069/cmlf-20220630.htm" TargetMode="External"/><Relationship Id="rId17" Type="http://schemas.openxmlformats.org/officeDocument/2006/relationships/hyperlink" Target="https://www.sec.gov/ix?doc=/Archives/edgar/data/0001818331/000181833122000010/smfr-20220114.htm" TargetMode="External"/><Relationship Id="rId18" Type="http://schemas.openxmlformats.org/officeDocument/2006/relationships/hyperlink" Target="https://www.sec.gov/ix?doc=/Archives/edgar/data/0001818331/000162828022011605/smfr-20220429.htm" TargetMode="External"/><Relationship Id="rId19" Type="http://schemas.openxmlformats.org/officeDocument/2006/relationships/hyperlink" Target="https://www.sec.gov/ix?doc=/Archives/edgar/data/1818331/000181833122000053/smfr-20220610.htm" TargetMode="External"/><Relationship Id="rId20" Type="http://schemas.openxmlformats.org/officeDocument/2006/relationships/hyperlink" Target="https://www.sec.gov/ix?doc=/Archives/edgar/data/1818331/000181833122000060/smfr-20220627.htm" TargetMode="External"/><Relationship Id="rId21" Type="http://schemas.openxmlformats.org/officeDocument/2006/relationships/hyperlink" Target="https://www.sec.gov/ix?doc=/Archives/edgar/data/0001818331/000162828022023779/smfr-20220825.htm" TargetMode="External"/><Relationship Id="rId22" Type="http://schemas.openxmlformats.org/officeDocument/2006/relationships/hyperlink" Target="https://www.sec.gov/Archives/edgar/data/0001818331/000121390020024549/ea126225-8a12b_cmlifescience.htm" TargetMode="External"/><Relationship Id="rId24" Type="http://schemas.openxmlformats.org/officeDocument/2006/relationships/hyperlink" Target="https://www.sec.gov/Archives/edgar/data/1818331/000162828021013404/sema4proxy.htm#i8b8880c1ddfa423593153735d1fc233d_1878" TargetMode="External"/><Relationship Id="rId25" Type="http://schemas.openxmlformats.org/officeDocument/2006/relationships/hyperlink" Target="https://www.sec.gov/Archives/edgar/data/0001818331/000181833122000010/exhibit21-mergeragreement2.htm" TargetMode="External"/><Relationship Id="rId26" Type="http://schemas.openxmlformats.org/officeDocument/2006/relationships/hyperlink" Target="https://www.sec.gov/Archives/edgar/data/0001818331/000162828022011605/exhibit992closing8-k.htm" TargetMode="External"/><Relationship Id="rId27" Type="http://schemas.openxmlformats.org/officeDocument/2006/relationships/hyperlink" Target="https://www.sec.gov/Archives/edgar/data/1818331/000162828021014760/exhibit31-super8xk.htm" TargetMode="External"/><Relationship Id="rId28" Type="http://schemas.openxmlformats.org/officeDocument/2006/relationships/hyperlink" Target="https://www.sec.gov/Archives/edgar/data/0001818331/000162828022011605/exhibit31-closing8xk.htm" TargetMode="External"/><Relationship Id="rId29" Type="http://schemas.openxmlformats.org/officeDocument/2006/relationships/hyperlink" Target="https://www.sec.gov/Archives/edgar/data/1818331/000162828021014760/exhibit32-super8xk.htm" TargetMode="External"/><Relationship Id="rId30" Type="http://schemas.openxmlformats.org/officeDocument/2006/relationships/hyperlink" Target="https://www.sec.gov/Archives/edgar/data/1818331/000121390020023383/fs12020a1ex4-3_cmlifesci.htm" TargetMode="External"/><Relationship Id="rId31" Type="http://schemas.openxmlformats.org/officeDocument/2006/relationships/hyperlink" Target="https://www.sec.gov/Archives/edgar/data/1818331/000121390020025454/ea126481ex10-1_cmlif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2022-08-26T18:56:25Z</dcterms:created>
  <dcterms:modified xsi:type="dcterms:W3CDTF">2022-08-26T18:56:25Z</dcterms:modified>
</cp:coreProperties>
</file>