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20" w:right="8240" w:firstLine="6"/>
        <w:spacing w:after="0" w:line="267" w:lineRule="exact"/>
        <w:tabs>
          <w:tab w:leader="none" w:pos="64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Soliciting Material under §240.14a-12</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CM LIFE 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79"/>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7" w:lineRule="exact"/>
        <w:rPr>
          <w:sz w:val="24"/>
          <w:szCs w:val="24"/>
          <w:color w:val="auto"/>
        </w:rPr>
      </w:pPr>
    </w:p>
    <w:p>
      <w:pPr>
        <w:ind w:left="640" w:right="618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Not applicable</w:t>
      </w:r>
    </w:p>
    <w:p>
      <w:pPr>
        <w:spacing w:after="0" w:line="1" w:lineRule="exact"/>
        <w:rPr>
          <w:rFonts w:ascii="Arial" w:cs="Arial" w:eastAsia="Arial" w:hAnsi="Arial"/>
          <w:sz w:val="18"/>
          <w:szCs w:val="18"/>
          <w:color w:val="auto"/>
        </w:rPr>
      </w:pPr>
    </w:p>
    <w:p>
      <w:pPr>
        <w:ind w:left="640" w:right="614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Not applicable</w:t>
      </w:r>
    </w:p>
    <w:p>
      <w:pPr>
        <w:spacing w:after="0" w:line="1" w:lineRule="exact"/>
        <w:rPr>
          <w:rFonts w:ascii="Arial" w:cs="Arial" w:eastAsia="Arial" w:hAnsi="Arial"/>
          <w:sz w:val="18"/>
          <w:szCs w:val="18"/>
          <w:color w:val="auto"/>
        </w:rPr>
      </w:pPr>
    </w:p>
    <w:p>
      <w:pPr>
        <w:ind w:left="640" w:hanging="614"/>
        <w:spacing w:after="0" w:line="23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640" w:right="682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$2,837,595,123.44</w:t>
      </w:r>
    </w:p>
    <w:p>
      <w:pPr>
        <w:spacing w:after="0" w:line="1" w:lineRule="exact"/>
        <w:rPr>
          <w:rFonts w:ascii="Arial" w:cs="Arial" w:eastAsia="Arial" w:hAnsi="Arial"/>
          <w:sz w:val="18"/>
          <w:szCs w:val="18"/>
          <w:color w:val="auto"/>
        </w:rPr>
      </w:pPr>
    </w:p>
    <w:p>
      <w:pPr>
        <w:ind w:left="640" w:right="9480" w:hanging="614"/>
        <w:spacing w:after="0" w:line="33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Total fee paid: $309,582 </w:t>
      </w:r>
      <w:r>
        <w:rPr>
          <w:rFonts w:ascii="Arial" w:cs="Arial" w:eastAsia="Arial" w:hAnsi="Arial"/>
          <w:sz w:val="20"/>
          <w:szCs w:val="20"/>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-1230630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-1590675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7" w:lineRule="exact"/>
        <w:rPr>
          <w:sz w:val="24"/>
          <w:szCs w:val="24"/>
          <w:color w:val="auto"/>
        </w:rPr>
      </w:pPr>
    </w:p>
    <w:p>
      <w:pPr>
        <w:ind w:left="640" w:hanging="614"/>
        <w:spacing w:after="0" w:line="258" w:lineRule="auto"/>
        <w:tabs>
          <w:tab w:leader="none" w:pos="6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sz w:val="24"/>
          <w:szCs w:val="24"/>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63" w:right="419" w:bottom="1440" w:gutter="0" w:footer="0" w:header="0"/>
        </w:sectPr>
      </w:pP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4"/>
          <w:szCs w:val="2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at a rate equal to $109.10 per $1,000,000 of the proposed maximum aggregate offering price.</w:t>
      </w:r>
    </w:p>
    <w:p>
      <w:pPr>
        <w:sectPr>
          <w:pgSz w:w="11900" w:h="16838" w:orient="portrait"/>
          <w:cols w:equalWidth="0" w:num="1">
            <w:col w:w="11160"/>
          </w:cols>
          <w:pgMar w:left="320" w:top="863" w:right="419" w:bottom="1440" w:gutter="0" w:footer="0" w:header="0"/>
          <w:type w:val="continuous"/>
        </w:sectPr>
      </w:pPr>
    </w:p>
    <w:bookmarkStart w:id="1" w:name="page2"/>
    <w:bookmarkEnd w:id="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Corvex Management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New York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 of CM Life Sciences, Inc.:</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You are cordially invited to attend the special meeting of stockholders (the “</w:t>
      </w:r>
      <w:r>
        <w:rPr>
          <w:rFonts w:ascii="Arial" w:cs="Arial" w:eastAsia="Arial" w:hAnsi="Arial"/>
          <w:sz w:val="17"/>
          <w:szCs w:val="17"/>
          <w:i w:val="1"/>
          <w:iCs w:val="1"/>
          <w:color w:val="auto"/>
        </w:rPr>
        <w:t>Special Meeting</w:t>
      </w:r>
      <w:r>
        <w:rPr>
          <w:rFonts w:ascii="Arial" w:cs="Arial" w:eastAsia="Arial" w:hAnsi="Arial"/>
          <w:sz w:val="17"/>
          <w:szCs w:val="17"/>
          <w:color w:val="auto"/>
        </w:rPr>
        <w:t>”) of CM Life Sciences, Inc.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CMLS</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to be held on July 21, 2021 at 10:00 a.m.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9, 2021, the Company and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entered into an Agreement and Plan of Merger with Mount Sinai Genomics, Inc. d/b/a Sema4 (“</w:t>
      </w:r>
      <w:r>
        <w:rPr>
          <w:rFonts w:ascii="Arial" w:cs="Arial" w:eastAsia="Arial" w:hAnsi="Arial"/>
          <w:sz w:val="16"/>
          <w:szCs w:val="16"/>
          <w:i w:val="1"/>
          <w:iCs w:val="1"/>
          <w:color w:val="auto"/>
        </w:rPr>
        <w:t>Sema4</w:t>
      </w:r>
      <w:r>
        <w:rPr>
          <w:rFonts w:ascii="Arial" w:cs="Arial" w:eastAsia="Arial" w:hAnsi="Arial"/>
          <w:sz w:val="16"/>
          <w:szCs w:val="16"/>
          <w:color w:val="auto"/>
        </w:rPr>
        <w:t>”) (the “</w:t>
      </w:r>
      <w:r>
        <w:rPr>
          <w:rFonts w:ascii="Arial" w:cs="Arial" w:eastAsia="Arial" w:hAnsi="Arial"/>
          <w:sz w:val="16"/>
          <w:szCs w:val="16"/>
          <w:i w:val="1"/>
          <w:iCs w:val="1"/>
          <w:color w:val="auto"/>
        </w:rPr>
        <w:t>Merger Agreement</w:t>
      </w:r>
      <w:r>
        <w:rPr>
          <w:rFonts w:ascii="Arial" w:cs="Arial" w:eastAsia="Arial" w:hAnsi="Arial"/>
          <w:sz w:val="16"/>
          <w:szCs w:val="16"/>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will change its name to Sema4 Holdings Corp. As described in this proxy statement, CMLS’s stockholders are being asked to consider and vote upon, among other things, the Business Combination and the other proposals set forth herein. For ease of reference, certain capitalized terms used in this proxy statement are defined below in “</w:t>
      </w:r>
      <w:r>
        <w:rPr>
          <w:rFonts w:ascii="Arial" w:cs="Arial" w:eastAsia="Arial" w:hAnsi="Arial"/>
          <w:sz w:val="16"/>
          <w:szCs w:val="16"/>
          <w:i w:val="1"/>
          <w:iCs w:val="1"/>
          <w:color w:val="auto"/>
        </w:rPr>
        <w:t>Frequently Used Terms</w:t>
      </w:r>
      <w:r>
        <w:rPr>
          <w:rFonts w:ascii="Arial" w:cs="Arial" w:eastAsia="Arial" w:hAnsi="Arial"/>
          <w:sz w:val="16"/>
          <w:szCs w:val="16"/>
          <w:color w:val="auto"/>
        </w:rPr>
        <w:t>”.</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paid to Sema4 Stockholders as merger consideration under the terms of the Merger Agreement will remain on the balance sheet of the combined company and be available for the payment of transaction expenses and other combined company uses.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Business Combination, the Company entered into subscription agreements, each dated as of February 9, 2021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with certain institutional investors, including affiliates of our Sponsor and existing investors in Sema4 (collectively, the “</w:t>
      </w:r>
      <w:r>
        <w:rPr>
          <w:rFonts w:ascii="Arial" w:cs="Arial" w:eastAsia="Arial" w:hAnsi="Arial"/>
          <w:sz w:val="16"/>
          <w:szCs w:val="16"/>
          <w:i w:val="1"/>
          <w:iCs w:val="1"/>
          <w:color w:val="auto"/>
        </w:rPr>
        <w:t>PIPE</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among other things, the Company agreed to issue and sell to the PIPE Investors, in private placements to close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Closing, an aggregate of 35,000,000 shares of common stock at $10.00 per share, for an aggregate purchase price of $350,000,000.</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Sema4 cannot complete the Business Combination unless the Company’s stockholders approve the Business Combination, including the issuance of common stock to Sema4 equity holders as merger consideration, and certain of the other proposals contained herein. The Company is sending you this proxy statement to ask you to vote in favor of the Business Combination Proposal, as described below, and the other matters described in this proxy statement.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Special Meeting, Company stockholders will be asked to consider and vote upon a proposal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to adopt the Merger Agreement, a copy of which is attached to the accompanying proxy statement as Annex A, and approve the transactions contemplated thereby, including the Business Combination. In addition, you are being asked to consider and vote upon a proposal to approve, for purposes of complying with applicable Nasdaq Stock Market (the “</w:t>
      </w:r>
      <w:r>
        <w:rPr>
          <w:rFonts w:ascii="Arial" w:cs="Arial" w:eastAsia="Arial" w:hAnsi="Arial"/>
          <w:sz w:val="16"/>
          <w:szCs w:val="16"/>
          <w:i w:val="1"/>
          <w:iCs w:val="1"/>
          <w:color w:val="auto"/>
        </w:rPr>
        <w:t>Nasdaq</w:t>
      </w:r>
      <w:r>
        <w:rPr>
          <w:rFonts w:ascii="Arial" w:cs="Arial" w:eastAsia="Arial" w:hAnsi="Arial"/>
          <w:sz w:val="16"/>
          <w:szCs w:val="16"/>
          <w:color w:val="auto"/>
        </w:rPr>
        <w:t>”) listing rules, the issuance of more than 20% of the Company’s outstanding common stock in connection with the Business Combination and the Subscription Agreements, including up to 147,922,735 shares of common stock to the Sema4 equity holders in the Business Combination and 35,000,000 shares of common stock to the PIPE Investors (the “</w:t>
      </w:r>
      <w:r>
        <w:rPr>
          <w:rFonts w:ascii="Arial" w:cs="Arial" w:eastAsia="Arial" w:hAnsi="Arial"/>
          <w:sz w:val="16"/>
          <w:szCs w:val="16"/>
          <w:i w:val="1"/>
          <w:iCs w:val="1"/>
          <w:color w:val="auto"/>
        </w:rPr>
        <w:t>Nasdaq Stock Issuance</w:t>
      </w:r>
    </w:p>
    <w:p>
      <w:pPr>
        <w:sectPr>
          <w:pgSz w:w="11900" w:h="16838" w:orient="portrait"/>
          <w:cols w:equalWidth="0" w:num="1">
            <w:col w:w="11240"/>
          </w:cols>
          <w:pgMar w:left="320" w:top="1421"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t>Proposal</w:t>
      </w:r>
      <w:r>
        <w:rPr>
          <w:rFonts w:ascii="Arial" w:cs="Arial" w:eastAsia="Arial" w:hAnsi="Arial"/>
          <w:sz w:val="16"/>
          <w:szCs w:val="16"/>
          <w:color w:val="auto"/>
        </w:rPr>
        <w:t>” or “</w:t>
      </w:r>
      <w:r>
        <w:rPr>
          <w:rFonts w:ascii="Arial" w:cs="Arial" w:eastAsia="Arial" w:hAnsi="Arial"/>
          <w:sz w:val="16"/>
          <w:szCs w:val="16"/>
          <w:i w:val="1"/>
          <w:iCs w:val="1"/>
          <w:color w:val="auto"/>
        </w:rPr>
        <w:t>Proposal No. 2</w:t>
      </w:r>
      <w:r>
        <w:rPr>
          <w:rFonts w:ascii="Arial" w:cs="Arial" w:eastAsia="Arial" w:hAnsi="Arial"/>
          <w:sz w:val="16"/>
          <w:szCs w:val="16"/>
          <w:color w:val="auto"/>
        </w:rPr>
        <w:t>”); a proposal to adopt the Amended and Restated Certificate of Incorporation in the form attached hereto as Annex B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a separate proposal with respect to certain governance provisions in the Amended and Restated Certificate of Incorporation, presented in accordance with SEC requirements and which will be voted upon on a non-binding advisory basis (the “</w:t>
      </w:r>
      <w:r>
        <w:rPr>
          <w:rFonts w:ascii="Arial" w:cs="Arial" w:eastAsia="Arial" w:hAnsi="Arial"/>
          <w:sz w:val="16"/>
          <w:szCs w:val="16"/>
          <w:i w:val="1"/>
          <w:iCs w:val="1"/>
          <w:color w:val="auto"/>
        </w:rPr>
        <w:t>Governance Proposal</w:t>
      </w:r>
      <w:r>
        <w:rPr>
          <w:rFonts w:ascii="Arial" w:cs="Arial" w:eastAsia="Arial" w:hAnsi="Arial"/>
          <w:sz w:val="16"/>
          <w:szCs w:val="16"/>
          <w:color w:val="auto"/>
        </w:rPr>
        <w:t>” or “</w:t>
      </w:r>
      <w:r>
        <w:rPr>
          <w:rFonts w:ascii="Arial" w:cs="Arial" w:eastAsia="Arial" w:hAnsi="Arial"/>
          <w:sz w:val="16"/>
          <w:szCs w:val="16"/>
          <w:i w:val="1"/>
          <w:iCs w:val="1"/>
          <w:color w:val="auto"/>
        </w:rPr>
        <w:t>Proposal No. 4</w:t>
      </w:r>
      <w:r>
        <w:rPr>
          <w:rFonts w:ascii="Arial" w:cs="Arial" w:eastAsia="Arial" w:hAnsi="Arial"/>
          <w:sz w:val="16"/>
          <w:szCs w:val="16"/>
          <w:color w:val="auto"/>
        </w:rPr>
        <w:t>”); a proposal to approve the Sema4 Holdings Corp 2021 Equity Incentive Plan (the “</w:t>
      </w:r>
      <w:r>
        <w:rPr>
          <w:rFonts w:ascii="Arial" w:cs="Arial" w:eastAsia="Arial" w:hAnsi="Arial"/>
          <w:sz w:val="16"/>
          <w:szCs w:val="16"/>
          <w:i w:val="1"/>
          <w:iCs w:val="1"/>
          <w:color w:val="auto"/>
        </w:rPr>
        <w:t>Incentive Plan</w:t>
      </w:r>
      <w:r>
        <w:rPr>
          <w:rFonts w:ascii="Arial" w:cs="Arial" w:eastAsia="Arial" w:hAnsi="Arial"/>
          <w:sz w:val="16"/>
          <w:szCs w:val="16"/>
          <w:color w:val="auto"/>
        </w:rPr>
        <w:t>”)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5</w:t>
      </w:r>
      <w:r>
        <w:rPr>
          <w:rFonts w:ascii="Arial" w:cs="Arial" w:eastAsia="Arial" w:hAnsi="Arial"/>
          <w:sz w:val="16"/>
          <w:szCs w:val="16"/>
          <w:color w:val="auto"/>
        </w:rPr>
        <w:t>”); a proposal to approve the Sema4 Holdings Corp 2021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 (the “</w:t>
      </w:r>
      <w:r>
        <w:rPr>
          <w:rFonts w:ascii="Arial" w:cs="Arial" w:eastAsia="Arial" w:hAnsi="Arial"/>
          <w:sz w:val="16"/>
          <w:szCs w:val="16"/>
          <w:i w:val="1"/>
          <w:iCs w:val="1"/>
          <w:color w:val="auto"/>
        </w:rPr>
        <w:t>ESPP Proposal</w:t>
      </w:r>
      <w:r>
        <w:rPr>
          <w:rFonts w:ascii="Arial" w:cs="Arial" w:eastAsia="Arial" w:hAnsi="Arial"/>
          <w:sz w:val="16"/>
          <w:szCs w:val="16"/>
          <w:color w:val="auto"/>
        </w:rPr>
        <w:t>” or “</w:t>
      </w:r>
      <w:r>
        <w:rPr>
          <w:rFonts w:ascii="Arial" w:cs="Arial" w:eastAsia="Arial" w:hAnsi="Arial"/>
          <w:sz w:val="16"/>
          <w:szCs w:val="16"/>
          <w:i w:val="1"/>
          <w:iCs w:val="1"/>
          <w:color w:val="auto"/>
        </w:rPr>
        <w:t>Proposal No. 6</w:t>
      </w:r>
      <w:r>
        <w:rPr>
          <w:rFonts w:ascii="Arial" w:cs="Arial" w:eastAsia="Arial" w:hAnsi="Arial"/>
          <w:sz w:val="16"/>
          <w:szCs w:val="16"/>
          <w:color w:val="auto"/>
        </w:rPr>
        <w:t>”); a proposal to consider and vote upon a proposal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(as defined herein),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6"/>
          <w:szCs w:val="16"/>
          <w:i w:val="1"/>
          <w:iCs w:val="1"/>
          <w:color w:val="auto"/>
        </w:rPr>
        <w:t>Director Election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7</w:t>
      </w:r>
      <w:r>
        <w:rPr>
          <w:rFonts w:ascii="Arial" w:cs="Arial" w:eastAsia="Arial" w:hAnsi="Arial"/>
          <w:sz w:val="16"/>
          <w:szCs w:val="16"/>
          <w:color w:val="auto"/>
        </w:rPr>
        <w:t>”); 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(the “</w:t>
      </w:r>
      <w:r>
        <w:rPr>
          <w:rFonts w:ascii="Arial" w:cs="Arial" w:eastAsia="Arial" w:hAnsi="Arial"/>
          <w:sz w:val="16"/>
          <w:szCs w:val="16"/>
          <w:i w:val="1"/>
          <w:iCs w:val="1"/>
          <w:color w:val="auto"/>
        </w:rPr>
        <w:t>Adjournment Proposal</w:t>
      </w:r>
      <w:r>
        <w:rPr>
          <w:rFonts w:ascii="Arial" w:cs="Arial" w:eastAsia="Arial" w:hAnsi="Arial"/>
          <w:sz w:val="16"/>
          <w:szCs w:val="16"/>
          <w:color w:val="auto"/>
        </w:rPr>
        <w:t>” or “</w:t>
      </w:r>
      <w:r>
        <w:rPr>
          <w:rFonts w:ascii="Arial" w:cs="Arial" w:eastAsia="Arial" w:hAnsi="Arial"/>
          <w:sz w:val="16"/>
          <w:szCs w:val="16"/>
          <w:i w:val="1"/>
          <w:iCs w:val="1"/>
          <w:color w:val="auto"/>
        </w:rPr>
        <w:t>Proposal No. 8</w:t>
      </w:r>
      <w:r>
        <w:rPr>
          <w:rFonts w:ascii="Arial" w:cs="Arial" w:eastAsia="Arial" w:hAnsi="Arial"/>
          <w:sz w:val="16"/>
          <w:szCs w:val="16"/>
          <w:color w:val="auto"/>
        </w:rPr>
        <w:t>”); and the ratification of Withum as the Company’s independent registered public accounting firm for the fiscal year ending December 31, 2020 (the “</w:t>
      </w:r>
      <w:r>
        <w:rPr>
          <w:rFonts w:ascii="Arial" w:cs="Arial" w:eastAsia="Arial" w:hAnsi="Arial"/>
          <w:sz w:val="16"/>
          <w:szCs w:val="16"/>
          <w:i w:val="1"/>
          <w:iCs w:val="1"/>
          <w:color w:val="auto"/>
        </w:rPr>
        <w:t>Auditor Ratification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9</w:t>
      </w:r>
      <w:r>
        <w:rPr>
          <w:rFonts w:ascii="Arial" w:cs="Arial" w:eastAsia="Arial" w:hAnsi="Arial"/>
          <w:sz w:val="16"/>
          <w:szCs w:val="16"/>
          <w:color w:val="auto"/>
        </w:rPr>
        <w: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proposals is more fully described in this proxy statement, which each stockholder is encouraged to carefully read.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(the “</w:t>
      </w:r>
      <w:r>
        <w:rPr>
          <w:rFonts w:ascii="Arial" w:cs="Arial" w:eastAsia="Arial" w:hAnsi="Arial"/>
          <w:sz w:val="17"/>
          <w:szCs w:val="17"/>
          <w:i w:val="1"/>
          <w:iCs w:val="1"/>
          <w:color w:val="auto"/>
        </w:rPr>
        <w:t>Trust Account</w:t>
      </w:r>
      <w:r>
        <w:rPr>
          <w:rFonts w:ascii="Arial" w:cs="Arial" w:eastAsia="Arial" w:hAnsi="Arial"/>
          <w:sz w:val="17"/>
          <w:szCs w:val="17"/>
          <w:color w:val="auto"/>
        </w:rPr>
        <w:t xml:space="preserve">”)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7"/>
          <w:szCs w:val="17"/>
          <w:b w:val="1"/>
          <w:bCs w:val="1"/>
          <w:u w:val="single" w:color="auto"/>
          <w:color w:val="auto"/>
        </w:rPr>
        <w:t>Public stockholders may elect to redeem their shares even if they vote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Business Combination</w:t>
      </w:r>
      <w:r>
        <w:rPr>
          <w:rFonts w:ascii="Arial" w:cs="Arial" w:eastAsia="Arial" w:hAnsi="Arial"/>
          <w:sz w:val="17"/>
          <w:szCs w:val="17"/>
          <w:color w:val="auto"/>
        </w:rPr>
        <w:t>. Any request to redeem public shares, once made, may be withdrawn at any time until the deadline for exercising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redemption of shares of common stock by our public stockholders will reduce the amount in the Trust Account. The Merger Agreement provides that Sema4’s obligation to consummate the Business Combination is subject to the condition that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Unless otherwise specified, the</w:t>
      </w:r>
    </w:p>
    <w:p>
      <w:pPr>
        <w:sectPr>
          <w:pgSz w:w="11900" w:h="16838" w:orient="portrait"/>
          <w:cols w:equalWidth="0" w:num="1">
            <w:col w:w="11240"/>
          </w:cols>
          <w:pgMar w:left="320" w:top="1421"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information in the accompanying proxy statement assumes that none of our public stockholders exercise their redemption rights with respect to their shares of common stock.</w:t>
      </w:r>
    </w:p>
    <w:p>
      <w:pPr>
        <w:spacing w:after="0" w:line="11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Sponsor and the Company’s officers and directors at the time of our IPO (together, our “</w:t>
      </w:r>
      <w:r>
        <w:rPr>
          <w:rFonts w:ascii="Arial" w:cs="Arial" w:eastAsia="Arial" w:hAnsi="Arial"/>
          <w:sz w:val="17"/>
          <w:szCs w:val="17"/>
          <w:i w:val="1"/>
          <w:iCs w:val="1"/>
          <w:color w:val="auto"/>
        </w:rPr>
        <w:t>Initial Stockholders</w:t>
      </w:r>
      <w:r>
        <w:rPr>
          <w:rFonts w:ascii="Arial" w:cs="Arial" w:eastAsia="Arial" w:hAnsi="Arial"/>
          <w:sz w:val="17"/>
          <w:szCs w:val="17"/>
          <w:color w:val="auto"/>
        </w:rPr>
        <w:t>”) have agreed to vote their shares of common stock in favor of the Business Combination. Currently, our Initial Stockholders own approximately 20% of our issued and outstanding shares of common stock. In addition, our Initial Stockholders have agreed to waive their redemption rights with respect to such shares.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Business Combination and other related business to be considered by the Company’s stockholders at the Special Meeting is included in this proxy statement. </w:t>
      </w:r>
      <w:r>
        <w:rPr>
          <w:rFonts w:ascii="Arial" w:cs="Arial" w:eastAsia="Arial" w:hAnsi="Arial"/>
          <w:sz w:val="16"/>
          <w:szCs w:val="16"/>
          <w:b w:val="1"/>
          <w:bCs w:val="1"/>
          <w:color w:val="auto"/>
        </w:rPr>
        <w:t>Whether or not you plan to attend the Special Meeting, we urge all Company stockholders to read this proxy statement, including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Annexes and the accompanying financial statements of the Company and Sema4, carefully and in their entirety. In particular, we urge you to carefully read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this proxy statement.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careful consideration, our Board has approved the Merger Agreement and the transactions contemplated therein, and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and approval of the transactions contemplated thereby, including the Business Combination, and “</w:t>
      </w:r>
      <w:r>
        <w:rPr>
          <w:rFonts w:ascii="Arial" w:cs="Arial" w:eastAsia="Arial" w:hAnsi="Arial"/>
          <w:sz w:val="18"/>
          <w:szCs w:val="18"/>
          <w:b w:val="1"/>
          <w:bCs w:val="1"/>
          <w:color w:val="auto"/>
        </w:rPr>
        <w:t>FOR</w:t>
      </w:r>
      <w:r>
        <w:rPr>
          <w:rFonts w:ascii="Arial" w:cs="Arial" w:eastAsia="Arial" w:hAnsi="Arial"/>
          <w:sz w:val="18"/>
          <w:szCs w:val="18"/>
          <w:color w:val="auto"/>
        </w:rPr>
        <w:t>” all other proposals presented to our stockholders in the accompanying proxy statement. When you consider the Board’s recommendation of these proposals, you should keep in mind that our directors and officers have interests in the Business Combination that may conflict with your interests as a stockholder. Please see the section entitled “</w:t>
      </w:r>
      <w:r>
        <w:rPr>
          <w:rFonts w:ascii="Arial" w:cs="Arial" w:eastAsia="Arial" w:hAnsi="Arial"/>
          <w:sz w:val="18"/>
          <w:szCs w:val="18"/>
          <w:i w:val="1"/>
          <w:iCs w:val="1"/>
          <w:color w:val="auto"/>
        </w:rPr>
        <w:t>Proposal No. 1 — Approval of the Business Combination — Interests of Certain Persons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Approval of each of the Business Combination Proposal, the Nasdaq Stock Issuance Proposal, the Governance Proposal, the Incentive Plan Proposal, the ESPP Proposal and the Adjournment Proposal require the affirmative vote of a majority of the votes cast at the Special Meeting. Approval of the Charter Approval Proposal requires the affirmative vote of a majority of the outstanding shares of our common stock.</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Your vote is very important</w:t>
      </w:r>
      <w:r>
        <w:rPr>
          <w:rFonts w:ascii="Arial" w:cs="Arial" w:eastAsia="Arial" w:hAnsi="Arial"/>
          <w:sz w:val="17"/>
          <w:szCs w:val="17"/>
          <w:color w:val="auto"/>
        </w:rPr>
        <w:t xml:space="preserve">. Whether or not you plan to attend the Special Meeting, please vote as soon as possible by following the instructions in this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Arial" w:cs="Arial" w:eastAsia="Arial" w:hAnsi="Arial"/>
          <w:sz w:val="17"/>
          <w:szCs w:val="17"/>
          <w:i w:val="1"/>
          <w:iCs w:val="1"/>
          <w:color w:val="auto"/>
        </w:rPr>
        <w:t xml:space="preserve">https://www.cstproxy.com/CMLS/sm2021 </w:t>
      </w:r>
      <w:r>
        <w:rPr>
          <w:rFonts w:ascii="Arial" w:cs="Arial" w:eastAsia="Arial" w:hAnsi="Arial"/>
          <w:sz w:val="17"/>
          <w:szCs w:val="17"/>
          <w:color w:val="auto"/>
        </w:rPr>
        <w:t>with your 12-digit control number assigned by Continental Stock Transfer &amp; Trust Company included on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or obtained from them via email. 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presented at the Special Meeting. If you fail to return your proxy card or fail to instruct your bank, broker or other nominee how to vote, and do not attend the Special Meeting, the effect will be that your shares will not be counted for purposes of determining whether a quorum is present at the Special Meeting. If you are a stockholder of record and you attend the Special Meeting and wish to vote at the Special Meeting, you may revoke your proxy and vote at the Special Meeting.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EXERCISE YOUR REDEMPTION RIGHTS, YOU MUST DEMAND THAT THE COMPANY REDEEM YOUR SHARES FOR A PRO RATA PORTION OF THE FUNDS HELD IN THE TRUST ACCOUNT AND TENDER YOUR SHARES TO THE COMPANY’S TRANSFER AGENT AT LEAST TWO BUSINESS DAYS PRIOR TO THE SPECIAL MEETING. YOU MAY TENDER YOUR SHARES BY EITHER DELIVERING YOUR SHARE CERTIFICATE TO THE TRANSFER AGENT OR BY DELIVERING YOUR</w:t>
      </w:r>
    </w:p>
    <w:p>
      <w:pPr>
        <w:sectPr>
          <w:pgSz w:w="11900" w:h="16838" w:orient="portrait"/>
          <w:cols w:equalWidth="0" w:num="1">
            <w:col w:w="11240"/>
          </w:cols>
          <w:pgMar w:left="320" w:top="142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CM Life Sciences, Inc. and look forward to a successful completion of the Business Combination.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 2021</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THE SECURITIES AND EXCHANGE COMMISSION NOR ANY STATE SECURITIES REGULATORY AGENCY HAS APPROVED OR DISAPPROVED THE TRANSACTIONS DESCRIBED IN THIS PROXY STATEMENT, PASSED UPON THE MERITS OR FAIRNESS OF THE BUSINESS COMBINATION OR RELATED TRANSACTIONS OR PASSED UPON THE ADEQUACY OR ACCURACY OF THE DISCLOSURE IN THIS PROXY STATEMENT. ANY REPRESENTATION TO THE CONTRARY CONSTITUTES A CRIMINAL OFFENSE.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is dated July 2, 2021 and is expected to be first mailed to Company stockholders on or about July 7, 2021.</w:t>
      </w:r>
    </w:p>
    <w:p>
      <w:pPr>
        <w:sectPr>
          <w:pgSz w:w="11900" w:h="16838" w:orient="portrait"/>
          <w:cols w:equalWidth="0" w:num="1">
            <w:col w:w="11240"/>
          </w:cols>
          <w:pgMar w:left="320" w:top="14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CM LIFE SCIENCES,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JULY 21,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CM Life Sciences, Inc.:</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NOTICE IS HEREBY GIVEN that a special meeting of the stockholders of CM Life Sciences,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will be held on July 21, 2021 at 10:00 a.m. Eastern time (the “</w:t>
      </w:r>
      <w:r>
        <w:rPr>
          <w:rFonts w:ascii="Arial" w:cs="Arial" w:eastAsia="Arial" w:hAnsi="Arial"/>
          <w:sz w:val="17"/>
          <w:szCs w:val="17"/>
          <w:i w:val="1"/>
          <w:iCs w:val="1"/>
          <w:color w:val="auto"/>
        </w:rPr>
        <w:t>Special Meeting</w:t>
      </w:r>
      <w:r>
        <w:rPr>
          <w:rFonts w:ascii="Arial" w:cs="Arial" w:eastAsia="Arial" w:hAnsi="Arial"/>
          <w:sz w:val="17"/>
          <w:szCs w:val="17"/>
          <w:color w:val="auto"/>
        </w:rPr>
        <w:t xml:space="preserv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you will be asked to consider and vote on proposals to:</w:t>
      </w:r>
    </w:p>
    <w:p>
      <w:pPr>
        <w:spacing w:after="0" w:line="167" w:lineRule="exact"/>
        <w:rPr>
          <w:sz w:val="20"/>
          <w:szCs w:val="20"/>
          <w:color w:val="auto"/>
        </w:rPr>
      </w:pPr>
    </w:p>
    <w:p>
      <w:pPr>
        <w:jc w:val="both"/>
        <w:ind w:left="660" w:hanging="328"/>
        <w:spacing w:after="0" w:line="29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Business Combination Proposal </w:t>
      </w:r>
      <w:r>
        <w:rPr>
          <w:rFonts w:ascii="Arial" w:cs="Arial" w:eastAsia="Arial" w:hAnsi="Arial"/>
          <w:sz w:val="16"/>
          <w:szCs w:val="16"/>
          <w:color w:val="auto"/>
        </w:rPr>
        <w:t>— To approve and adopt the Agreement and Plan of Merger, dated as of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2021 as amended by the Amendment to Agreement and Plan of Merger dated May 3, 2021 (as it may be further amended and/or restated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and Mount Sinai Genomics, Inc. (“</w:t>
      </w:r>
      <w:r>
        <w:rPr>
          <w:rFonts w:ascii="Arial" w:cs="Arial" w:eastAsia="Arial" w:hAnsi="Arial"/>
          <w:sz w:val="16"/>
          <w:szCs w:val="16"/>
          <w:i w:val="1"/>
          <w:iCs w:val="1"/>
          <w:color w:val="auto"/>
        </w:rPr>
        <w:t>Sema4</w:t>
      </w:r>
      <w:r>
        <w:rPr>
          <w:rFonts w:ascii="Arial" w:cs="Arial" w:eastAsia="Arial" w:hAnsi="Arial"/>
          <w:sz w:val="16"/>
          <w:szCs w:val="16"/>
          <w:color w:val="auto"/>
        </w:rPr>
        <w:t>”), a copy of which is attached to this proxy statement as Annex A, and approve the transactions contemplated thereby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including the merger of Merger Sub with and into Sema4, with Sema4 surviving the merger as a wholly owned subsidiary of the Company, and the issuance of common stock to Sema4 equity holders as merger consideration;</w:t>
      </w:r>
    </w:p>
    <w:p>
      <w:pPr>
        <w:spacing w:after="0" w:line="105"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Stock Market (the “</w:t>
      </w:r>
      <w:r>
        <w:rPr>
          <w:rFonts w:ascii="Arial" w:cs="Arial" w:eastAsia="Arial" w:hAnsi="Arial"/>
          <w:sz w:val="18"/>
          <w:szCs w:val="18"/>
          <w:i w:val="1"/>
          <w:iCs w:val="1"/>
          <w:color w:val="auto"/>
        </w:rPr>
        <w:t>Nasdaq</w:t>
      </w:r>
      <w:r>
        <w:rPr>
          <w:rFonts w:ascii="Arial" w:cs="Arial" w:eastAsia="Arial" w:hAnsi="Arial"/>
          <w:sz w:val="18"/>
          <w:szCs w:val="18"/>
          <w:color w:val="auto"/>
        </w:rPr>
        <w:t>”), the issuance of more than 20% of the Company’s outstanding common stock in connection with the Business Combination and Subscription Agreements, including up to 35,000,000 shares of our common stock to the PIPE Investors, which includes affiliates of CMLS Holdings LLC (our “</w:t>
      </w:r>
      <w:r>
        <w:rPr>
          <w:rFonts w:ascii="Arial" w:cs="Arial" w:eastAsia="Arial" w:hAnsi="Arial"/>
          <w:sz w:val="18"/>
          <w:szCs w:val="18"/>
          <w:i w:val="1"/>
          <w:iCs w:val="1"/>
          <w:color w:val="auto"/>
        </w:rPr>
        <w:t>Sponsor</w:t>
      </w:r>
      <w:r>
        <w:rPr>
          <w:rFonts w:ascii="Arial" w:cs="Arial" w:eastAsia="Arial" w:hAnsi="Arial"/>
          <w:sz w:val="18"/>
          <w:szCs w:val="18"/>
          <w:color w:val="auto"/>
        </w:rPr>
        <w:t>”) that subscribed for 9,500,000 shares of common stock, and up to 147,922,735 shares of our common stock to Sema4 equity holders;</w:t>
      </w:r>
    </w:p>
    <w:p>
      <w:pPr>
        <w:spacing w:after="0" w:line="12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in the form attached hereto as Annex B;</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Proposal No. 4 — Governance Proposal</w:t>
      </w:r>
      <w:r>
        <w:rPr>
          <w:rFonts w:ascii="Arial" w:cs="Arial" w:eastAsia="Arial" w:hAnsi="Arial"/>
          <w:sz w:val="17"/>
          <w:szCs w:val="17"/>
          <w:color w:val="auto"/>
        </w:rPr>
        <w:t>— To approve, on a non-binding advisory basis, a separate proposal with respect to certain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in the Amended and Restated Certificate of Incorporation in accordance with United States SEC requirements;</w:t>
      </w:r>
    </w:p>
    <w:p>
      <w:pPr>
        <w:spacing w:after="0" w:line="85"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Sema4 Holdings Corp 2021 Equity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authorization of the initial share reserve under the Incentive Plan;</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Sema4 Holdings Corp 2021 Employee Stock Purchase Plan (the “</w:t>
      </w:r>
      <w:r>
        <w:rPr>
          <w:rFonts w:ascii="Arial" w:cs="Arial" w:eastAsia="Arial" w:hAnsi="Arial"/>
          <w:sz w:val="18"/>
          <w:szCs w:val="18"/>
          <w:i w:val="1"/>
          <w:iCs w:val="1"/>
          <w:color w:val="auto"/>
        </w:rPr>
        <w:t>ESPP</w:t>
      </w:r>
      <w:r>
        <w:rPr>
          <w:rFonts w:ascii="Arial" w:cs="Arial" w:eastAsia="Arial" w:hAnsi="Arial"/>
          <w:sz w:val="18"/>
          <w:szCs w:val="18"/>
          <w:color w:val="auto"/>
        </w:rPr>
        <w: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the initial share reserve under the ESPP;</w:t>
      </w:r>
    </w:p>
    <w:p>
      <w:pPr>
        <w:spacing w:after="0" w:line="107"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The Director Election Proposal </w:t>
      </w:r>
      <w:r>
        <w:rPr>
          <w:rFonts w:ascii="Arial" w:cs="Arial" w:eastAsia="Arial" w:hAnsi="Arial"/>
          <w:sz w:val="17"/>
          <w:szCs w:val="17"/>
          <w:color w:val="auto"/>
        </w:rPr>
        <w:t>— To consider and vote upon a proposal to elect nine directors to serve on the post-combination company’s board of directors, each for a three-year term annual meeting of stockholders or until such director’s successor has been duly elected and qualified, or until such director’s earlier death, resignation, retirement or removal; alternatively, in the event the condition precedent proposals (as defined below), including the Charter Approval Proposal, are not approved, to elect</w:t>
      </w:r>
    </w:p>
    <w:p>
      <w:pPr>
        <w:sectPr>
          <w:pgSz w:w="11900" w:h="16838" w:orient="portrait"/>
          <w:cols w:equalWidth="0" w:num="1">
            <w:col w:w="11240"/>
          </w:cols>
          <w:pgMar w:left="320" w:top="1417" w:right="339" w:bottom="1440" w:gutter="0" w:footer="0" w:header="0"/>
        </w:sectPr>
      </w:pPr>
    </w:p>
    <w:bookmarkStart w:id="7" w:name="page8"/>
    <w:bookmarkEnd w:id="7"/>
    <w:p>
      <w:pPr>
        <w:jc w:val="both"/>
        <w:ind w:left="660"/>
        <w:spacing w:after="0" w:line="263" w:lineRule="auto"/>
        <w:rPr>
          <w:sz w:val="20"/>
          <w:szCs w:val="20"/>
          <w:color w:val="auto"/>
        </w:rPr>
      </w:pPr>
      <w:r>
        <w:rPr>
          <w:rFonts w:ascii="Arial" w:cs="Arial" w:eastAsia="Arial" w:hAnsi="Arial"/>
          <w:sz w:val="18"/>
          <w:szCs w:val="18"/>
          <w:color w:val="auto"/>
        </w:rPr>
        <w:t>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and</w:t>
      </w:r>
    </w:p>
    <w:p>
      <w:pPr>
        <w:spacing w:after="0" w:line="126" w:lineRule="exact"/>
        <w:rPr>
          <w:sz w:val="20"/>
          <w:szCs w:val="20"/>
          <w:color w:val="auto"/>
        </w:rPr>
      </w:pPr>
    </w:p>
    <w:p>
      <w:pPr>
        <w:jc w:val="both"/>
        <w:ind w:left="660" w:hanging="328"/>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w:t>
      </w:r>
      <w:r>
        <w:rPr>
          <w:rFonts w:ascii="Arial" w:cs="Arial" w:eastAsia="Arial" w:hAnsi="Arial"/>
          <w:sz w:val="18"/>
          <w:szCs w:val="18"/>
          <w:color w:val="auto"/>
        </w:rPr>
        <w:t>--- The ratification of Withum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2020.</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 which also includes, as Annex A, a copy of the Merger Agreement, and Annex B, a copy of the Amended and Restated Certificate of Incorporation. </w:t>
      </w:r>
      <w:r>
        <w:rPr>
          <w:rFonts w:ascii="Arial" w:cs="Arial" w:eastAsia="Arial" w:hAnsi="Arial"/>
          <w:sz w:val="18"/>
          <w:szCs w:val="18"/>
          <w:b w:val="1"/>
          <w:bCs w:val="1"/>
          <w:color w:val="auto"/>
        </w:rPr>
        <w:t>We urge you to carefully read this proxy statement in its entirety, including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Annexes and accompanying financial statements of the Company and Sema4.</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record date for the Special Meeting is June 21,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Initial Stockholders (as defined above), who own approximately 20% of our issued and outstanding shares of common stock, have agreed to vote their shares of common stock in favor of the Business Combination. In addition, 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 Agreement provides that Sema4’s obligation to consummate the Business Combination is subject to the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only by, Sema4. If, as a result of redemptions of common stock by our public</w:t>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color w:val="auto"/>
        </w:rPr>
        <w:t>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connection with the Business Combination, the Company entered into the Subscription Agreements (as defined above)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9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 2021</w:t>
      </w:r>
    </w:p>
    <w:p>
      <w:pPr>
        <w:sectPr>
          <w:pgSz w:w="11900" w:h="16838" w:orient="portrait"/>
          <w:cols w:equalWidth="0" w:num="1">
            <w:col w:w="11240"/>
          </w:cols>
          <w:pgMar w:left="320" w:top="142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w:anchor="page10">
              <w:r>
                <w:rPr>
                  <w:rFonts w:ascii="Arial" w:cs="Arial" w:eastAsia="Arial" w:hAnsi="Arial"/>
                  <w:sz w:val="16"/>
                  <w:szCs w:val="16"/>
                  <w:color w:val="0000FF"/>
                </w:rPr>
                <w:t>SUMMARY TERM SHEET</w:t>
              </w:r>
            </w:hyperlink>
          </w:p>
        </w:tc>
        <w:tc>
          <w:tcPr>
            <w:tcW w:w="8440" w:type="dxa"/>
            <w:vAlign w:val="bottom"/>
            <w:gridSpan w:val="29"/>
          </w:tcPr>
          <w:p>
            <w:pPr>
              <w:spacing w:after="0"/>
              <w:rPr>
                <w:sz w:val="14"/>
                <w:szCs w:val="14"/>
                <w:color w:val="auto"/>
              </w:rPr>
            </w:pPr>
          </w:p>
        </w:tc>
        <w:tc>
          <w:tcPr>
            <w:tcW w:w="580" w:type="dxa"/>
            <w:vAlign w:val="bottom"/>
            <w:gridSpan w:val="3"/>
          </w:tcPr>
          <w:p>
            <w:pPr>
              <w:spacing w:after="0"/>
              <w:rPr>
                <w:sz w:val="14"/>
                <w:szCs w:val="14"/>
                <w:color w:val="auto"/>
              </w:rPr>
            </w:pPr>
          </w:p>
        </w:tc>
        <w:tc>
          <w:tcPr>
            <w:tcW w:w="80" w:type="dxa"/>
            <w:vAlign w:val="bottom"/>
            <w:tcBorders>
              <w:bottom w:val="single" w:sz="8" w:color="0000FF"/>
            </w:tcBorders>
          </w:tcPr>
          <w:p>
            <w:pPr>
              <w:jc w:val="right"/>
              <w:spacing w:after="0" w:line="142" w:lineRule="exact"/>
              <w:rPr>
                <w:rFonts w:ascii="Arial" w:cs="Arial" w:eastAsia="Arial" w:hAnsi="Arial"/>
                <w:sz w:val="15"/>
                <w:szCs w:val="15"/>
                <w:color w:val="0000FF"/>
                <w:w w:val="71"/>
              </w:rPr>
            </w:pPr>
            <w:hyperlink w:anchor="page10">
              <w:r>
                <w:rPr>
                  <w:rFonts w:ascii="Arial" w:cs="Arial" w:eastAsia="Arial" w:hAnsi="Arial"/>
                  <w:sz w:val="15"/>
                  <w:szCs w:val="15"/>
                  <w:color w:val="0000FF"/>
                  <w:w w:val="71"/>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00" w:type="dxa"/>
            <w:vAlign w:val="bottom"/>
            <w:tcBorders>
              <w:bottom w:val="single" w:sz="8" w:color="0000FF"/>
            </w:tcBorders>
            <w:gridSpan w:val="8"/>
          </w:tcPr>
          <w:p>
            <w:pPr>
              <w:spacing w:after="0"/>
              <w:rPr>
                <w:rFonts w:ascii="Arial" w:cs="Arial" w:eastAsia="Arial" w:hAnsi="Arial"/>
                <w:sz w:val="16"/>
                <w:szCs w:val="16"/>
                <w:color w:val="0000FF"/>
                <w:w w:val="95"/>
              </w:rPr>
            </w:pPr>
            <w:hyperlink w:anchor="page16">
              <w:r>
                <w:rPr>
                  <w:rFonts w:ascii="Arial" w:cs="Arial" w:eastAsia="Arial" w:hAnsi="Arial"/>
                  <w:sz w:val="16"/>
                  <w:szCs w:val="16"/>
                  <w:color w:val="0000FF"/>
                  <w:w w:val="95"/>
                </w:rPr>
                <w:t>FREQUENTLY USED TERMS</w:t>
              </w:r>
            </w:hyperlink>
          </w:p>
        </w:tc>
        <w:tc>
          <w:tcPr>
            <w:tcW w:w="8440" w:type="dxa"/>
            <w:vAlign w:val="bottom"/>
            <w:gridSpan w:val="29"/>
          </w:tcPr>
          <w:p>
            <w:pPr>
              <w:spacing w:after="0"/>
              <w:rPr>
                <w:sz w:val="17"/>
                <w:szCs w:val="17"/>
                <w:color w:val="auto"/>
              </w:rPr>
            </w:pPr>
          </w:p>
        </w:tc>
        <w:tc>
          <w:tcPr>
            <w:tcW w:w="58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6">
              <w:r>
                <w:rPr>
                  <w:rFonts w:ascii="Arial" w:cs="Arial" w:eastAsia="Arial" w:hAnsi="Arial"/>
                  <w:sz w:val="15"/>
                  <w:szCs w:val="15"/>
                  <w:color w:val="0000FF"/>
                  <w:w w:val="71"/>
                </w:rPr>
                <w:t>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0000FF"/>
            </w:tcBorders>
            <w:gridSpan w:val="31"/>
          </w:tcPr>
          <w:p>
            <w:pPr>
              <w:spacing w:after="0"/>
              <w:rPr>
                <w:rFonts w:ascii="Arial" w:cs="Arial" w:eastAsia="Arial" w:hAnsi="Arial"/>
                <w:sz w:val="16"/>
                <w:szCs w:val="16"/>
                <w:color w:val="0000FF"/>
                <w:w w:val="95"/>
              </w:rPr>
            </w:pPr>
            <w:hyperlink w:anchor="page21">
              <w:r>
                <w:rPr>
                  <w:rFonts w:ascii="Arial" w:cs="Arial" w:eastAsia="Arial" w:hAnsi="Arial"/>
                  <w:sz w:val="16"/>
                  <w:szCs w:val="16"/>
                  <w:color w:val="0000FF"/>
                  <w:w w:val="95"/>
                </w:rPr>
                <w:t>QUESTIONS AND ANSWERS ABOUT THE PROPOSALS FOR STOCKHOLDERS</w:t>
              </w:r>
            </w:hyperlink>
          </w:p>
        </w:tc>
        <w:tc>
          <w:tcPr>
            <w:tcW w:w="4840" w:type="dxa"/>
            <w:vAlign w:val="bottom"/>
            <w:gridSpan w:val="6"/>
          </w:tcPr>
          <w:p>
            <w:pPr>
              <w:spacing w:after="0"/>
              <w:rPr>
                <w:sz w:val="17"/>
                <w:szCs w:val="17"/>
                <w:color w:val="auto"/>
              </w:rPr>
            </w:pPr>
          </w:p>
        </w:tc>
        <w:tc>
          <w:tcPr>
            <w:tcW w:w="50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FF"/>
            </w:tcBorders>
            <w:gridSpan w:val="14"/>
          </w:tcPr>
          <w:p>
            <w:pPr>
              <w:spacing w:after="0"/>
              <w:rPr>
                <w:rFonts w:ascii="Arial" w:cs="Arial" w:eastAsia="Arial" w:hAnsi="Arial"/>
                <w:sz w:val="16"/>
                <w:szCs w:val="16"/>
                <w:color w:val="0000FF"/>
                <w:w w:val="97"/>
              </w:rPr>
            </w:pPr>
            <w:hyperlink w:anchor="page38">
              <w:r>
                <w:rPr>
                  <w:rFonts w:ascii="Arial" w:cs="Arial" w:eastAsia="Arial" w:hAnsi="Arial"/>
                  <w:sz w:val="16"/>
                  <w:szCs w:val="16"/>
                  <w:color w:val="0000FF"/>
                  <w:w w:val="97"/>
                </w:rPr>
                <w:t>SUMMARY OF THE PROXY STATEMENT</w:t>
              </w:r>
            </w:hyperlink>
          </w:p>
        </w:tc>
        <w:tc>
          <w:tcPr>
            <w:tcW w:w="7540" w:type="dxa"/>
            <w:vAlign w:val="bottom"/>
            <w:gridSpan w:val="23"/>
          </w:tcPr>
          <w:p>
            <w:pPr>
              <w:spacing w:after="0"/>
              <w:rPr>
                <w:sz w:val="17"/>
                <w:szCs w:val="17"/>
                <w:color w:val="auto"/>
              </w:rPr>
            </w:pPr>
          </w:p>
        </w:tc>
        <w:tc>
          <w:tcPr>
            <w:tcW w:w="50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8">
              <w:r>
                <w:rPr>
                  <w:rFonts w:ascii="Arial" w:cs="Arial" w:eastAsia="Arial" w:hAnsi="Arial"/>
                  <w:sz w:val="16"/>
                  <w:szCs w:val="16"/>
                  <w:color w:val="0000FF"/>
                  <w:w w:val="78"/>
                </w:rPr>
                <w:t>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SELECTED HISTORICAL FINANCIAL INFORMATION OF THE COMPANY</w:t>
              </w:r>
            </w:hyperlink>
          </w:p>
        </w:tc>
        <w:tc>
          <w:tcPr>
            <w:tcW w:w="660" w:type="dxa"/>
            <w:vAlign w:val="bottom"/>
            <w:gridSpan w:val="4"/>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0000FF"/>
            </w:tcBorders>
            <w:gridSpan w:val="29"/>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SELECTED HISTORICAL FINANCIAL DATA OF SEMA4</w:t>
              </w:r>
            </w:hyperlink>
          </w:p>
        </w:tc>
        <w:tc>
          <w:tcPr>
            <w:tcW w:w="5220" w:type="dxa"/>
            <w:vAlign w:val="bottom"/>
            <w:gridSpan w:val="8"/>
          </w:tcPr>
          <w:p>
            <w:pPr>
              <w:spacing w:after="0"/>
              <w:rPr>
                <w:sz w:val="17"/>
                <w:szCs w:val="17"/>
                <w:color w:val="auto"/>
              </w:rPr>
            </w:pPr>
          </w:p>
        </w:tc>
        <w:tc>
          <w:tcPr>
            <w:tcW w:w="50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6">
              <w:r>
                <w:rPr>
                  <w:rFonts w:ascii="Arial" w:cs="Arial" w:eastAsia="Arial" w:hAnsi="Arial"/>
                  <w:sz w:val="16"/>
                  <w:szCs w:val="16"/>
                  <w:color w:val="0000FF"/>
                  <w:w w:val="78"/>
                </w:rPr>
                <w:t>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0000FF"/>
            </w:tcBorders>
            <w:gridSpan w:val="33"/>
          </w:tcPr>
          <w:p>
            <w:pPr>
              <w:spacing w:after="0"/>
              <w:rPr>
                <w:rFonts w:ascii="Arial" w:cs="Arial" w:eastAsia="Arial" w:hAnsi="Arial"/>
                <w:sz w:val="16"/>
                <w:szCs w:val="16"/>
                <w:color w:val="0000FF"/>
                <w:w w:val="98"/>
              </w:rPr>
            </w:pPr>
            <w:hyperlink w:anchor="page58">
              <w:r>
                <w:rPr>
                  <w:rFonts w:ascii="Arial" w:cs="Arial" w:eastAsia="Arial" w:hAnsi="Arial"/>
                  <w:sz w:val="16"/>
                  <w:szCs w:val="16"/>
                  <w:color w:val="0000FF"/>
                  <w:w w:val="98"/>
                </w:rPr>
                <w:t>SELECTED UNAUDITED PRO FORMA CONDENSED COMBINED FINANCIAL INFORMATION</w:t>
              </w:r>
            </w:hyperlink>
          </w:p>
        </w:tc>
        <w:tc>
          <w:tcPr>
            <w:tcW w:w="3760" w:type="dxa"/>
            <w:vAlign w:val="bottom"/>
            <w:gridSpan w:val="4"/>
          </w:tcPr>
          <w:p>
            <w:pPr>
              <w:spacing w:after="0"/>
              <w:rPr>
                <w:sz w:val="17"/>
                <w:szCs w:val="17"/>
                <w:color w:val="auto"/>
              </w:rPr>
            </w:pPr>
          </w:p>
        </w:tc>
        <w:tc>
          <w:tcPr>
            <w:tcW w:w="50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8">
              <w:r>
                <w:rPr>
                  <w:rFonts w:ascii="Arial" w:cs="Arial" w:eastAsia="Arial" w:hAnsi="Arial"/>
                  <w:sz w:val="16"/>
                  <w:szCs w:val="16"/>
                  <w:color w:val="0000FF"/>
                  <w:w w:val="78"/>
                </w:rPr>
                <w:t>49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0000FF"/>
            </w:tcBorders>
            <w:gridSpan w:val="28"/>
          </w:tcPr>
          <w:p>
            <w:pPr>
              <w:spacing w:after="0"/>
              <w:rPr>
                <w:rFonts w:ascii="Arial" w:cs="Arial" w:eastAsia="Arial" w:hAnsi="Arial"/>
                <w:sz w:val="16"/>
                <w:szCs w:val="16"/>
                <w:color w:val="0000FF"/>
                <w:w w:val="97"/>
              </w:rPr>
            </w:pPr>
            <w:hyperlink w:anchor="page60">
              <w:r>
                <w:rPr>
                  <w:rFonts w:ascii="Arial" w:cs="Arial" w:eastAsia="Arial" w:hAnsi="Arial"/>
                  <w:sz w:val="16"/>
                  <w:szCs w:val="16"/>
                  <w:color w:val="0000FF"/>
                  <w:w w:val="97"/>
                </w:rPr>
                <w:t>CAUTIONARY NOTE REGARDING FORWARD-LOOKING STATEMENTS</w:t>
              </w:r>
            </w:hyperlink>
          </w:p>
        </w:tc>
        <w:tc>
          <w:tcPr>
            <w:tcW w:w="5320" w:type="dxa"/>
            <w:vAlign w:val="bottom"/>
            <w:gridSpan w:val="9"/>
          </w:tcPr>
          <w:p>
            <w:pPr>
              <w:spacing w:after="0"/>
              <w:rPr>
                <w:sz w:val="17"/>
                <w:szCs w:val="17"/>
                <w:color w:val="auto"/>
              </w:rPr>
            </w:pPr>
          </w:p>
        </w:tc>
        <w:tc>
          <w:tcPr>
            <w:tcW w:w="50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0">
              <w:r>
                <w:rPr>
                  <w:rFonts w:ascii="Arial" w:cs="Arial" w:eastAsia="Arial" w:hAnsi="Arial"/>
                  <w:sz w:val="16"/>
                  <w:szCs w:val="16"/>
                  <w:color w:val="0000FF"/>
                  <w:w w:val="78"/>
                </w:rPr>
                <w:t>51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RISK FACTORS</w:t>
              </w:r>
            </w:hyperlink>
          </w:p>
        </w:tc>
        <w:tc>
          <w:tcPr>
            <w:tcW w:w="660" w:type="dxa"/>
            <w:vAlign w:val="bottom"/>
            <w:gridSpan w:val="4"/>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52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124">
              <w:r>
                <w:rPr>
                  <w:rFonts w:ascii="Arial" w:cs="Arial" w:eastAsia="Arial" w:hAnsi="Arial"/>
                  <w:sz w:val="16"/>
                  <w:szCs w:val="16"/>
                  <w:color w:val="0000FF"/>
                </w:rPr>
                <w:t>UNAUDITED PRO FORMA CONDENSED COMBINED FINANCIAL INFORMATION</w:t>
              </w:r>
            </w:hyperlink>
          </w:p>
        </w:tc>
        <w:tc>
          <w:tcPr>
            <w:tcW w:w="680" w:type="dxa"/>
            <w:vAlign w:val="bottom"/>
            <w:gridSpan w:val="5"/>
          </w:tcPr>
          <w:p>
            <w:pPr>
              <w:jc w:val="right"/>
              <w:ind w:right="20"/>
              <w:spacing w:after="0"/>
              <w:rPr>
                <w:rFonts w:ascii="Arial" w:cs="Arial" w:eastAsia="Arial" w:hAnsi="Arial"/>
                <w:sz w:val="16"/>
                <w:szCs w:val="16"/>
                <w:color w:val="0000FF"/>
              </w:rPr>
            </w:pPr>
            <w:hyperlink w:anchor="page124">
              <w:r>
                <w:rPr>
                  <w:rFonts w:ascii="Arial" w:cs="Arial" w:eastAsia="Arial" w:hAnsi="Arial"/>
                  <w:sz w:val="16"/>
                  <w:szCs w:val="16"/>
                  <w:color w:val="0000FF"/>
                </w:rPr>
                <w:t>115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12"/>
          </w:tcPr>
          <w:p>
            <w:pPr>
              <w:spacing w:after="0"/>
              <w:rPr>
                <w:rFonts w:ascii="Arial" w:cs="Arial" w:eastAsia="Arial" w:hAnsi="Arial"/>
                <w:sz w:val="16"/>
                <w:szCs w:val="16"/>
                <w:color w:val="0000FF"/>
                <w:w w:val="95"/>
              </w:rPr>
            </w:pPr>
            <w:hyperlink w:anchor="page135">
              <w:r>
                <w:rPr>
                  <w:rFonts w:ascii="Arial" w:cs="Arial" w:eastAsia="Arial" w:hAnsi="Arial"/>
                  <w:sz w:val="16"/>
                  <w:szCs w:val="16"/>
                  <w:color w:val="0000FF"/>
                  <w:w w:val="95"/>
                </w:rPr>
                <w:t>COMPARATIVE SHARE INFORMATION</w:t>
              </w:r>
            </w:hyperlink>
          </w:p>
        </w:tc>
        <w:tc>
          <w:tcPr>
            <w:tcW w:w="3100" w:type="dxa"/>
            <w:vAlign w:val="bottom"/>
            <w:gridSpan w:val="20"/>
          </w:tcPr>
          <w:p>
            <w:pPr>
              <w:spacing w:after="0"/>
              <w:rPr>
                <w:sz w:val="17"/>
                <w:szCs w:val="17"/>
                <w:color w:val="auto"/>
              </w:rPr>
            </w:pPr>
          </w:p>
        </w:tc>
        <w:tc>
          <w:tcPr>
            <w:tcW w:w="4620" w:type="dxa"/>
            <w:vAlign w:val="bottom"/>
            <w:gridSpan w:val="5"/>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35">
              <w:r>
                <w:rPr>
                  <w:rFonts w:ascii="Arial" w:cs="Arial" w:eastAsia="Arial" w:hAnsi="Arial"/>
                  <w:sz w:val="16"/>
                  <w:szCs w:val="16"/>
                  <w:color w:val="0000FF"/>
                </w:rPr>
                <w:t>126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19"/>
          </w:tcPr>
          <w:p>
            <w:pPr>
              <w:spacing w:after="0"/>
              <w:rPr>
                <w:rFonts w:ascii="Arial" w:cs="Arial" w:eastAsia="Arial" w:hAnsi="Arial"/>
                <w:sz w:val="16"/>
                <w:szCs w:val="16"/>
                <w:color w:val="0000FF"/>
                <w:w w:val="96"/>
              </w:rPr>
            </w:pPr>
            <w:hyperlink w:anchor="page136">
              <w:r>
                <w:rPr>
                  <w:rFonts w:ascii="Arial" w:cs="Arial" w:eastAsia="Arial" w:hAnsi="Arial"/>
                  <w:sz w:val="16"/>
                  <w:szCs w:val="16"/>
                  <w:color w:val="0000FF"/>
                  <w:w w:val="96"/>
                </w:rPr>
                <w:t>SPECIAL MEETING OF COMPANY STOCKHOLDERS</w:t>
              </w:r>
            </w:hyperlink>
          </w:p>
        </w:tc>
        <w:tc>
          <w:tcPr>
            <w:tcW w:w="6700" w:type="dxa"/>
            <w:vAlign w:val="bottom"/>
            <w:gridSpan w:val="18"/>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36">
              <w:r>
                <w:rPr>
                  <w:rFonts w:ascii="Arial" w:cs="Arial" w:eastAsia="Arial" w:hAnsi="Arial"/>
                  <w:sz w:val="16"/>
                  <w:szCs w:val="16"/>
                  <w:color w:val="0000FF"/>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26"/>
          </w:tcPr>
          <w:p>
            <w:pPr>
              <w:spacing w:after="0"/>
              <w:rPr>
                <w:rFonts w:ascii="Arial" w:cs="Arial" w:eastAsia="Arial" w:hAnsi="Arial"/>
                <w:sz w:val="16"/>
                <w:szCs w:val="16"/>
                <w:color w:val="0000FF"/>
                <w:w w:val="95"/>
              </w:rPr>
            </w:pPr>
            <w:hyperlink w:anchor="page144">
              <w:r>
                <w:rPr>
                  <w:rFonts w:ascii="Arial" w:cs="Arial" w:eastAsia="Arial" w:hAnsi="Arial"/>
                  <w:sz w:val="16"/>
                  <w:szCs w:val="16"/>
                  <w:color w:val="0000FF"/>
                  <w:w w:val="95"/>
                </w:rPr>
                <w:t>PROPOSAL NO. 1 — APPROVAL OF THE BUSINESS COMBINATION</w:t>
              </w:r>
            </w:hyperlink>
          </w:p>
        </w:tc>
        <w:tc>
          <w:tcPr>
            <w:tcW w:w="5620" w:type="dxa"/>
            <w:vAlign w:val="bottom"/>
            <w:gridSpan w:val="11"/>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44">
              <w:r>
                <w:rPr>
                  <w:rFonts w:ascii="Arial" w:cs="Arial" w:eastAsia="Arial" w:hAnsi="Arial"/>
                  <w:sz w:val="16"/>
                  <w:szCs w:val="16"/>
                  <w:color w:val="0000FF"/>
                </w:rPr>
                <w:t>135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25"/>
          </w:tcPr>
          <w:p>
            <w:pPr>
              <w:spacing w:after="0"/>
              <w:rPr>
                <w:rFonts w:ascii="Arial" w:cs="Arial" w:eastAsia="Arial" w:hAnsi="Arial"/>
                <w:sz w:val="16"/>
                <w:szCs w:val="16"/>
                <w:color w:val="0000FF"/>
                <w:w w:val="95"/>
              </w:rPr>
            </w:pPr>
            <w:hyperlink w:anchor="page185">
              <w:r>
                <w:rPr>
                  <w:rFonts w:ascii="Arial" w:cs="Arial" w:eastAsia="Arial" w:hAnsi="Arial"/>
                  <w:sz w:val="16"/>
                  <w:szCs w:val="16"/>
                  <w:color w:val="0000FF"/>
                  <w:w w:val="95"/>
                </w:rPr>
                <w:t>PROPOSAL NO. 2 — THE NASDAQ STOCK ISSUANCE PROPOSAL</w:t>
              </w:r>
            </w:hyperlink>
          </w:p>
        </w:tc>
        <w:tc>
          <w:tcPr>
            <w:tcW w:w="120" w:type="dxa"/>
            <w:vAlign w:val="bottom"/>
          </w:tcPr>
          <w:p>
            <w:pPr>
              <w:spacing w:after="0"/>
              <w:rPr>
                <w:sz w:val="17"/>
                <w:szCs w:val="17"/>
                <w:color w:val="auto"/>
              </w:rPr>
            </w:pPr>
          </w:p>
        </w:tc>
        <w:tc>
          <w:tcPr>
            <w:tcW w:w="5620" w:type="dxa"/>
            <w:vAlign w:val="bottom"/>
            <w:gridSpan w:val="11"/>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85">
              <w:r>
                <w:rPr>
                  <w:rFonts w:ascii="Arial" w:cs="Arial" w:eastAsia="Arial" w:hAnsi="Arial"/>
                  <w:sz w:val="16"/>
                  <w:szCs w:val="16"/>
                  <w:color w:val="0000FF"/>
                </w:rPr>
                <w:t>176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3"/>
          </w:tcPr>
          <w:p>
            <w:pPr>
              <w:spacing w:after="0"/>
              <w:rPr>
                <w:rFonts w:ascii="Arial" w:cs="Arial" w:eastAsia="Arial" w:hAnsi="Arial"/>
                <w:sz w:val="16"/>
                <w:szCs w:val="16"/>
                <w:color w:val="0000FF"/>
                <w:w w:val="93"/>
              </w:rPr>
            </w:pPr>
            <w:hyperlink w:anchor="page188">
              <w:r>
                <w:rPr>
                  <w:rFonts w:ascii="Arial" w:cs="Arial" w:eastAsia="Arial" w:hAnsi="Arial"/>
                  <w:sz w:val="16"/>
                  <w:szCs w:val="16"/>
                  <w:color w:val="0000FF"/>
                  <w:w w:val="93"/>
                </w:rPr>
                <w:t>PROPOSAL NO. 3 — THE CHARTER APPROVAL PROPOSAL</w:t>
              </w:r>
            </w:hyperlink>
          </w:p>
        </w:tc>
        <w:tc>
          <w:tcPr>
            <w:tcW w:w="480" w:type="dxa"/>
            <w:vAlign w:val="bottom"/>
            <w:gridSpan w:val="2"/>
          </w:tcPr>
          <w:p>
            <w:pPr>
              <w:spacing w:after="0"/>
              <w:rPr>
                <w:sz w:val="17"/>
                <w:szCs w:val="17"/>
                <w:color w:val="auto"/>
              </w:rPr>
            </w:pPr>
          </w:p>
        </w:tc>
        <w:tc>
          <w:tcPr>
            <w:tcW w:w="5740" w:type="dxa"/>
            <w:vAlign w:val="bottom"/>
            <w:gridSpan w:val="12"/>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88">
              <w:r>
                <w:rPr>
                  <w:rFonts w:ascii="Arial" w:cs="Arial" w:eastAsia="Arial" w:hAnsi="Arial"/>
                  <w:sz w:val="16"/>
                  <w:szCs w:val="16"/>
                  <w:color w:val="0000FF"/>
                </w:rPr>
                <w:t>179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190">
              <w:r>
                <w:rPr>
                  <w:rFonts w:ascii="Arial" w:cs="Arial" w:eastAsia="Arial" w:hAnsi="Arial"/>
                  <w:sz w:val="16"/>
                  <w:szCs w:val="16"/>
                  <w:color w:val="0000FF"/>
                </w:rPr>
                <w:t>PROPOSAL NO. 4 — APPROVAL OF CERTAIN GOVERNANCE PROVISIONS IN THE AMENDED AND RESTATED CERTIFICATE OF</w:t>
              </w:r>
            </w:hyperlink>
          </w:p>
        </w:tc>
        <w:tc>
          <w:tcPr>
            <w:tcW w:w="660" w:type="dxa"/>
            <w:vAlign w:val="bottom"/>
            <w:gridSpan w:val="4"/>
            <w:vMerge w:val="restart"/>
          </w:tcPr>
          <w:p>
            <w:pPr>
              <w:jc w:val="right"/>
              <w:spacing w:after="0"/>
              <w:rPr>
                <w:rFonts w:ascii="Arial" w:cs="Arial" w:eastAsia="Arial" w:hAnsi="Arial"/>
                <w:sz w:val="16"/>
                <w:szCs w:val="16"/>
                <w:color w:val="0000FF"/>
              </w:rPr>
            </w:pPr>
            <w:hyperlink w:anchor="page190">
              <w:r>
                <w:rPr>
                  <w:rFonts w:ascii="Arial" w:cs="Arial" w:eastAsia="Arial" w:hAnsi="Arial"/>
                  <w:sz w:val="16"/>
                  <w:szCs w:val="16"/>
                  <w:color w:val="0000FF"/>
                </w:rPr>
                <w:t>181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6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gridSpan w:val="4"/>
          </w:tcPr>
          <w:p>
            <w:pPr>
              <w:spacing w:after="0" w:line="142" w:lineRule="exact"/>
              <w:rPr>
                <w:rFonts w:ascii="Arial" w:cs="Arial" w:eastAsia="Arial" w:hAnsi="Arial"/>
                <w:sz w:val="16"/>
                <w:szCs w:val="16"/>
                <w:color w:val="0000FF"/>
                <w:w w:val="96"/>
              </w:rPr>
            </w:pPr>
            <w:hyperlink w:anchor="page190">
              <w:r>
                <w:rPr>
                  <w:rFonts w:ascii="Arial" w:cs="Arial" w:eastAsia="Arial" w:hAnsi="Arial"/>
                  <w:sz w:val="16"/>
                  <w:szCs w:val="16"/>
                  <w:color w:val="0000FF"/>
                  <w:w w:val="96"/>
                </w:rPr>
                <w:t>INCORPORATION</w:t>
              </w:r>
            </w:hyperlink>
          </w:p>
        </w:tc>
        <w:tc>
          <w:tcPr>
            <w:tcW w:w="7900" w:type="dxa"/>
            <w:vAlign w:val="bottom"/>
            <w:tcBorders>
              <w:top w:val="single" w:sz="8" w:color="0000FF"/>
            </w:tcBorders>
            <w:gridSpan w:val="31"/>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22"/>
          </w:tcPr>
          <w:p>
            <w:pPr>
              <w:spacing w:after="0"/>
              <w:rPr>
                <w:rFonts w:ascii="Arial" w:cs="Arial" w:eastAsia="Arial" w:hAnsi="Arial"/>
                <w:sz w:val="16"/>
                <w:szCs w:val="16"/>
                <w:color w:val="0000FF"/>
                <w:w w:val="96"/>
              </w:rPr>
            </w:pPr>
            <w:hyperlink w:anchor="page192">
              <w:r>
                <w:rPr>
                  <w:rFonts w:ascii="Arial" w:cs="Arial" w:eastAsia="Arial" w:hAnsi="Arial"/>
                  <w:sz w:val="16"/>
                  <w:szCs w:val="16"/>
                  <w:color w:val="0000FF"/>
                  <w:w w:val="96"/>
                </w:rPr>
                <w:t>PROPOSAL NO. 5 — APPROVAL OF THE INCENTIVE PLAN</w:t>
              </w:r>
            </w:hyperlink>
          </w:p>
        </w:tc>
        <w:tc>
          <w:tcPr>
            <w:tcW w:w="6240" w:type="dxa"/>
            <w:vAlign w:val="bottom"/>
            <w:gridSpan w:val="15"/>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92">
              <w:r>
                <w:rPr>
                  <w:rFonts w:ascii="Arial" w:cs="Arial" w:eastAsia="Arial" w:hAnsi="Arial"/>
                  <w:sz w:val="16"/>
                  <w:szCs w:val="16"/>
                  <w:color w:val="0000FF"/>
                </w:rPr>
                <w:t>183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30"/>
          </w:tcPr>
          <w:p>
            <w:pPr>
              <w:spacing w:after="0"/>
              <w:rPr>
                <w:rFonts w:ascii="Arial" w:cs="Arial" w:eastAsia="Arial" w:hAnsi="Arial"/>
                <w:sz w:val="16"/>
                <w:szCs w:val="16"/>
                <w:color w:val="0000FF"/>
                <w:w w:val="95"/>
              </w:rPr>
            </w:pPr>
            <w:hyperlink w:anchor="page197">
              <w:r>
                <w:rPr>
                  <w:rFonts w:ascii="Arial" w:cs="Arial" w:eastAsia="Arial" w:hAnsi="Arial"/>
                  <w:sz w:val="16"/>
                  <w:szCs w:val="16"/>
                  <w:color w:val="0000FF"/>
                  <w:w w:val="95"/>
                </w:rPr>
                <w:t>PROPOSAL NO. 6 — APPROVAL OF EMPLOYEE STOCK PURCHASE PLAN</w:t>
              </w:r>
            </w:hyperlink>
          </w:p>
        </w:tc>
        <w:tc>
          <w:tcPr>
            <w:tcW w:w="5140" w:type="dxa"/>
            <w:vAlign w:val="bottom"/>
            <w:gridSpan w:val="7"/>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197">
              <w:r>
                <w:rPr>
                  <w:rFonts w:ascii="Arial" w:cs="Arial" w:eastAsia="Arial" w:hAnsi="Arial"/>
                  <w:sz w:val="16"/>
                  <w:szCs w:val="16"/>
                  <w:color w:val="0000FF"/>
                </w:rPr>
                <w:t>188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3"/>
          </w:tcPr>
          <w:p>
            <w:pPr>
              <w:spacing w:after="0"/>
              <w:rPr>
                <w:rFonts w:ascii="Arial" w:cs="Arial" w:eastAsia="Arial" w:hAnsi="Arial"/>
                <w:sz w:val="16"/>
                <w:szCs w:val="16"/>
                <w:color w:val="0000FF"/>
                <w:w w:val="93"/>
              </w:rPr>
            </w:pPr>
            <w:hyperlink w:anchor="page200">
              <w:r>
                <w:rPr>
                  <w:rFonts w:ascii="Arial" w:cs="Arial" w:eastAsia="Arial" w:hAnsi="Arial"/>
                  <w:sz w:val="16"/>
                  <w:szCs w:val="16"/>
                  <w:color w:val="0000FF"/>
                  <w:w w:val="93"/>
                </w:rPr>
                <w:t>PROPOSAL NO. 7 — THE DIRECTOR ELECTION PROPOSAL</w:t>
              </w:r>
            </w:hyperlink>
          </w:p>
        </w:tc>
        <w:tc>
          <w:tcPr>
            <w:tcW w:w="1080" w:type="dxa"/>
            <w:vAlign w:val="bottom"/>
            <w:gridSpan w:val="7"/>
          </w:tcPr>
          <w:p>
            <w:pPr>
              <w:spacing w:after="0"/>
              <w:rPr>
                <w:sz w:val="17"/>
                <w:szCs w:val="17"/>
                <w:color w:val="auto"/>
              </w:rPr>
            </w:pPr>
          </w:p>
        </w:tc>
        <w:tc>
          <w:tcPr>
            <w:tcW w:w="5140" w:type="dxa"/>
            <w:vAlign w:val="bottom"/>
            <w:gridSpan w:val="7"/>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00">
              <w:r>
                <w:rPr>
                  <w:rFonts w:ascii="Arial" w:cs="Arial" w:eastAsia="Arial" w:hAnsi="Arial"/>
                  <w:sz w:val="16"/>
                  <w:szCs w:val="16"/>
                  <w:color w:val="0000FF"/>
                </w:rPr>
                <w:t>191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20"/>
          </w:tcPr>
          <w:p>
            <w:pPr>
              <w:spacing w:after="0"/>
              <w:rPr>
                <w:rFonts w:ascii="Arial" w:cs="Arial" w:eastAsia="Arial" w:hAnsi="Arial"/>
                <w:sz w:val="16"/>
                <w:szCs w:val="16"/>
                <w:color w:val="0000FF"/>
                <w:w w:val="94"/>
              </w:rPr>
            </w:pPr>
            <w:hyperlink w:anchor="page202">
              <w:r>
                <w:rPr>
                  <w:rFonts w:ascii="Arial" w:cs="Arial" w:eastAsia="Arial" w:hAnsi="Arial"/>
                  <w:sz w:val="16"/>
                  <w:szCs w:val="16"/>
                  <w:color w:val="0000FF"/>
                  <w:w w:val="94"/>
                </w:rPr>
                <w:t>PROPOSAL NO. 8 — THE ADJOURNMENT PROPOSAL</w:t>
              </w:r>
            </w:hyperlink>
          </w:p>
        </w:tc>
        <w:tc>
          <w:tcPr>
            <w:tcW w:w="380" w:type="dxa"/>
            <w:vAlign w:val="bottom"/>
            <w:gridSpan w:val="3"/>
          </w:tcPr>
          <w:p>
            <w:pPr>
              <w:spacing w:after="0"/>
              <w:rPr>
                <w:sz w:val="17"/>
                <w:szCs w:val="17"/>
                <w:color w:val="auto"/>
              </w:rPr>
            </w:pPr>
          </w:p>
        </w:tc>
        <w:tc>
          <w:tcPr>
            <w:tcW w:w="6220" w:type="dxa"/>
            <w:vAlign w:val="bottom"/>
            <w:gridSpan w:val="14"/>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02">
              <w:r>
                <w:rPr>
                  <w:rFonts w:ascii="Arial" w:cs="Arial" w:eastAsia="Arial" w:hAnsi="Arial"/>
                  <w:sz w:val="16"/>
                  <w:szCs w:val="16"/>
                  <w:color w:val="0000FF"/>
                </w:rPr>
                <w:t>193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203">
              <w:r>
                <w:rPr>
                  <w:rFonts w:ascii="Arial" w:cs="Arial" w:eastAsia="Arial" w:hAnsi="Arial"/>
                  <w:sz w:val="16"/>
                  <w:szCs w:val="16"/>
                  <w:color w:val="0000FF"/>
                </w:rPr>
                <w:t>PROPOSAL NO. 9 — THE AUDITOR RATIFICATION PROPOSAL</w:t>
              </w:r>
            </w:hyperlink>
          </w:p>
        </w:tc>
        <w:tc>
          <w:tcPr>
            <w:tcW w:w="660" w:type="dxa"/>
            <w:vAlign w:val="bottom"/>
            <w:gridSpan w:val="4"/>
          </w:tcPr>
          <w:p>
            <w:pPr>
              <w:jc w:val="right"/>
              <w:spacing w:after="0"/>
              <w:rPr>
                <w:rFonts w:ascii="Arial" w:cs="Arial" w:eastAsia="Arial" w:hAnsi="Arial"/>
                <w:sz w:val="16"/>
                <w:szCs w:val="16"/>
                <w:color w:val="0000FF"/>
              </w:rPr>
            </w:pPr>
            <w:hyperlink w:anchor="page203">
              <w:r>
                <w:rPr>
                  <w:rFonts w:ascii="Arial" w:cs="Arial" w:eastAsia="Arial" w:hAnsi="Arial"/>
                  <w:sz w:val="16"/>
                  <w:szCs w:val="16"/>
                  <w:color w:val="0000FF"/>
                </w:rPr>
                <w:t>194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gridSpan w:val="13"/>
          </w:tcPr>
          <w:p>
            <w:pPr>
              <w:spacing w:after="0"/>
              <w:rPr>
                <w:rFonts w:ascii="Arial" w:cs="Arial" w:eastAsia="Arial" w:hAnsi="Arial"/>
                <w:sz w:val="16"/>
                <w:szCs w:val="16"/>
                <w:color w:val="0000FF"/>
                <w:w w:val="98"/>
              </w:rPr>
            </w:pPr>
            <w:hyperlink w:anchor="page204">
              <w:r>
                <w:rPr>
                  <w:rFonts w:ascii="Arial" w:cs="Arial" w:eastAsia="Arial" w:hAnsi="Arial"/>
                  <w:sz w:val="16"/>
                  <w:szCs w:val="16"/>
                  <w:color w:val="0000FF"/>
                  <w:w w:val="98"/>
                </w:rPr>
                <w:t>INFORMATION ABOUT THE COMPANY</w:t>
              </w:r>
            </w:hyperlink>
          </w:p>
        </w:tc>
        <w:tc>
          <w:tcPr>
            <w:tcW w:w="1680" w:type="dxa"/>
            <w:vAlign w:val="bottom"/>
            <w:gridSpan w:val="11"/>
          </w:tcPr>
          <w:p>
            <w:pPr>
              <w:spacing w:after="0"/>
              <w:rPr>
                <w:sz w:val="17"/>
                <w:szCs w:val="17"/>
                <w:color w:val="auto"/>
              </w:rPr>
            </w:pPr>
          </w:p>
        </w:tc>
        <w:tc>
          <w:tcPr>
            <w:tcW w:w="5940" w:type="dxa"/>
            <w:vAlign w:val="bottom"/>
            <w:gridSpan w:val="13"/>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04">
              <w:r>
                <w:rPr>
                  <w:rFonts w:ascii="Arial" w:cs="Arial" w:eastAsia="Arial" w:hAnsi="Arial"/>
                  <w:sz w:val="16"/>
                  <w:szCs w:val="16"/>
                  <w:color w:val="0000FF"/>
                </w:rPr>
                <w:t>195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217">
              <w:r>
                <w:rPr>
                  <w:rFonts w:ascii="Arial" w:cs="Arial" w:eastAsia="Arial" w:hAnsi="Arial"/>
                  <w:sz w:val="16"/>
                  <w:szCs w:val="16"/>
                  <w:color w:val="0000FF"/>
                </w:rPr>
                <w:t>THE COMPANY'S 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6"/>
                <w:szCs w:val="16"/>
                <w:color w:val="0000FF"/>
              </w:rPr>
            </w:pPr>
            <w:hyperlink w:anchor="page217">
              <w:r>
                <w:rPr>
                  <w:rFonts w:ascii="Arial" w:cs="Arial" w:eastAsia="Arial" w:hAnsi="Arial"/>
                  <w:sz w:val="16"/>
                  <w:szCs w:val="16"/>
                  <w:color w:val="0000FF"/>
                </w:rPr>
                <w:t>208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35"/>
          </w:tcPr>
          <w:p>
            <w:pPr>
              <w:spacing w:after="0"/>
              <w:rPr>
                <w:rFonts w:ascii="Arial" w:cs="Arial" w:eastAsia="Arial" w:hAnsi="Arial"/>
                <w:sz w:val="16"/>
                <w:szCs w:val="16"/>
                <w:color w:val="0000FF"/>
              </w:rPr>
            </w:pPr>
            <w:hyperlink w:anchor="page226">
              <w:r>
                <w:rPr>
                  <w:rFonts w:ascii="Arial" w:cs="Arial" w:eastAsia="Arial" w:hAnsi="Arial"/>
                  <w:sz w:val="16"/>
                  <w:szCs w:val="16"/>
                  <w:color w:val="0000FF"/>
                </w:rPr>
                <w:t>SEMA4’S BUSINESS</w:t>
              </w:r>
            </w:hyperlink>
          </w:p>
        </w:tc>
        <w:tc>
          <w:tcPr>
            <w:tcW w:w="1200" w:type="dxa"/>
            <w:vAlign w:val="bottom"/>
            <w:gridSpan w:val="2"/>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26">
              <w:r>
                <w:rPr>
                  <w:rFonts w:ascii="Arial" w:cs="Arial" w:eastAsia="Arial" w:hAnsi="Arial"/>
                  <w:sz w:val="16"/>
                  <w:szCs w:val="16"/>
                  <w:color w:val="0000FF"/>
                </w:rPr>
                <w:t>217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253">
              <w:r>
                <w:rPr>
                  <w:rFonts w:ascii="Arial" w:cs="Arial" w:eastAsia="Arial" w:hAnsi="Arial"/>
                  <w:sz w:val="16"/>
                  <w:szCs w:val="16"/>
                  <w:color w:val="0000FF"/>
                </w:rPr>
                <w:t>SEMA4’S 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6"/>
                <w:szCs w:val="16"/>
                <w:color w:val="0000FF"/>
              </w:rPr>
            </w:pPr>
            <w:hyperlink w:anchor="page253">
              <w:r>
                <w:rPr>
                  <w:rFonts w:ascii="Arial" w:cs="Arial" w:eastAsia="Arial" w:hAnsi="Arial"/>
                  <w:sz w:val="16"/>
                  <w:szCs w:val="16"/>
                  <w:color w:val="0000FF"/>
                </w:rPr>
                <w:t>244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34"/>
          </w:tcPr>
          <w:p>
            <w:pPr>
              <w:spacing w:after="0"/>
              <w:rPr>
                <w:rFonts w:ascii="Arial" w:cs="Arial" w:eastAsia="Arial" w:hAnsi="Arial"/>
                <w:sz w:val="16"/>
                <w:szCs w:val="16"/>
                <w:color w:val="0000FF"/>
              </w:rPr>
            </w:pPr>
            <w:hyperlink w:anchor="page282">
              <w:r>
                <w:rPr>
                  <w:rFonts w:ascii="Arial" w:cs="Arial" w:eastAsia="Arial" w:hAnsi="Arial"/>
                  <w:sz w:val="16"/>
                  <w:szCs w:val="16"/>
                  <w:color w:val="0000FF"/>
                </w:rPr>
                <w:t>EXECUTIVE COMPENSATION OF SEMA4</w:t>
              </w:r>
            </w:hyperlink>
          </w:p>
        </w:tc>
        <w:tc>
          <w:tcPr>
            <w:tcW w:w="1800" w:type="dxa"/>
            <w:vAlign w:val="bottom"/>
            <w:gridSpan w:val="3"/>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82">
              <w:r>
                <w:rPr>
                  <w:rFonts w:ascii="Arial" w:cs="Arial" w:eastAsia="Arial" w:hAnsi="Arial"/>
                  <w:sz w:val="16"/>
                  <w:szCs w:val="16"/>
                  <w:color w:val="0000FF"/>
                </w:rPr>
                <w:t>273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288">
              <w:r>
                <w:rPr>
                  <w:rFonts w:ascii="Arial" w:cs="Arial" w:eastAsia="Arial" w:hAnsi="Arial"/>
                  <w:sz w:val="16"/>
                  <w:szCs w:val="16"/>
                  <w:color w:val="0000FF"/>
                </w:rPr>
                <w:t>MANAGEMENT AFTER THE BUSINESS COMBINATION</w:t>
              </w:r>
            </w:hyperlink>
          </w:p>
        </w:tc>
        <w:tc>
          <w:tcPr>
            <w:tcW w:w="660" w:type="dxa"/>
            <w:vAlign w:val="bottom"/>
            <w:gridSpan w:val="4"/>
          </w:tcPr>
          <w:p>
            <w:pPr>
              <w:jc w:val="right"/>
              <w:spacing w:after="0"/>
              <w:rPr>
                <w:rFonts w:ascii="Arial" w:cs="Arial" w:eastAsia="Arial" w:hAnsi="Arial"/>
                <w:sz w:val="16"/>
                <w:szCs w:val="16"/>
                <w:color w:val="0000FF"/>
              </w:rPr>
            </w:pPr>
            <w:hyperlink w:anchor="page288">
              <w:r>
                <w:rPr>
                  <w:rFonts w:ascii="Arial" w:cs="Arial" w:eastAsia="Arial" w:hAnsi="Arial"/>
                  <w:sz w:val="16"/>
                  <w:szCs w:val="16"/>
                  <w:color w:val="0000FF"/>
                </w:rPr>
                <w:t>279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gridSpan w:val="21"/>
          </w:tcPr>
          <w:p>
            <w:pPr>
              <w:spacing w:after="0"/>
              <w:rPr>
                <w:rFonts w:ascii="Arial" w:cs="Arial" w:eastAsia="Arial" w:hAnsi="Arial"/>
                <w:sz w:val="16"/>
                <w:szCs w:val="16"/>
                <w:color w:val="0000FF"/>
              </w:rPr>
            </w:pPr>
            <w:hyperlink w:anchor="page295">
              <w:r>
                <w:rPr>
                  <w:rFonts w:ascii="Arial" w:cs="Arial" w:eastAsia="Arial" w:hAnsi="Arial"/>
                  <w:sz w:val="16"/>
                  <w:szCs w:val="16"/>
                  <w:color w:val="0000FF"/>
                </w:rPr>
                <w:t>DESCRIPTION OF SECURITIES</w:t>
              </w:r>
            </w:hyperlink>
          </w:p>
        </w:tc>
        <w:tc>
          <w:tcPr>
            <w:tcW w:w="6480" w:type="dxa"/>
            <w:vAlign w:val="bottom"/>
            <w:gridSpan w:val="16"/>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295">
              <w:r>
                <w:rPr>
                  <w:rFonts w:ascii="Arial" w:cs="Arial" w:eastAsia="Arial" w:hAnsi="Arial"/>
                  <w:sz w:val="16"/>
                  <w:szCs w:val="16"/>
                  <w:color w:val="0000FF"/>
                </w:rPr>
                <w:t>286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309">
              <w:r>
                <w:rPr>
                  <w:rFonts w:ascii="Arial" w:cs="Arial" w:eastAsia="Arial" w:hAnsi="Arial"/>
                  <w:sz w:val="16"/>
                  <w:szCs w:val="16"/>
                  <w:color w:val="0000FF"/>
                </w:rPr>
                <w:t>BENEFICIAL OWNERSHIP OF SECURITIES</w:t>
              </w:r>
            </w:hyperlink>
          </w:p>
        </w:tc>
        <w:tc>
          <w:tcPr>
            <w:tcW w:w="660" w:type="dxa"/>
            <w:vAlign w:val="bottom"/>
            <w:gridSpan w:val="4"/>
          </w:tcPr>
          <w:p>
            <w:pPr>
              <w:jc w:val="right"/>
              <w:spacing w:after="0"/>
              <w:rPr>
                <w:rFonts w:ascii="Arial" w:cs="Arial" w:eastAsia="Arial" w:hAnsi="Arial"/>
                <w:sz w:val="16"/>
                <w:szCs w:val="16"/>
                <w:color w:val="0000FF"/>
              </w:rPr>
            </w:pPr>
            <w:hyperlink w:anchor="page309">
              <w:r>
                <w:rPr>
                  <w:rFonts w:ascii="Arial" w:cs="Arial" w:eastAsia="Arial" w:hAnsi="Arial"/>
                  <w:sz w:val="16"/>
                  <w:szCs w:val="16"/>
                  <w:color w:val="0000FF"/>
                </w:rPr>
                <w:t>300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7"/>
          </w:tcPr>
          <w:p>
            <w:pPr>
              <w:spacing w:after="0"/>
              <w:rPr>
                <w:rFonts w:ascii="Arial" w:cs="Arial" w:eastAsia="Arial" w:hAnsi="Arial"/>
                <w:sz w:val="16"/>
                <w:szCs w:val="16"/>
                <w:color w:val="0000FF"/>
                <w:w w:val="96"/>
              </w:rPr>
            </w:pPr>
            <w:hyperlink w:anchor="page313">
              <w:r>
                <w:rPr>
                  <w:rFonts w:ascii="Arial" w:cs="Arial" w:eastAsia="Arial" w:hAnsi="Arial"/>
                  <w:sz w:val="16"/>
                  <w:szCs w:val="16"/>
                  <w:color w:val="0000FF"/>
                  <w:w w:val="96"/>
                </w:rPr>
                <w:t>CERTAIN RELATIONSHIPS AND RELATED PARTY TRANSACTIONS</w:t>
              </w:r>
            </w:hyperlink>
          </w:p>
        </w:tc>
        <w:tc>
          <w:tcPr>
            <w:tcW w:w="5600" w:type="dxa"/>
            <w:vAlign w:val="bottom"/>
            <w:gridSpan w:val="10"/>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13">
              <w:r>
                <w:rPr>
                  <w:rFonts w:ascii="Arial" w:cs="Arial" w:eastAsia="Arial" w:hAnsi="Arial"/>
                  <w:sz w:val="16"/>
                  <w:szCs w:val="16"/>
                  <w:color w:val="0000FF"/>
                </w:rPr>
                <w:t>304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7"/>
          </w:tcPr>
          <w:p>
            <w:pPr>
              <w:spacing w:after="0"/>
              <w:rPr>
                <w:rFonts w:ascii="Arial" w:cs="Arial" w:eastAsia="Arial" w:hAnsi="Arial"/>
                <w:sz w:val="16"/>
                <w:szCs w:val="16"/>
                <w:color w:val="0000FF"/>
                <w:w w:val="99"/>
              </w:rPr>
            </w:pPr>
            <w:hyperlink w:anchor="page320">
              <w:r>
                <w:rPr>
                  <w:rFonts w:ascii="Arial" w:cs="Arial" w:eastAsia="Arial" w:hAnsi="Arial"/>
                  <w:sz w:val="16"/>
                  <w:szCs w:val="16"/>
                  <w:color w:val="0000FF"/>
                  <w:w w:val="99"/>
                </w:rPr>
                <w:t>MARKET PRICE, TICKER SYMBOL AND DIVIDEND INFORMATION</w:t>
              </w:r>
            </w:hyperlink>
          </w:p>
        </w:tc>
        <w:tc>
          <w:tcPr>
            <w:tcW w:w="5600" w:type="dxa"/>
            <w:vAlign w:val="bottom"/>
            <w:gridSpan w:val="10"/>
          </w:tcPr>
          <w:p>
            <w:pPr>
              <w:spacing w:after="0"/>
              <w:rPr>
                <w:sz w:val="17"/>
                <w:szCs w:val="17"/>
                <w:color w:val="auto"/>
              </w:rPr>
            </w:pPr>
          </w:p>
        </w:tc>
        <w:tc>
          <w:tcPr>
            <w:tcW w:w="680" w:type="dxa"/>
            <w:vAlign w:val="bottom"/>
            <w:gridSpan w:val="5"/>
          </w:tcPr>
          <w:p>
            <w:pPr>
              <w:jc w:val="right"/>
              <w:ind w:right="20"/>
              <w:spacing w:after="0"/>
              <w:rPr>
                <w:rFonts w:ascii="Arial" w:cs="Arial" w:eastAsia="Arial" w:hAnsi="Arial"/>
                <w:sz w:val="16"/>
                <w:szCs w:val="16"/>
                <w:color w:val="0000FF"/>
              </w:rPr>
            </w:pPr>
            <w:hyperlink w:anchor="page320">
              <w:r>
                <w:rPr>
                  <w:rFonts w:ascii="Arial" w:cs="Arial" w:eastAsia="Arial" w:hAnsi="Arial"/>
                  <w:sz w:val="16"/>
                  <w:szCs w:val="16"/>
                  <w:color w:val="0000FF"/>
                </w:rPr>
                <w:t>311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27"/>
          </w:tcPr>
          <w:p>
            <w:pPr>
              <w:spacing w:after="0"/>
              <w:rPr>
                <w:rFonts w:ascii="Arial" w:cs="Arial" w:eastAsia="Arial" w:hAnsi="Arial"/>
                <w:sz w:val="16"/>
                <w:szCs w:val="16"/>
                <w:color w:val="0000FF"/>
              </w:rPr>
            </w:pPr>
            <w:hyperlink w:anchor="page321">
              <w:r>
                <w:rPr>
                  <w:rFonts w:ascii="Arial" w:cs="Arial" w:eastAsia="Arial" w:hAnsi="Arial"/>
                  <w:sz w:val="16"/>
                  <w:szCs w:val="16"/>
                  <w:color w:val="0000FF"/>
                </w:rPr>
                <w:t>INDEPENDENT REGISTERED PUBLIC ACCOUNTING FIRM</w:t>
              </w:r>
            </w:hyperlink>
          </w:p>
        </w:tc>
        <w:tc>
          <w:tcPr>
            <w:tcW w:w="5600" w:type="dxa"/>
            <w:vAlign w:val="bottom"/>
            <w:gridSpan w:val="10"/>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1">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22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rPr>
                <w:rFonts w:ascii="Arial" w:cs="Arial" w:eastAsia="Arial" w:hAnsi="Arial"/>
                <w:sz w:val="16"/>
                <w:szCs w:val="16"/>
                <w:color w:val="0000FF"/>
                <w:w w:val="97"/>
              </w:rPr>
            </w:pPr>
            <w:hyperlink w:anchor="page322">
              <w:r>
                <w:rPr>
                  <w:rFonts w:ascii="Arial" w:cs="Arial" w:eastAsia="Arial" w:hAnsi="Arial"/>
                  <w:sz w:val="16"/>
                  <w:szCs w:val="16"/>
                  <w:color w:val="0000FF"/>
                  <w:w w:val="97"/>
                </w:rPr>
                <w:t>APPRAISAL RIGHTS</w:t>
              </w:r>
            </w:hyperlink>
          </w:p>
        </w:tc>
        <w:tc>
          <w:tcPr>
            <w:tcW w:w="2800" w:type="dxa"/>
            <w:vAlign w:val="bottom"/>
            <w:gridSpan w:val="17"/>
          </w:tcPr>
          <w:p>
            <w:pPr>
              <w:spacing w:after="0"/>
              <w:rPr>
                <w:sz w:val="17"/>
                <w:szCs w:val="17"/>
                <w:color w:val="auto"/>
              </w:rPr>
            </w:pPr>
          </w:p>
        </w:tc>
        <w:tc>
          <w:tcPr>
            <w:tcW w:w="6220" w:type="dxa"/>
            <w:vAlign w:val="bottom"/>
            <w:gridSpan w:val="14"/>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HOUSEHOLDING INFORMATION</w:t>
              </w:r>
            </w:hyperlink>
          </w:p>
        </w:tc>
        <w:tc>
          <w:tcPr>
            <w:tcW w:w="660" w:type="dxa"/>
            <w:vAlign w:val="bottom"/>
            <w:gridSpan w:val="4"/>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gridSpan w:val="11"/>
          </w:tcPr>
          <w:p>
            <w:pPr>
              <w:spacing w:after="0"/>
              <w:rPr>
                <w:rFonts w:ascii="Arial" w:cs="Arial" w:eastAsia="Arial" w:hAnsi="Arial"/>
                <w:sz w:val="16"/>
                <w:szCs w:val="16"/>
                <w:color w:val="0000FF"/>
                <w:w w:val="95"/>
              </w:rPr>
            </w:pPr>
            <w:hyperlink w:anchor="page322">
              <w:r>
                <w:rPr>
                  <w:rFonts w:ascii="Arial" w:cs="Arial" w:eastAsia="Arial" w:hAnsi="Arial"/>
                  <w:sz w:val="16"/>
                  <w:szCs w:val="16"/>
                  <w:color w:val="0000FF"/>
                  <w:w w:val="95"/>
                </w:rPr>
                <w:t>TRANSFER AGENT AND REGISTRAR</w:t>
              </w:r>
            </w:hyperlink>
          </w:p>
        </w:tc>
        <w:tc>
          <w:tcPr>
            <w:tcW w:w="7800" w:type="dxa"/>
            <w:vAlign w:val="bottom"/>
            <w:gridSpan w:val="26"/>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rPr>
                <w:rFonts w:ascii="Arial" w:cs="Arial" w:eastAsia="Arial" w:hAnsi="Arial"/>
                <w:sz w:val="16"/>
                <w:szCs w:val="16"/>
                <w:color w:val="0000FF"/>
                <w:w w:val="95"/>
              </w:rPr>
            </w:pPr>
            <w:hyperlink w:anchor="page322">
              <w:r>
                <w:rPr>
                  <w:rFonts w:ascii="Arial" w:cs="Arial" w:eastAsia="Arial" w:hAnsi="Arial"/>
                  <w:sz w:val="16"/>
                  <w:szCs w:val="16"/>
                  <w:color w:val="0000FF"/>
                  <w:w w:val="95"/>
                </w:rPr>
                <w:t>SUBMISSION OF STOCKHOLDER PROPOSALS</w:t>
              </w:r>
            </w:hyperlink>
          </w:p>
        </w:tc>
        <w:tc>
          <w:tcPr>
            <w:tcW w:w="7120" w:type="dxa"/>
            <w:vAlign w:val="bottom"/>
            <w:gridSpan w:val="20"/>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FUTURE STOCKHOLDER PROPOSALS</w:t>
              </w:r>
            </w:hyperlink>
          </w:p>
        </w:tc>
        <w:tc>
          <w:tcPr>
            <w:tcW w:w="7120" w:type="dxa"/>
            <w:vAlign w:val="bottom"/>
            <w:gridSpan w:val="20"/>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312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gridSpan w:val="18"/>
          </w:tcPr>
          <w:p>
            <w:pPr>
              <w:spacing w:after="0"/>
              <w:rPr>
                <w:rFonts w:ascii="Arial" w:cs="Arial" w:eastAsia="Arial" w:hAnsi="Arial"/>
                <w:sz w:val="16"/>
                <w:szCs w:val="16"/>
                <w:color w:val="0000FF"/>
                <w:w w:val="98"/>
              </w:rPr>
            </w:pPr>
            <w:hyperlink w:anchor="page323">
              <w:r>
                <w:rPr>
                  <w:rFonts w:ascii="Arial" w:cs="Arial" w:eastAsia="Arial" w:hAnsi="Arial"/>
                  <w:sz w:val="16"/>
                  <w:szCs w:val="16"/>
                  <w:color w:val="0000FF"/>
                  <w:w w:val="98"/>
                </w:rPr>
                <w:t>WHERE YOU CAN FIND MORE INFORMATION</w:t>
              </w:r>
            </w:hyperlink>
          </w:p>
        </w:tc>
        <w:tc>
          <w:tcPr>
            <w:tcW w:w="7100" w:type="dxa"/>
            <w:vAlign w:val="bottom"/>
            <w:gridSpan w:val="19"/>
          </w:tcPr>
          <w:p>
            <w:pPr>
              <w:spacing w:after="0"/>
              <w:rPr>
                <w:sz w:val="17"/>
                <w:szCs w:val="17"/>
                <w:color w:val="auto"/>
              </w:rPr>
            </w:pPr>
          </w:p>
        </w:tc>
        <w:tc>
          <w:tcPr>
            <w:tcW w:w="660" w:type="dxa"/>
            <w:vAlign w:val="bottom"/>
            <w:gridSpan w:val="4"/>
          </w:tcPr>
          <w:p>
            <w:pPr>
              <w:jc w:val="right"/>
              <w:spacing w:after="0"/>
              <w:rPr>
                <w:rFonts w:ascii="Arial" w:cs="Arial" w:eastAsia="Arial" w:hAnsi="Arial"/>
                <w:sz w:val="16"/>
                <w:szCs w:val="16"/>
                <w:color w:val="0000FF"/>
              </w:rPr>
            </w:pPr>
            <w:hyperlink w:anchor="page323">
              <w:r>
                <w:rPr>
                  <w:rFonts w:ascii="Arial" w:cs="Arial" w:eastAsia="Arial" w:hAnsi="Arial"/>
                  <w:sz w:val="16"/>
                  <w:szCs w:val="16"/>
                  <w:color w:val="0000FF"/>
                </w:rPr>
                <w:t>313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700" w:type="dxa"/>
            <w:vAlign w:val="bottom"/>
            <w:tcBorders>
              <w:left w:val="single" w:sz="8" w:color="0000FF"/>
            </w:tcBorders>
            <w:gridSpan w:val="7"/>
            <w:shd w:val="clear" w:color="auto" w:fill="0000FF"/>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gridSpan w:val="11"/>
          </w:tcPr>
          <w:p>
            <w:pPr>
              <w:spacing w:after="0"/>
              <w:rPr>
                <w:rFonts w:ascii="Arial" w:cs="Arial" w:eastAsia="Arial" w:hAnsi="Arial"/>
                <w:sz w:val="16"/>
                <w:szCs w:val="16"/>
                <w:color w:val="0000FF"/>
                <w:w w:val="97"/>
              </w:rPr>
            </w:pPr>
            <w:hyperlink w:anchor="page323">
              <w:r>
                <w:rPr>
                  <w:rFonts w:ascii="Arial" w:cs="Arial" w:eastAsia="Arial" w:hAnsi="Arial"/>
                  <w:sz w:val="16"/>
                  <w:szCs w:val="16"/>
                  <w:color w:val="0000FF"/>
                  <w:w w:val="97"/>
                </w:rPr>
                <w:t>INDEX TO FINANCIAL STATEMENTS</w:t>
              </w:r>
            </w:hyperlink>
          </w:p>
        </w:tc>
        <w:tc>
          <w:tcPr>
            <w:tcW w:w="700" w:type="dxa"/>
            <w:vAlign w:val="bottom"/>
            <w:gridSpan w:val="7"/>
          </w:tcPr>
          <w:p>
            <w:pPr>
              <w:spacing w:after="0"/>
              <w:rPr>
                <w:sz w:val="17"/>
                <w:szCs w:val="17"/>
                <w:color w:val="auto"/>
              </w:rPr>
            </w:pPr>
          </w:p>
        </w:tc>
        <w:tc>
          <w:tcPr>
            <w:tcW w:w="710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3"/>
                <w:szCs w:val="13"/>
                <w:color w:val="0000FF"/>
                <w:w w:val="71"/>
              </w:rPr>
            </w:pPr>
            <w:hyperlink w:anchor="page323">
              <w:r>
                <w:rPr>
                  <w:rFonts w:ascii="Arial" w:cs="Arial" w:eastAsia="Arial" w:hAnsi="Arial"/>
                  <w:sz w:val="13"/>
                  <w:szCs w:val="13"/>
                  <w:color w:val="0000FF"/>
                  <w:w w:val="71"/>
                </w:rPr>
                <w:t>F-1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7800" w:type="dxa"/>
            <w:vAlign w:val="bottom"/>
            <w:gridSpan w:val="2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3"/>
              </w:rPr>
            </w:pPr>
            <w:hyperlink w:anchor="page425">
              <w:r>
                <w:rPr>
                  <w:rFonts w:ascii="Arial" w:cs="Arial" w:eastAsia="Arial" w:hAnsi="Arial"/>
                  <w:sz w:val="16"/>
                  <w:szCs w:val="16"/>
                  <w:color w:val="0000FF"/>
                  <w:w w:val="93"/>
                </w:rPr>
                <w:t>ANNEX A</w:t>
              </w:r>
            </w:hyperlink>
          </w:p>
        </w:tc>
        <w:tc>
          <w:tcPr>
            <w:tcW w:w="2040" w:type="dxa"/>
            <w:vAlign w:val="bottom"/>
            <w:gridSpan w:val="9"/>
          </w:tcPr>
          <w:p>
            <w:pPr>
              <w:spacing w:after="0"/>
              <w:rPr>
                <w:sz w:val="17"/>
                <w:szCs w:val="17"/>
                <w:color w:val="auto"/>
              </w:rPr>
            </w:pPr>
          </w:p>
        </w:tc>
        <w:tc>
          <w:tcPr>
            <w:tcW w:w="7800" w:type="dxa"/>
            <w:vAlign w:val="bottom"/>
            <w:gridSpan w:val="26"/>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jc w:val="right"/>
              <w:ind w:right="20"/>
              <w:spacing w:after="0"/>
              <w:rPr>
                <w:rFonts w:ascii="Arial" w:cs="Arial" w:eastAsia="Arial" w:hAnsi="Arial"/>
                <w:sz w:val="16"/>
                <w:szCs w:val="16"/>
                <w:color w:val="0000FF"/>
              </w:rPr>
            </w:pPr>
            <w:hyperlink w:anchor="page425">
              <w:r>
                <w:rPr>
                  <w:rFonts w:ascii="Arial" w:cs="Arial" w:eastAsia="Arial" w:hAnsi="Arial"/>
                  <w:sz w:val="16"/>
                  <w:szCs w:val="16"/>
                  <w:color w:val="0000FF"/>
                </w:rPr>
                <w:t>A-1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3"/>
              </w:rPr>
            </w:pPr>
            <w:hyperlink w:anchor="page602">
              <w:r>
                <w:rPr>
                  <w:rFonts w:ascii="Arial" w:cs="Arial" w:eastAsia="Arial" w:hAnsi="Arial"/>
                  <w:sz w:val="16"/>
                  <w:szCs w:val="16"/>
                  <w:color w:val="0000FF"/>
                  <w:w w:val="93"/>
                </w:rPr>
                <w:t>ANNEX B</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2"/>
                <w:szCs w:val="12"/>
                <w:color w:val="0000FF"/>
                <w:w w:val="74"/>
              </w:rPr>
            </w:pPr>
            <w:hyperlink w:anchor="page602">
              <w:r>
                <w:rPr>
                  <w:rFonts w:ascii="Arial" w:cs="Arial" w:eastAsia="Arial" w:hAnsi="Arial"/>
                  <w:sz w:val="12"/>
                  <w:szCs w:val="12"/>
                  <w:color w:val="0000FF"/>
                  <w:w w:val="74"/>
                </w:rPr>
                <w:t>B-1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2"/>
              </w:rPr>
            </w:pPr>
            <w:hyperlink w:anchor="page607">
              <w:r>
                <w:rPr>
                  <w:rFonts w:ascii="Arial" w:cs="Arial" w:eastAsia="Arial" w:hAnsi="Arial"/>
                  <w:sz w:val="16"/>
                  <w:szCs w:val="16"/>
                  <w:color w:val="0000FF"/>
                  <w:w w:val="92"/>
                </w:rPr>
                <w:t>ANNEX C</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2"/>
                <w:szCs w:val="12"/>
                <w:color w:val="0000FF"/>
                <w:w w:val="72"/>
              </w:rPr>
            </w:pPr>
            <w:hyperlink w:anchor="page607">
              <w:r>
                <w:rPr>
                  <w:rFonts w:ascii="Arial" w:cs="Arial" w:eastAsia="Arial" w:hAnsi="Arial"/>
                  <w:sz w:val="12"/>
                  <w:szCs w:val="12"/>
                  <w:color w:val="0000FF"/>
                  <w:w w:val="72"/>
                </w:rPr>
                <w:t>C-1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2"/>
              </w:rPr>
            </w:pPr>
            <w:hyperlink w:anchor="page636">
              <w:r>
                <w:rPr>
                  <w:rFonts w:ascii="Arial" w:cs="Arial" w:eastAsia="Arial" w:hAnsi="Arial"/>
                  <w:sz w:val="16"/>
                  <w:szCs w:val="16"/>
                  <w:color w:val="0000FF"/>
                  <w:w w:val="92"/>
                </w:rPr>
                <w:t>ANNEX D</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jc w:val="right"/>
              <w:ind w:right="20"/>
              <w:spacing w:after="0"/>
              <w:rPr>
                <w:rFonts w:ascii="Arial" w:cs="Arial" w:eastAsia="Arial" w:hAnsi="Arial"/>
                <w:sz w:val="16"/>
                <w:szCs w:val="16"/>
                <w:color w:val="0000FF"/>
              </w:rPr>
            </w:pPr>
            <w:hyperlink w:anchor="page636">
              <w:r>
                <w:rPr>
                  <w:rFonts w:ascii="Arial" w:cs="Arial" w:eastAsia="Arial" w:hAnsi="Arial"/>
                  <w:sz w:val="16"/>
                  <w:szCs w:val="16"/>
                  <w:color w:val="0000FF"/>
                </w:rPr>
                <w:t>D-1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3"/>
              </w:rPr>
            </w:pPr>
            <w:hyperlink w:anchor="page656">
              <w:r>
                <w:rPr>
                  <w:rFonts w:ascii="Arial" w:cs="Arial" w:eastAsia="Arial" w:hAnsi="Arial"/>
                  <w:sz w:val="16"/>
                  <w:szCs w:val="16"/>
                  <w:color w:val="0000FF"/>
                  <w:w w:val="93"/>
                </w:rPr>
                <w:t>ANNEX E</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2"/>
                <w:szCs w:val="12"/>
                <w:color w:val="0000FF"/>
                <w:w w:val="74"/>
              </w:rPr>
            </w:pPr>
            <w:hyperlink w:anchor="page656">
              <w:r>
                <w:rPr>
                  <w:rFonts w:ascii="Arial" w:cs="Arial" w:eastAsia="Arial" w:hAnsi="Arial"/>
                  <w:sz w:val="12"/>
                  <w:szCs w:val="12"/>
                  <w:color w:val="0000FF"/>
                  <w:w w:val="74"/>
                </w:rPr>
                <w:t>E-1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5"/>
              </w:rPr>
            </w:pPr>
            <w:hyperlink w:anchor="page667">
              <w:r>
                <w:rPr>
                  <w:rFonts w:ascii="Arial" w:cs="Arial" w:eastAsia="Arial" w:hAnsi="Arial"/>
                  <w:sz w:val="16"/>
                  <w:szCs w:val="16"/>
                  <w:color w:val="0000FF"/>
                  <w:w w:val="95"/>
                </w:rPr>
                <w:t>ANNEX F</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3"/>
                <w:szCs w:val="13"/>
                <w:color w:val="0000FF"/>
                <w:w w:val="71"/>
              </w:rPr>
            </w:pPr>
            <w:hyperlink w:anchor="page667">
              <w:r>
                <w:rPr>
                  <w:rFonts w:ascii="Arial" w:cs="Arial" w:eastAsia="Arial" w:hAnsi="Arial"/>
                  <w:sz w:val="13"/>
                  <w:szCs w:val="13"/>
                  <w:color w:val="0000FF"/>
                  <w:w w:val="71"/>
                </w:rPr>
                <w:t>F-1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1"/>
              </w:rPr>
            </w:pPr>
            <w:hyperlink w:anchor="page671">
              <w:r>
                <w:rPr>
                  <w:rFonts w:ascii="Arial" w:cs="Arial" w:eastAsia="Arial" w:hAnsi="Arial"/>
                  <w:sz w:val="16"/>
                  <w:szCs w:val="16"/>
                  <w:color w:val="0000FF"/>
                  <w:w w:val="91"/>
                </w:rPr>
                <w:t>ANNEX G</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671">
              <w:r>
                <w:rPr>
                  <w:rFonts w:ascii="Arial" w:cs="Arial" w:eastAsia="Arial" w:hAnsi="Arial"/>
                  <w:sz w:val="11"/>
                  <w:szCs w:val="11"/>
                  <w:color w:val="0000FF"/>
                  <w:w w:val="76"/>
                </w:rPr>
                <w:t>G-1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rFonts w:ascii="Arial" w:cs="Arial" w:eastAsia="Arial" w:hAnsi="Arial"/>
                <w:sz w:val="16"/>
                <w:szCs w:val="16"/>
                <w:color w:val="0000FF"/>
                <w:w w:val="92"/>
              </w:rPr>
            </w:pPr>
            <w:hyperlink w:anchor="page675">
              <w:r>
                <w:rPr>
                  <w:rFonts w:ascii="Arial" w:cs="Arial" w:eastAsia="Arial" w:hAnsi="Arial"/>
                  <w:sz w:val="16"/>
                  <w:szCs w:val="16"/>
                  <w:color w:val="0000FF"/>
                  <w:w w:val="92"/>
                </w:rPr>
                <w:t>ANNEX H</w:t>
              </w:r>
            </w:hyperlink>
          </w:p>
        </w:tc>
        <w:tc>
          <w:tcPr>
            <w:tcW w:w="984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jc w:val="right"/>
              <w:ind w:right="20"/>
              <w:spacing w:after="0"/>
              <w:rPr>
                <w:rFonts w:ascii="Arial" w:cs="Arial" w:eastAsia="Arial" w:hAnsi="Arial"/>
                <w:sz w:val="16"/>
                <w:szCs w:val="16"/>
                <w:color w:val="0000FF"/>
              </w:rPr>
            </w:pPr>
            <w:hyperlink w:anchor="page675">
              <w:r>
                <w:rPr>
                  <w:rFonts w:ascii="Arial" w:cs="Arial" w:eastAsia="Arial" w:hAnsi="Arial"/>
                  <w:sz w:val="16"/>
                  <w:szCs w:val="16"/>
                  <w:color w:val="0000FF"/>
                </w:rPr>
                <w:t>H-1</w:t>
              </w:r>
            </w:hyperlink>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9500" w:type="dxa"/>
            <w:vAlign w:val="bottom"/>
            <w:gridSpan w:val="3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37"/>
          </w:tcPr>
          <w:p>
            <w:pPr>
              <w:spacing w:after="0"/>
              <w:rPr>
                <w:rFonts w:ascii="Arial" w:cs="Arial" w:eastAsia="Arial" w:hAnsi="Arial"/>
                <w:sz w:val="16"/>
                <w:szCs w:val="16"/>
                <w:color w:val="0000FF"/>
              </w:rPr>
            </w:pPr>
            <w:hyperlink w:anchor="page687">
              <w:r>
                <w:rPr>
                  <w:rFonts w:ascii="Arial" w:cs="Arial" w:eastAsia="Arial" w:hAnsi="Arial"/>
                  <w:sz w:val="16"/>
                  <w:szCs w:val="16"/>
                  <w:color w:val="0000FF"/>
                </w:rPr>
                <w:t>PROXY CARD</w:t>
              </w:r>
            </w:hyperlink>
          </w:p>
        </w:tc>
        <w:tc>
          <w:tcPr>
            <w:tcW w:w="680" w:type="dxa"/>
            <w:vAlign w:val="bottom"/>
            <w:gridSpan w:val="5"/>
          </w:tcPr>
          <w:p>
            <w:pPr>
              <w:jc w:val="right"/>
              <w:ind w:right="20"/>
              <w:spacing w:after="0"/>
              <w:rPr>
                <w:rFonts w:ascii="Arial" w:cs="Arial" w:eastAsia="Arial" w:hAnsi="Arial"/>
                <w:sz w:val="16"/>
                <w:szCs w:val="16"/>
                <w:color w:val="0000FF"/>
              </w:rPr>
            </w:pPr>
            <w:hyperlink w:anchor="page687">
              <w:r>
                <w:rPr>
                  <w:rFonts w:ascii="Arial" w:cs="Arial" w:eastAsia="Arial" w:hAnsi="Arial"/>
                  <w:sz w:val="16"/>
                  <w:szCs w:val="16"/>
                  <w:color w:val="0000FF"/>
                </w:rPr>
                <w:t>H-13</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17" w:right="339" w:bottom="1440" w:gutter="0" w:footer="0" w:header="0"/>
          <w:type w:val="continuous"/>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CM Life Sciences, Inc., a Delaware corporation, which we refer to as “we,” “us,” “our,” “CMLS” or the “Company,” is a special purpose acquisition company (“</w:t>
      </w:r>
      <w:r>
        <w:rPr>
          <w:rFonts w:ascii="Arial" w:cs="Arial" w:eastAsia="Arial" w:hAnsi="Arial"/>
          <w:sz w:val="18"/>
          <w:szCs w:val="18"/>
          <w:i w:val="1"/>
          <w:iCs w:val="1"/>
          <w:color w:val="auto"/>
        </w:rPr>
        <w:t>SPAC</w:t>
      </w:r>
      <w:r>
        <w:rPr>
          <w:rFonts w:ascii="Arial" w:cs="Arial" w:eastAsia="Arial" w:hAnsi="Arial"/>
          <w:sz w:val="18"/>
          <w:szCs w:val="18"/>
          <w:color w:val="auto"/>
        </w:rPr>
        <w:t>”) formed for the purpose of effecting a merger, capital stock exchange, asset acquisition, stock purchase, reorganization or similar business combination with one or more businesses.</w:t>
      </w:r>
    </w:p>
    <w:p>
      <w:pPr>
        <w:spacing w:after="0" w:line="129" w:lineRule="exact"/>
        <w:rPr>
          <w:rFonts w:ascii="Arial" w:cs="Arial" w:eastAsia="Arial" w:hAnsi="Arial"/>
          <w:sz w:val="18"/>
          <w:szCs w:val="18"/>
          <w:color w:val="auto"/>
        </w:rPr>
      </w:pPr>
    </w:p>
    <w:p>
      <w:pPr>
        <w:jc w:val="both"/>
        <w:ind w:left="660" w:hanging="328"/>
        <w:spacing w:after="0" w:line="28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currently 55,343,750 shares of Class A and Class B common stock, par value $0.0001 per share, of the Company, issued and outstanding, consisting of (i) 44,275,000 public shares, and (ii) 11,068,750 Founder Shares held by our Initial Stockholders (each share of Sema4 Class B common stock issued and outstanding immediately prior to the effective time will be converted into 1/100th of a share of Sema4 Class A common stock as set forth in the Merger Agreement). There are currently no shares of Company preferred stock issued and outstanding. In addition, we have 14,758,333 public warrants to purchase common stock (originally sold as part of the units issued in our IPO) outstanding along with 7,236,667 private placement warrants issued to our Sponsor in a private placement concurrently with our IPO (which up to a maximum of 33% of private placement warrants may be automatically cancelled immediately prior to Closing pursuant to the Forfeiture Agreement; for additional information on the potential forfeiture of private placement warrants by the Sponsor, see the section entitled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Related Agreements — Forfeiture Agreement</w:t>
      </w:r>
      <w:r>
        <w:rPr>
          <w:rFonts w:ascii="Arial" w:cs="Arial" w:eastAsia="Arial" w:hAnsi="Arial"/>
          <w:sz w:val="16"/>
          <w:szCs w:val="16"/>
          <w:color w:val="auto"/>
        </w:rPr>
        <w:t>”.). Each warrant entitles its holder to purchase one share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an exercise price of $11.50 per whole share, to be exercised only for a whole number of shares of our Class A common stock. The warrants will become exercisable 30 days after the completion of the Business Combination, and they expire five years after the completion of the Business Combination, at 5:00 p.m., New York City time, or earlier upon redemption or liquidation. Once the warrants become exercisable, the Company may redeem the outstanding public warrants at a price of $0.01 per warrant, if the last reported sales price of the Company’s Class A common stock equals or exceeds $18.00 per share for any 20 trading days within a 30 trading day period ending on the third trading day prior to the date on which we give notice of such redemption and provided certain other conditions are met. For more information regarding the public warrants, please see the section entitled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w:t>
      </w:r>
    </w:p>
    <w:p>
      <w:pPr>
        <w:spacing w:after="0" w:line="1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35"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For more information about Sema4, please see the sections entitled “</w:t>
      </w:r>
      <w:r>
        <w:rPr>
          <w:rFonts w:ascii="Arial" w:cs="Arial" w:eastAsia="Arial" w:hAnsi="Arial"/>
          <w:sz w:val="16"/>
          <w:szCs w:val="16"/>
          <w:i w:val="1"/>
          <w:iCs w:val="1"/>
          <w:color w:val="auto"/>
        </w:rPr>
        <w:t>Sema4’s Business</w:t>
      </w:r>
      <w:r>
        <w:rPr>
          <w:rFonts w:ascii="Arial" w:cs="Arial" w:eastAsia="Arial" w:hAnsi="Arial"/>
          <w:sz w:val="16"/>
          <w:szCs w:val="16"/>
          <w:color w:val="auto"/>
        </w:rPr>
        <w:t>,” “</w:t>
      </w:r>
      <w:r>
        <w:rPr>
          <w:rFonts w:ascii="Arial" w:cs="Arial" w:eastAsia="Arial" w:hAnsi="Arial"/>
          <w:sz w:val="16"/>
          <w:szCs w:val="16"/>
          <w:i w:val="1"/>
          <w:iCs w:val="1"/>
          <w:color w:val="auto"/>
        </w:rPr>
        <w:t>Sema4’s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 and “Management after the Business Combination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jc w:val="both"/>
        <w:ind w:left="328" w:hanging="328"/>
        <w:spacing w:after="0" w:line="285" w:lineRule="auto"/>
        <w:tabs>
          <w:tab w:leader="none" w:pos="3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9" w:lineRule="exact"/>
        <w:rPr>
          <w:rFonts w:ascii="Arial" w:cs="Arial" w:eastAsia="Arial" w:hAnsi="Arial"/>
          <w:sz w:val="16"/>
          <w:szCs w:val="16"/>
          <w:color w:val="auto"/>
        </w:rPr>
      </w:pPr>
    </w:p>
    <w:p>
      <w:pPr>
        <w:jc w:val="both"/>
        <w:ind w:left="328"/>
        <w:spacing w:after="0" w:line="287" w:lineRule="auto"/>
        <w:rPr>
          <w:rFonts w:ascii="Arial" w:cs="Arial" w:eastAsia="Arial" w:hAnsi="Arial"/>
          <w:sz w:val="16"/>
          <w:szCs w:val="16"/>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3" w:lineRule="exact"/>
        <w:rPr>
          <w:rFonts w:ascii="Arial" w:cs="Arial" w:eastAsia="Arial" w:hAnsi="Arial"/>
          <w:sz w:val="16"/>
          <w:szCs w:val="16"/>
          <w:color w:val="auto"/>
        </w:rPr>
      </w:pPr>
    </w:p>
    <w:p>
      <w:pPr>
        <w:jc w:val="both"/>
        <w:ind w:left="328"/>
        <w:spacing w:after="0" w:line="279" w:lineRule="auto"/>
        <w:rPr>
          <w:rFonts w:ascii="Arial" w:cs="Arial" w:eastAsia="Arial" w:hAnsi="Arial"/>
          <w:sz w:val="16"/>
          <w:szCs w:val="16"/>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rFonts w:ascii="Arial" w:cs="Arial" w:eastAsia="Arial" w:hAnsi="Arial"/>
          <w:sz w:val="16"/>
          <w:szCs w:val="16"/>
          <w:color w:val="auto"/>
        </w:rPr>
      </w:pPr>
    </w:p>
    <w:p>
      <w:pPr>
        <w:jc w:val="both"/>
        <w:ind w:left="328" w:hanging="328"/>
        <w:spacing w:after="0" w:line="279"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PIPE Investors, including certain stockholders of Sema4, have agreed to purchase 35,000,000 shares of common stock in the aggregate, for $350,000,000 of gross proceeds. In connection with the Business Combination, the Company entered into the Subscription Agreements with the PIPE Investors, including certain stockholders of Sema4 and certain affiliates of our Sponsor, pursuant to which, among other things, the Company agreed to issue and sell to the PIPE Investors, in private placements to close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21" w:right="339" w:bottom="1440" w:gutter="0" w:footer="0" w:header="0"/>
        </w:sectPr>
      </w:pPr>
    </w:p>
    <w:bookmarkStart w:id="12" w:name="page13"/>
    <w:bookmarkEnd w:id="12"/>
    <w:p>
      <w:pPr>
        <w:jc w:val="both"/>
        <w:ind w:left="328"/>
        <w:spacing w:after="0" w:line="263" w:lineRule="auto"/>
        <w:rPr>
          <w:sz w:val="20"/>
          <w:szCs w:val="20"/>
          <w:color w:val="auto"/>
        </w:rPr>
      </w:pPr>
      <w:r>
        <w:rPr>
          <w:rFonts w:ascii="Arial" w:cs="Arial" w:eastAsia="Arial" w:hAnsi="Arial"/>
          <w:sz w:val="18"/>
          <w:szCs w:val="18"/>
          <w:color w:val="auto"/>
        </w:rPr>
        <w:t>prior to the Closing, an aggregate of 35,000,000 shares of common stock at $10.00 per share, for an aggregate purchase price of $350,000,000. The PIPE Investors may assign their commitments under the Subscription Agreements to purchase shares of our common stock to one or more of our affiliates.</w:t>
      </w:r>
    </w:p>
    <w:p>
      <w:pPr>
        <w:spacing w:after="0" w:line="130" w:lineRule="exact"/>
        <w:rPr>
          <w:sz w:val="20"/>
          <w:szCs w:val="20"/>
          <w:color w:val="auto"/>
        </w:rPr>
      </w:pPr>
    </w:p>
    <w:p>
      <w:pPr>
        <w:jc w:val="both"/>
        <w:ind w:left="328"/>
        <w:spacing w:after="0" w:line="270" w:lineRule="auto"/>
        <w:rPr>
          <w:sz w:val="20"/>
          <w:szCs w:val="20"/>
          <w:color w:val="auto"/>
        </w:rPr>
      </w:pPr>
      <w:r>
        <w:rPr>
          <w:rFonts w:ascii="Arial" w:cs="Arial" w:eastAsia="Arial" w:hAnsi="Arial"/>
          <w:sz w:val="17"/>
          <w:szCs w:val="17"/>
          <w:color w:val="auto"/>
        </w:rPr>
        <w:t>It is anticipated that, upon completion of the Business Combination: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Upon the effective time, each outstanding and unsettled restricted stock unit in respect of shares of Sema4 Common Stock, option to purchase Sema4 Common Stock and unvested restricted share of Sema4 Common Stock will be rolled over into restricted stock units, options, or restricted shares, respectively, of common stock in accordance with the terms of the Merger Agreement.</w:t>
      </w:r>
    </w:p>
    <w:p>
      <w:pPr>
        <w:spacing w:after="0" w:line="130" w:lineRule="exact"/>
        <w:rPr>
          <w:sz w:val="20"/>
          <w:szCs w:val="20"/>
          <w:color w:val="auto"/>
        </w:rPr>
      </w:pPr>
    </w:p>
    <w:p>
      <w:pPr>
        <w:jc w:val="both"/>
        <w:ind w:left="328" w:hanging="328"/>
        <w:spacing w:after="0" w:line="254"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or (iii) the issuance of any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8"/>
          <w:szCs w:val="18"/>
          <w:i w:val="1"/>
          <w:iCs w:val="1"/>
          <w:color w:val="auto"/>
        </w:rPr>
        <w:t>Summary of the Proxy Statement — Impact of the Business Combination on the Company’s Public Float,” “Unaudited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 “Proposal No. 5 — Approval of the Incentive Plan” and “Proposal No. 6 — Approval of the ESPP</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Sponsor Support Agreement provides that, our Sponsor will vote their shares of common stock in favor of the Business Combination, be bound by certain other covenants and agreements related to the Business Combination and be bound by certain transfer restrictions with respect to their shares of common stock prior to the closing of the Business Combination.</w:t>
      </w:r>
    </w:p>
    <w:p>
      <w:pPr>
        <w:spacing w:after="0" w:line="129"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Forfeiture Agreement provides that, our Sponsor, subject to certain limitations and in accordance with the terms of the agreement, forfeit up to 33% of its warrants for Class A common stock and shares of its class B common our company subject to an amount tied to the actual exercise of redemption rights by stockholders of our company in connection with the Business Combination.</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and Board considered various factors in determining whether to approve the Merger Agreement and the Business Combination. For more information about our decision-making process, see the section entitled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Approval of the Business Combination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our current certificate of incorporation, in connection with the Business Combination, holders of our public shares may elect to have their public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and will not participate in the future growth of the post-combination company, if any. Such a holder will be entitled to receive cash for its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21" w:right="339" w:bottom="1440" w:gutter="0" w:footer="0" w:header="0"/>
        </w:sectPr>
      </w:pPr>
    </w:p>
    <w:bookmarkStart w:id="13" w:name="page14"/>
    <w:bookmarkEnd w:id="13"/>
    <w:p>
      <w:pPr>
        <w:jc w:val="both"/>
        <w:ind w:left="328"/>
        <w:spacing w:after="0" w:line="263" w:lineRule="auto"/>
        <w:rPr>
          <w:sz w:val="20"/>
          <w:szCs w:val="20"/>
          <w:color w:val="auto"/>
        </w:rPr>
      </w:pPr>
      <w:r>
        <w:rPr>
          <w:rFonts w:ascii="Arial" w:cs="Arial" w:eastAsia="Arial" w:hAnsi="Arial"/>
          <w:sz w:val="18"/>
          <w:szCs w:val="18"/>
          <w:color w:val="auto"/>
        </w:rPr>
        <w:t>shares only if it properly demands redemption and delivers its shares (either physically or electronically) to our Transfer Agent, Continental Stock Transfer &amp; Trust Company, at least two business days prior to the Special Meeting. Please see the section entitled “</w:t>
      </w:r>
      <w:r>
        <w:rPr>
          <w:rFonts w:ascii="Arial" w:cs="Arial" w:eastAsia="Arial" w:hAnsi="Arial"/>
          <w:sz w:val="18"/>
          <w:szCs w:val="18"/>
          <w:i w:val="1"/>
          <w:iCs w:val="1"/>
          <w:color w:val="auto"/>
        </w:rPr>
        <w:t>Special Meeting of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 Redemption Rights</w:t>
      </w:r>
      <w:r>
        <w:rPr>
          <w:rFonts w:ascii="Arial" w:cs="Arial" w:eastAsia="Arial" w:hAnsi="Arial"/>
          <w:sz w:val="18"/>
          <w:szCs w:val="18"/>
          <w:color w:val="auto"/>
        </w:rPr>
        <w:t>.”</w:t>
      </w:r>
    </w:p>
    <w:p>
      <w:pPr>
        <w:spacing w:after="0" w:line="130" w:lineRule="exact"/>
        <w:rPr>
          <w:sz w:val="20"/>
          <w:szCs w:val="20"/>
          <w:color w:val="auto"/>
        </w:rPr>
      </w:pPr>
    </w:p>
    <w:p>
      <w:pPr>
        <w:ind w:left="328" w:right="20" w:hanging="328"/>
        <w:spacing w:after="0" w:line="277"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voting on the proposal to adopt the Merger Agreement and approve the transactions contemplated thereunder, including the Business Combination, at the Special Meeting, the stockholders of the Company will be asked to vote on:</w:t>
      </w:r>
    </w:p>
    <w:p>
      <w:pPr>
        <w:spacing w:after="0" w:line="116"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The Nasdaq Stock Issuance Proposal — To approve, for purposes of complying with applicable listing rules of Nasdaq,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more than 20% of the Company’s outstanding common stock in connection with the Business Combination and the Subscription Agreements, including up to 35,000,000 shares of our common stock to the PIPE Investors;</w:t>
      </w:r>
    </w:p>
    <w:p>
      <w:pPr>
        <w:spacing w:after="0" w:line="129"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 The Charter Approval Proposal — To adopt the proposed Amended and Restated Certificate of Incorporation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attached hereto as Annex B;</w:t>
      </w:r>
    </w:p>
    <w:p>
      <w:pPr>
        <w:spacing w:after="0" w:line="116"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 Governance Proposal — To approve, on a non-binding advisory basis, a separate proposal with respect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16"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5 </w:t>
      </w:r>
      <w:r>
        <w:rPr>
          <w:rFonts w:ascii="Arial" w:cs="Arial" w:eastAsia="Arial" w:hAnsi="Arial"/>
          <w:sz w:val="18"/>
          <w:szCs w:val="18"/>
          <w:color w:val="auto"/>
        </w:rPr>
        <w:t>— Incentive Plan Proposal — To approve the Incentive Plan, including the authorization of the initial share reserve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i w:val="1"/>
          <w:iCs w:val="1"/>
          <w:color w:val="auto"/>
        </w:rPr>
        <w:t xml:space="preserve">Proposal No. 6 </w:t>
      </w:r>
      <w:r>
        <w:rPr>
          <w:rFonts w:ascii="Arial" w:cs="Arial" w:eastAsia="Arial" w:hAnsi="Arial"/>
          <w:sz w:val="18"/>
          <w:szCs w:val="18"/>
          <w:color w:val="auto"/>
        </w:rPr>
        <w:t>— ESPP Proposal — To approve the ESPP, including the authorization of the initial share reserve under the ESPP;</w:t>
      </w:r>
    </w:p>
    <w:p>
      <w:pPr>
        <w:spacing w:after="0" w:line="171" w:lineRule="exact"/>
        <w:rPr>
          <w:rFonts w:ascii="Arial" w:cs="Arial" w:eastAsia="Arial" w:hAnsi="Arial"/>
          <w:sz w:val="18"/>
          <w:szCs w:val="18"/>
          <w:color w:val="auto"/>
        </w:rPr>
      </w:pPr>
    </w:p>
    <w:p>
      <w:pPr>
        <w:jc w:val="both"/>
        <w:ind w:left="328"/>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7 </w:t>
      </w:r>
      <w:r>
        <w:rPr>
          <w:rFonts w:ascii="Arial" w:cs="Arial" w:eastAsia="Arial" w:hAnsi="Arial"/>
          <w:sz w:val="16"/>
          <w:szCs w:val="16"/>
          <w:color w:val="auto"/>
        </w:rPr>
        <w:t>— The Director Election Proposal — To consider and vote upon a proposal to elect 9 directors to serve on the post-combination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each for a term expiring at the 2024 annual meeting of stockholders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and</w:t>
      </w:r>
    </w:p>
    <w:p>
      <w:pPr>
        <w:spacing w:after="0" w:line="110" w:lineRule="exact"/>
        <w:rPr>
          <w:rFonts w:ascii="Arial" w:cs="Arial" w:eastAsia="Arial" w:hAnsi="Arial"/>
          <w:sz w:val="18"/>
          <w:szCs w:val="18"/>
          <w:color w:val="auto"/>
        </w:rPr>
      </w:pPr>
    </w:p>
    <w:p>
      <w:pPr>
        <w:jc w:val="both"/>
        <w:ind w:left="328"/>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8 </w:t>
      </w:r>
      <w:r>
        <w:rPr>
          <w:rFonts w:ascii="Arial" w:cs="Arial" w:eastAsia="Arial" w:hAnsi="Arial"/>
          <w:sz w:val="16"/>
          <w:szCs w:val="16"/>
          <w:color w:val="auto"/>
        </w:rPr>
        <w:t>— Adjournment Proposal — To approve, if necessary, the adjournment of the Special Meeting to a later date or dates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107"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9 </w:t>
      </w:r>
      <w:r>
        <w:rPr>
          <w:rFonts w:ascii="Arial" w:cs="Arial" w:eastAsia="Arial" w:hAnsi="Arial"/>
          <w:sz w:val="18"/>
          <w:szCs w:val="18"/>
          <w:color w:val="auto"/>
        </w:rPr>
        <w:t>— Auditor Ratification Proposal --- The ratification of Withum as the Company’s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ending December 31, 2020.</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 xml:space="preserve">Please see the sections entitled “Proposal No. 1 — </w:t>
      </w:r>
      <w:r>
        <w:rPr>
          <w:rFonts w:ascii="Arial" w:cs="Arial" w:eastAsia="Arial" w:hAnsi="Arial"/>
          <w:sz w:val="17"/>
          <w:szCs w:val="17"/>
          <w:i w:val="1"/>
          <w:iCs w:val="1"/>
          <w:color w:val="auto"/>
        </w:rPr>
        <w:t>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Proposal No. 2 — The Nasdaq Stock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Charter Approval Proposal</w:t>
      </w:r>
      <w:r>
        <w:rPr>
          <w:rFonts w:ascii="Arial" w:cs="Arial" w:eastAsia="Arial" w:hAnsi="Arial"/>
          <w:sz w:val="17"/>
          <w:szCs w:val="17"/>
          <w:color w:val="auto"/>
        </w:rPr>
        <w:t>,” “</w:t>
      </w:r>
      <w:r>
        <w:rPr>
          <w:rFonts w:ascii="Arial" w:cs="Arial" w:eastAsia="Arial" w:hAnsi="Arial"/>
          <w:sz w:val="17"/>
          <w:szCs w:val="17"/>
          <w:i w:val="1"/>
          <w:iCs w:val="1"/>
          <w:color w:val="auto"/>
        </w:rPr>
        <w:t>Proposal No. 4 — Approval of Certain Governance Provisions in the Amended and Restated Certificate of Incorporation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8 — The Adjournment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9 --- The Auditor</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Proposal</w:t>
      </w:r>
      <w:r>
        <w:rPr>
          <w:rFonts w:ascii="Arial" w:cs="Arial" w:eastAsia="Arial" w:hAnsi="Arial"/>
          <w:sz w:val="17"/>
          <w:szCs w:val="17"/>
          <w:color w:val="auto"/>
        </w:rPr>
        <w:t>” Proposals in this proxy statement (other than the Governance Proposal, the Auditor Ratification Proposal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Adjournment Proposal) are conditioned on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21" w:right="339" w:bottom="1440" w:gutter="0" w:footer="0" w:header="0"/>
        </w:sectPr>
      </w:pPr>
    </w:p>
    <w:bookmarkStart w:id="14" w:name="page15"/>
    <w:bookmarkEnd w:id="14"/>
    <w:p>
      <w:pPr>
        <w:jc w:val="both"/>
        <w:ind w:left="328" w:hanging="328"/>
        <w:spacing w:after="0" w:line="311" w:lineRule="auto"/>
        <w:tabs>
          <w:tab w:leader="none" w:pos="323"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The Merger Agreement may be terminated at any time prior to the consummation of the Business Combination upon agreement of the parties thereto, or by the Company or Sema4 in specified circumstances. For more information about the termination rights under the Merger Agreement, please see the section entitled “</w:t>
      </w:r>
      <w:r>
        <w:rPr>
          <w:rFonts w:ascii="Arial" w:cs="Arial" w:eastAsia="Arial" w:hAnsi="Arial"/>
          <w:sz w:val="16"/>
          <w:szCs w:val="16"/>
          <w:i w:val="1"/>
          <w:iCs w:val="1"/>
          <w:color w:val="auto"/>
        </w:rPr>
        <w:t>Proposal No. 1 — Approval of the Business Combination — The Merger Agreement — Termination</w:t>
      </w:r>
      <w:r>
        <w:rPr>
          <w:rFonts w:ascii="Arial" w:cs="Arial" w:eastAsia="Arial" w:hAnsi="Arial"/>
          <w:sz w:val="16"/>
          <w:szCs w:val="16"/>
          <w:color w:val="auto"/>
        </w:rPr>
        <w:t>.”</w:t>
      </w:r>
    </w:p>
    <w:p>
      <w:pPr>
        <w:spacing w:after="0" w:line="94" w:lineRule="exact"/>
        <w:rPr>
          <w:rFonts w:ascii="Arial" w:cs="Arial" w:eastAsia="Arial" w:hAnsi="Arial"/>
          <w:sz w:val="16"/>
          <w:szCs w:val="16"/>
          <w:b w:val="1"/>
          <w:bCs w:val="1"/>
          <w:color w:val="auto"/>
        </w:rPr>
      </w:pPr>
    </w:p>
    <w:p>
      <w:pPr>
        <w:ind w:left="328" w:hanging="328"/>
        <w:spacing w:after="0" w:line="277" w:lineRule="auto"/>
        <w:tabs>
          <w:tab w:leader="none" w:pos="323"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proposed Business Combination involves numerous risks. For more information about these risks, please see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jc w:val="both"/>
        <w:ind w:left="328" w:hanging="328"/>
        <w:spacing w:after="0" w:line="255" w:lineRule="auto"/>
        <w:tabs>
          <w:tab w:leader="none" w:pos="323"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its affiliates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b w:val="1"/>
          <w:bCs w:val="1"/>
          <w:color w:val="auto"/>
        </w:rPr>
      </w:pPr>
    </w:p>
    <w:p>
      <w:pPr>
        <w:ind w:left="648" w:hanging="324"/>
        <w:spacing w:after="0"/>
        <w:tabs>
          <w:tab w:leader="none" w:pos="648"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b w:val="1"/>
          <w:bCs w:val="1"/>
          <w:color w:val="auto"/>
        </w:rPr>
      </w:pPr>
    </w:p>
    <w:p>
      <w:pPr>
        <w:ind w:left="648" w:right="20" w:hanging="324"/>
        <w:spacing w:after="0" w:line="277" w:lineRule="auto"/>
        <w:tabs>
          <w:tab w:leader="none" w:pos="643"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b w:val="1"/>
          <w:bCs w:val="1"/>
          <w:color w:val="auto"/>
        </w:rPr>
      </w:pPr>
    </w:p>
    <w:p>
      <w:pPr>
        <w:jc w:val="both"/>
        <w:ind w:left="648" w:hanging="324"/>
        <w:spacing w:after="0" w:line="255" w:lineRule="auto"/>
        <w:tabs>
          <w:tab w:leader="none" w:pos="643"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b w:val="1"/>
          <w:bCs w:val="1"/>
          <w:color w:val="auto"/>
        </w:rPr>
      </w:pPr>
    </w:p>
    <w:p>
      <w:pPr>
        <w:jc w:val="both"/>
        <w:ind w:left="648" w:hanging="324"/>
        <w:spacing w:after="0" w:line="259" w:lineRule="auto"/>
        <w:tabs>
          <w:tab w:leader="none" w:pos="6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48" w:hanging="324"/>
        <w:spacing w:after="0" w:line="277" w:lineRule="auto"/>
        <w:tabs>
          <w:tab w:leader="none" w:pos="6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48" w:hanging="324"/>
        <w:spacing w:after="0" w:line="279" w:lineRule="auto"/>
        <w:tabs>
          <w:tab w:leader="none" w:pos="643" w:val="left"/>
        </w:tabs>
        <w:numPr>
          <w:ilvl w:val="1"/>
          <w:numId w:val="15"/>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21" w:right="339" w:bottom="1440" w:gutter="0" w:footer="0" w:header="0"/>
        </w:sectPr>
      </w:pPr>
    </w:p>
    <w:bookmarkStart w:id="15" w:name="page16"/>
    <w:bookmarkEnd w:id="15"/>
    <w:p>
      <w:pPr>
        <w:jc w:val="both"/>
        <w:ind w:left="324" w:hanging="324"/>
        <w:spacing w:after="0" w:line="263" w:lineRule="auto"/>
        <w:tabs>
          <w:tab w:leader="none" w:pos="319"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976" w:top="1421" w:right="33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“we,” “us,” “our,” the “Company” and “CMLS” refer to CM Life Sciences, Inc., a Delaware corporation, and the term “post-combination company” refers to the company following the consummation of the Business Combination. In this proxy statement: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Sema4 Share Amount</w:t>
      </w:r>
      <w:r>
        <w:rPr>
          <w:rFonts w:ascii="Arial" w:cs="Arial" w:eastAsia="Arial" w:hAnsi="Arial"/>
          <w:sz w:val="18"/>
          <w:szCs w:val="18"/>
          <w:color w:val="auto"/>
        </w:rPr>
        <w:t xml:space="preserve">” shall mean the sum, without duplication, of (a) the aggregate number of shares of Sema4 Common Stock that are issued and outstanding immediately prior to the effective time, (b) the aggregate number of shares of Sema4 Common Stock that are issuable upon the exercise of Sema4 Options or vesting of Sema4 RSUs or other direct or indirect rights to acquire shares of Sema4 Common Stock that are issued and outstanding immediately prior to the effective time (and in the case of Sema4 SARs, the aggregate number of shares of Sema4 Common Stock on which the value of such Sema4 SARs is based), in each case calculated on a treasury stock basis and after giving effect to the conversion of the Class B common stock pursuant to the mandatory conversion notice under the organizational documents of Sema4, and (c) the aggregate number of shares of Sema4 Common Stock that would be issuable upon the conversion all shares of Sema4 Preferred Stock into shares of Sema4 Common Stock pursuant to the organizational documents of Sema4;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Earnout RSUs shall be disregarded for the purpose of the Aggregate Sema4 Share Amount.</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means the proposed Amended and Restated Certificate of Incorporation of the Company, a form of which is attached hereto as Annex B, which will become the post-combination company’s certificate of incorporation upon the approval of the Charter Approval Proposal, assuming the consummation of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deadline</w:t>
      </w:r>
      <w:r>
        <w:rPr>
          <w:rFonts w:ascii="Arial" w:cs="Arial" w:eastAsia="Arial" w:hAnsi="Arial"/>
          <w:sz w:val="18"/>
          <w:szCs w:val="18"/>
          <w:color w:val="auto"/>
        </w:rPr>
        <w:t>” means November 9,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Share Price</w:t>
      </w:r>
      <w:r>
        <w:rPr>
          <w:rFonts w:ascii="Arial" w:cs="Arial" w:eastAsia="Arial" w:hAnsi="Arial"/>
          <w:sz w:val="17"/>
          <w:szCs w:val="17"/>
          <w:color w:val="auto"/>
        </w:rPr>
        <w:t>” shall mean the share price equal to the VWAP of one share of Company common stock as reported on Nasdaq (or the exchange on which the shares of Company common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Company common stock), extraordinary cash dividend (which adjustment shall be subject to the reasonable mutual agreement of Company and Sema4), reorganization, recapitalization, reclassification, combination, exchange of shares or other like change or transaction with respect to Company common stock).</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or “</w:t>
      </w:r>
      <w:r>
        <w:rPr>
          <w:rFonts w:ascii="Arial" w:cs="Arial" w:eastAsia="Arial" w:hAnsi="Arial"/>
          <w:sz w:val="17"/>
          <w:szCs w:val="17"/>
          <w:i w:val="1"/>
          <w:iCs w:val="1"/>
          <w:color w:val="auto"/>
        </w:rPr>
        <w:t>Company common stock</w:t>
      </w:r>
      <w:r>
        <w:rPr>
          <w:rFonts w:ascii="Arial" w:cs="Arial" w:eastAsia="Arial" w:hAnsi="Arial"/>
          <w:sz w:val="17"/>
          <w:szCs w:val="17"/>
          <w:color w:val="auto"/>
        </w:rPr>
        <w:t>” means (i) prior to the consummation of the Business Combination, the shares of Class A common stock and Class B common stock of the Company and (ii) upon the consummation of the Business Combination and the automatic conversion of the shares of Class B common stock into shares of Class A common stock, the shares of Class A common stock of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CM Life Sciences, Inc., a Delaware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means our sixth amended and restated certificate of incorporation, dated as of July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Condition</w:t>
      </w:r>
      <w:r>
        <w:rPr>
          <w:rFonts w:ascii="Arial" w:cs="Arial" w:eastAsia="Arial" w:hAnsi="Arial"/>
          <w:sz w:val="17"/>
          <w:szCs w:val="17"/>
          <w:color w:val="auto"/>
        </w:rPr>
        <w:t>” means the condition in the Merger Agreement specifying that the Sema4 Stockholders (other than holders of Dissenting Shares) and Earn-Out Service Providers will receive the following Earn-Out shares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(iii) upon the occurrence of Triggering Event III, a one-time issuance of a number of Earn-Out Shares equal to 3.67% of the Earn-Out Total Outstanding Shares; and (iv) upon the last day of any calendar year, a one-time issuance of the Earn-Out Shares in the Forfeiture Pool as in effect as of such date that would have been issuable to Sema4 Stockholders as a result of the occurrence of a Triggering Event had they not been subject to an award of Earnout RSUs.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Total Outstanding Shares</w:t>
      </w:r>
      <w:r>
        <w:rPr>
          <w:rFonts w:ascii="Arial" w:cs="Arial" w:eastAsia="Arial" w:hAnsi="Arial"/>
          <w:sz w:val="18"/>
          <w:szCs w:val="18"/>
          <w:color w:val="auto"/>
        </w:rPr>
        <w:t>” means the aggregate number of shares of Company common stock to which holders of Sema4 Common Stock and Sema4 Preferred Stock would be entitled under Section 2.7(a)(ii) of the Merger Agreement if none made a Cash Election and the Closing Cash Payment was $0 (as each such term is defined in the Merger Agreement.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Period</w:t>
      </w:r>
      <w:r>
        <w:rPr>
          <w:rFonts w:ascii="Arial" w:cs="Arial" w:eastAsia="Arial" w:hAnsi="Arial"/>
          <w:sz w:val="17"/>
          <w:szCs w:val="17"/>
          <w:color w:val="auto"/>
        </w:rPr>
        <w:t>” shall mean the time period beginning upon the expiration of the Founder Shares Lock-Up Period (as such term is defined in and pursuant to the terms of that certain Letter Agreement, dated September 1, 2020, entered into by and among the Company, Sponsor and certain of the Company’s current and former officers and directors) and ending on the 2-year anniversary of the Closing Date (as defined herein).</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Earn-Out Service Provider</w:t>
      </w:r>
      <w:r>
        <w:rPr>
          <w:rFonts w:ascii="Arial" w:cs="Arial" w:eastAsia="Arial" w:hAnsi="Arial"/>
          <w:sz w:val="16"/>
          <w:szCs w:val="16"/>
          <w:color w:val="auto"/>
        </w:rPr>
        <w:t>” shall mean each (a) holder of a Company Option, Company RSU, Company SAR, other than any holder of a Company Option, Company RSU or Company SAR who is not employed by or providing services to the Company as of the Effective Time (as defined herein), and</w:t>
      </w:r>
    </w:p>
    <w:p>
      <w:pPr>
        <w:ind w:firstLine="8"/>
        <w:spacing w:after="0" w:line="260" w:lineRule="auto"/>
        <w:tabs>
          <w:tab w:leader="none" w:pos="2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other employee or individual service provider of the Company, in each case whom the board of directors of the Company designates as an Earn-Out Service Provider prior to the Closing and who enters into an Earn-Out Award Agreement.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Company Class A common stock that the Company shall issue or cause to be issued to the Sema4 Stockholders (other than holders of Dissenting Shares) and the Earn-Out Service Providers,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Forfeiture Agreement</w:t>
      </w:r>
      <w:r>
        <w:rPr>
          <w:rFonts w:ascii="Arial" w:cs="Arial" w:eastAsia="Arial" w:hAnsi="Arial"/>
          <w:sz w:val="17"/>
          <w:szCs w:val="17"/>
          <w:color w:val="auto"/>
        </w:rPr>
        <w:t>” means that certain Sponsor Forfeiture Agreement entered into on February 9, 2021, between the Company and Sponsor, pursuant to which the Sponsor has agreed to forfeit certain shares of private placement warrants and Founder Shares, as applicable.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Class B common stock that are currently owned by our Initial Stockholders, of which 10,993,750 shares are held by our Sponsor, 25,000 shares are held by Mr. Islam, 25,000 shares are held by Dr. Leproust and 25,000 shares are held by Mr. Turner, which shares of Class B common stock will automatically convert into Class A common stock in connection with the consummation of the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our Sponsor together with Mr. Islam, Dr. Leproust and Mr. Turner.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Proposal No. 1 — 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Sema4’s Business</w:t>
      </w:r>
      <w:r>
        <w:rPr>
          <w:rFonts w:ascii="Arial" w:cs="Arial" w:eastAsia="Arial" w:hAnsi="Arial"/>
          <w:sz w:val="17"/>
          <w:szCs w:val="17"/>
          <w:color w:val="auto"/>
        </w:rPr>
        <w:t>”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regarding Sema4 and its products and services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Sema4’s belief in its competitive advantages in data, analytics and patient and provider engagement, in particular with respect to Sema4’s diagnostic solutions and genomic platform. Sema4 bases its beliefs regarding these matters, including its estimates of its market share in its sector, on its collective institutional knowledge and expertise regarding its industries, markets and technology, which are based on, among other things, publicly available information, reports of government agencies, RFPs and the results of contract bids and awards, and industry research firms, as well as Sema4’s internal research, calculations and assumptions based on its analysis of such information and data. Sema4 believes these assertions to be reasonable and accurate as of the date of this proxy statement.</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dated as of February 9, 2021, by and among the Company, Merger Sub and Sema4 as amended by the Amendment to Agreement and Plan of Merger dated May 3,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Merger Sub with and into Sema4, with Sema4 continuing as the surviving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 LLC.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Amount</w:t>
      </w:r>
      <w:r>
        <w:rPr>
          <w:rFonts w:ascii="Arial" w:cs="Arial" w:eastAsia="Arial" w:hAnsi="Arial"/>
          <w:sz w:val="18"/>
          <w:szCs w:val="18"/>
          <w:color w:val="auto"/>
        </w:rPr>
        <w:t>” shall mean the quotient, rounded to the nearest one-tenth of a cent, obtained by dividing (a) the $2,000,000,000.00 by (b) the Aggregate Sema4 Share Amount.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35,000,000 shares of common stock at $10.00 per share, for an aggregate purchase price of $350,000,000.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will invest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common stock to be issued in the PIPE Investment.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our Sponsor that were issued to our Sponsor in connection with our IPO, each of which is exercisable for three-quarters of one share of common stock, in accordance with its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 including our Initial Stockholders to the extent our Initial Stockholders hold public shares; provided, that our Initial Stockholders are considered a “public stockholder” only with respect to any public shares held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units</w:t>
      </w:r>
      <w:r>
        <w:rPr>
          <w:rFonts w:ascii="Arial" w:cs="Arial" w:eastAsia="Arial" w:hAnsi="Arial"/>
          <w:sz w:val="18"/>
          <w:szCs w:val="18"/>
          <w:color w:val="auto"/>
        </w:rPr>
        <w:t>” means the units sold in our IPO, consisting of one share of common stock and one public warrant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public units issued in our IPO, each of which is exercisable for three-quarters of one share of common stock, in accordance with its terms.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Agreements</w:t>
      </w:r>
      <w:r>
        <w:rPr>
          <w:rFonts w:ascii="Arial" w:cs="Arial" w:eastAsia="Arial" w:hAnsi="Arial"/>
          <w:sz w:val="17"/>
          <w:szCs w:val="17"/>
          <w:color w:val="auto"/>
        </w:rPr>
        <w:t>” means, collectively, the Amended and Restated Registration Rights Agreement, the Sponsor Support Agreement, the Forfeiture Agreement, the Stockholder Lock-up Letter, the ISMMS Lock-Up Agreement, the Inside Letter, and the Subscription Agreements.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in accordance with the terms of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SAR Exchange Ratio</w:t>
      </w:r>
      <w:r>
        <w:rPr>
          <w:rFonts w:ascii="Arial" w:cs="Arial" w:eastAsia="Arial" w:hAnsi="Arial"/>
          <w:sz w:val="17"/>
          <w:szCs w:val="17"/>
          <w:color w:val="auto"/>
        </w:rPr>
        <w:t>” shall mean the quotient, rounded to the nearest one ten-thousandth, of (i) the Per Share Amount divided by (ii) $10.00.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capital stock</w:t>
      </w:r>
      <w:r>
        <w:rPr>
          <w:rFonts w:ascii="Arial" w:cs="Arial" w:eastAsia="Arial" w:hAnsi="Arial"/>
          <w:sz w:val="17"/>
          <w:szCs w:val="17"/>
          <w:color w:val="auto"/>
        </w:rPr>
        <w:t>” means Sema4 Class A common stock, par value $0.00001 per share, Class B common stock, par value $0.00001 per share, Series A-1 preferred stock, par value $0.00001 per share, series A-2 preferred stock, $0.00001 per share, series B preferred stock, $0.00001 per share, and series C preferred stock, $0.00001 per share in each case, that is issued and outstanding immediately prior to the Closing.</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organizational documents of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each holder of Sema4 capital stock or a vested equity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Incentive Plan</w:t>
      </w:r>
      <w:r>
        <w:rPr>
          <w:rFonts w:ascii="Arial" w:cs="Arial" w:eastAsia="Arial" w:hAnsi="Arial"/>
          <w:sz w:val="18"/>
          <w:szCs w:val="18"/>
          <w:color w:val="auto"/>
        </w:rPr>
        <w:t>” means the Sema4 2017 Stock Incentive Plan, as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Sema4 Option</w:t>
      </w:r>
      <w:r>
        <w:rPr>
          <w:rFonts w:ascii="Arial" w:cs="Arial" w:eastAsia="Arial" w:hAnsi="Arial"/>
          <w:sz w:val="16"/>
          <w:szCs w:val="16"/>
          <w:color w:val="auto"/>
        </w:rPr>
        <w:t>” shall mean an option to purchase shares of Class A common stock or Class B common stock granted under the Sema4 Incentive Plan.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Preferred Stock</w:t>
      </w:r>
      <w:r>
        <w:rPr>
          <w:rFonts w:ascii="Arial" w:cs="Arial" w:eastAsia="Arial" w:hAnsi="Arial"/>
          <w:sz w:val="18"/>
          <w:szCs w:val="18"/>
          <w:color w:val="auto"/>
        </w:rPr>
        <w:t>” means Sema4’s Series A-1 Preferred Stock, par value $0.00001; Series A-2 Preferred Stock, par value $0.00001; Series B Preferred Stock, par value $0.00001; and Series C Preferred Stock, par value $0.00001.</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RSU</w:t>
      </w:r>
      <w:r>
        <w:rPr>
          <w:rFonts w:ascii="Arial" w:cs="Arial" w:eastAsia="Arial" w:hAnsi="Arial"/>
          <w:sz w:val="18"/>
          <w:szCs w:val="18"/>
          <w:color w:val="auto"/>
        </w:rPr>
        <w:t>” shall mean a restricted stock unit representing the opportunity to acquire shares of Class B common stock granted under the Sema4 Incentive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SAR</w:t>
      </w:r>
      <w:r>
        <w:rPr>
          <w:rFonts w:ascii="Arial" w:cs="Arial" w:eastAsia="Arial" w:hAnsi="Arial"/>
          <w:sz w:val="17"/>
          <w:szCs w:val="17"/>
          <w:color w:val="auto"/>
        </w:rPr>
        <w:t>” shall mean a stock appreciation right with respect to shares of Sema4 Common Stock granted under the Sema4 Incentive Plan.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that is the subject of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common stock to be issued to the Sema4 equity holders pursuant to the transactions contemplated by the Merger Agreement, including any Earn-Out Shares issuable pursuant to Article III thereof.</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certain investors, including our Sponsor, pursuant to which such investors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agreed to purchase an aggregate of 35,000,000 shares of common stock in the PIPE Investment, and substantially in the form attached hereto as Annex C.</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w:t>
      </w:r>
      <w:r>
        <w:rPr>
          <w:rFonts w:ascii="Arial" w:cs="Arial" w:eastAsia="Arial" w:hAnsi="Arial"/>
          <w:sz w:val="18"/>
          <w:szCs w:val="18"/>
          <w:color w:val="auto"/>
        </w:rPr>
        <w:t>” shall occur if, within the Earn-Out Period, the Common Share Price is greater than or equal to $13.00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w:t>
      </w:r>
      <w:r>
        <w:rPr>
          <w:rFonts w:ascii="Arial" w:cs="Arial" w:eastAsia="Arial" w:hAnsi="Arial"/>
          <w:sz w:val="18"/>
          <w:szCs w:val="18"/>
          <w:color w:val="auto"/>
        </w:rPr>
        <w:t>” shall occur if, within the Earn-Out Period, the Common Share Price is greater than or equal to $15.00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III</w:t>
      </w:r>
      <w:r>
        <w:rPr>
          <w:rFonts w:ascii="Arial" w:cs="Arial" w:eastAsia="Arial" w:hAnsi="Arial"/>
          <w:sz w:val="18"/>
          <w:szCs w:val="18"/>
          <w:color w:val="auto"/>
        </w:rPr>
        <w:t>” shall occur if, within the Earn-Out Period, the Common Share Price is greater than or equal to $18.00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holds the proceeds from the Company’s IPO and a portion of the proceeds from the sale of the private placement warrants.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VWAP</w:t>
      </w:r>
      <w:r>
        <w:rPr>
          <w:rFonts w:ascii="Arial" w:cs="Arial" w:eastAsia="Arial" w:hAnsi="Arial"/>
          <w:sz w:val="16"/>
          <w:szCs w:val="16"/>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Withum</w:t>
      </w:r>
      <w:r>
        <w:rPr>
          <w:rFonts w:ascii="Arial" w:cs="Arial" w:eastAsia="Arial" w:hAnsi="Arial"/>
          <w:sz w:val="18"/>
          <w:szCs w:val="18"/>
          <w:color w:val="auto"/>
        </w:rPr>
        <w:t>” means WithumSmith+Brown, PC,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21" w:name="page22"/>
    <w:bookmarkEnd w:id="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carefully read this entire proxy statement, including the Annexes and the other documents referred to herein, to fully understand the proposed Business Combination and the voting procedures for the Special Meeting, which will be held on July 21, 2021 at 10:00 a.m. Eastern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jc w:val="both"/>
        <w:ind w:left="340" w:hanging="8"/>
        <w:spacing w:after="0" w:line="272" w:lineRule="auto"/>
        <w:tabs>
          <w:tab w:leader="none" w:pos="5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stockholders are being asked to consider and vote upon a proposal to adopt the Merger Agreement and approve the transactions contemplated thereby, including the Business Combination, among other proposals. We have entered into the Merger Agreement, pursuant to which the Company’s wholly owned subsidiary will merge with and into Sema4, with Sema4 surviving the merger as a wholly owned subsidiary of the Company. Subject to the terms of the Merger Agreement, at the effective time of the Business Combination, each share of Sema4 capital stock issued and outstanding immediately prior to the effective time of the Business Combination (other than shares owned by Sema4 as treasury stock or dissenting shares) will be cancelled and automatically deemed for all purposes to represent the right to receive a portion of the merger consideration set forth in the Merger Agreement. A copy of the Merger Agreement is attached to this proxy statement as Annex A.</w:t>
      </w:r>
    </w:p>
    <w:p>
      <w:pPr>
        <w:spacing w:after="0" w:line="12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This proxy statement and its Annexes contain important information about the proposed Business Combination and the other matters to be acted upon at the Special Meeting. You should read this proxy statement and its Annexes carefully and in their entirety.</w:t>
      </w:r>
    </w:p>
    <w:p>
      <w:pPr>
        <w:spacing w:after="0" w:line="116" w:lineRule="exact"/>
        <w:rPr>
          <w:sz w:val="20"/>
          <w:szCs w:val="20"/>
          <w:color w:val="auto"/>
        </w:rPr>
      </w:pPr>
    </w:p>
    <w:p>
      <w:pPr>
        <w:ind w:left="340" w:right="240"/>
        <w:spacing w:after="0" w:line="438" w:lineRule="auto"/>
        <w:rPr>
          <w:sz w:val="20"/>
          <w:szCs w:val="20"/>
          <w:color w:val="auto"/>
        </w:rPr>
      </w:pPr>
      <w:r>
        <w:rPr>
          <w:rFonts w:ascii="Arial" w:cs="Arial" w:eastAsia="Arial" w:hAnsi="Arial"/>
          <w:sz w:val="18"/>
          <w:szCs w:val="18"/>
          <w:u w:val="single" w:color="auto"/>
          <w:color w:val="auto"/>
        </w:rPr>
        <w:t xml:space="preserve">Your vote is important. You are encouraged to submit your proxy as soon as possible after carefully reviewing this proxy statement and its Annexes. </w:t>
      </w:r>
      <w:r>
        <w:rPr>
          <w:rFonts w:ascii="Arial" w:cs="Arial" w:eastAsia="Arial" w:hAnsi="Arial"/>
          <w:sz w:val="18"/>
          <w:szCs w:val="18"/>
          <w:b w:val="1"/>
          <w:bCs w:val="1"/>
          <w:color w:val="auto"/>
        </w:rPr>
        <w:t>Q: When is the Special Meeting?</w:t>
      </w:r>
    </w:p>
    <w:p>
      <w:pPr>
        <w:spacing w:after="0" w:line="1" w:lineRule="exact"/>
        <w:rPr>
          <w:sz w:val="20"/>
          <w:szCs w:val="20"/>
          <w:color w:val="auto"/>
        </w:rPr>
      </w:pPr>
    </w:p>
    <w:p>
      <w:pPr>
        <w:ind w:left="560" w:hanging="228"/>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Special Meeting will be held on July 21, 2021 at 10:00 a.m. Eastern time. In light of ongoing developments related to coronavirus (COVID-</w:t>
      </w:r>
    </w:p>
    <w:p>
      <w:pPr>
        <w:spacing w:after="0" w:line="46" w:lineRule="exact"/>
        <w:rPr>
          <w:rFonts w:ascii="Arial" w:cs="Arial" w:eastAsia="Arial" w:hAnsi="Arial"/>
          <w:sz w:val="16"/>
          <w:szCs w:val="16"/>
          <w:color w:val="auto"/>
        </w:rPr>
      </w:pPr>
    </w:p>
    <w:p>
      <w:pPr>
        <w:jc w:val="both"/>
        <w:ind w:left="3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 Because the special meeting is completely virtual and being conducted via live webcast, stockholders will not be able to attend the meeting in person.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pacing w:after="0" w:line="175" w:lineRule="exact"/>
        <w:rPr>
          <w:sz w:val="20"/>
          <w:szCs w:val="20"/>
          <w:color w:val="auto"/>
        </w:rPr>
      </w:pPr>
    </w:p>
    <w:p>
      <w:pPr>
        <w:ind w:left="340" w:right="20"/>
        <w:spacing w:after="0" w:line="291" w:lineRule="auto"/>
        <w:rPr>
          <w:sz w:val="20"/>
          <w:szCs w:val="20"/>
          <w:color w:val="auto"/>
        </w:rPr>
      </w:pPr>
      <w:r>
        <w:rPr>
          <w:rFonts w:ascii="Arial" w:cs="Arial" w:eastAsia="Arial" w:hAnsi="Arial"/>
          <w:sz w:val="17"/>
          <w:szCs w:val="17"/>
          <w:color w:val="auto"/>
        </w:rPr>
        <w:t>Any stockholder wishing to attend the virtual meeting should register for the meeting by no later than 5:00 p.m. Eastern time on July 19, 2021. To register for the Special Meeting, please follow these instructions as applicable to the nature of your ownership of our common stock:</w:t>
      </w:r>
    </w:p>
    <w:p>
      <w:pPr>
        <w:spacing w:after="0" w:line="93" w:lineRule="exact"/>
        <w:rPr>
          <w:sz w:val="20"/>
          <w:szCs w:val="20"/>
          <w:color w:val="auto"/>
        </w:rPr>
      </w:pPr>
    </w:p>
    <w:p>
      <w:pPr>
        <w:jc w:val="both"/>
        <w:ind w:left="660" w:hanging="328"/>
        <w:spacing w:after="0" w:line="279"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2" w:name="page23"/>
    <w:bookmarkEnd w:id="22"/>
    <w:p>
      <w:pPr>
        <w:jc w:val="both"/>
        <w:ind w:left="328" w:hanging="328"/>
        <w:spacing w:after="0" w:line="272"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being asked to consider and vote on proposals to:</w:t>
      </w:r>
    </w:p>
    <w:p>
      <w:pPr>
        <w:spacing w:after="0" w:line="167" w:lineRule="exact"/>
        <w:rPr>
          <w:rFonts w:ascii="Arial" w:cs="Arial" w:eastAsia="Arial" w:hAnsi="Arial"/>
          <w:sz w:val="18"/>
          <w:szCs w:val="18"/>
          <w:color w:val="auto"/>
        </w:rPr>
      </w:pPr>
    </w:p>
    <w:p>
      <w:pPr>
        <w:jc w:val="both"/>
        <w:ind w:left="568" w:hanging="325"/>
        <w:spacing w:after="0" w:line="261"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Sema4 equity holders as merger consideration;</w:t>
      </w:r>
    </w:p>
    <w:p>
      <w:pPr>
        <w:spacing w:after="0" w:line="125" w:lineRule="exact"/>
        <w:rPr>
          <w:rFonts w:ascii="Arial" w:cs="Arial" w:eastAsia="Arial" w:hAnsi="Arial"/>
          <w:sz w:val="18"/>
          <w:szCs w:val="18"/>
          <w:color w:val="auto"/>
        </w:rPr>
      </w:pPr>
    </w:p>
    <w:p>
      <w:pPr>
        <w:jc w:val="both"/>
        <w:ind w:left="568" w:hanging="325"/>
        <w:spacing w:after="0" w:line="266"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Nasdaq,</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more than 20% of the Company’s outstanding common stock in connection with the Business Combination and the Subscription Agreements, including up to 35,000,000 shares of our common stock to the PIPE;</w:t>
      </w:r>
    </w:p>
    <w:p>
      <w:pPr>
        <w:spacing w:after="0" w:line="121"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Proposal No. 4 — Governance Proposal</w:t>
      </w:r>
      <w:r>
        <w:rPr>
          <w:rFonts w:ascii="Arial" w:cs="Arial" w:eastAsia="Arial" w:hAnsi="Arial"/>
          <w:sz w:val="18"/>
          <w:szCs w:val="18"/>
          <w:color w:val="auto"/>
        </w:rPr>
        <w:t>— To approve, on a non-binding advisory basis, a separate proposal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568" w:hanging="325"/>
        <w:spacing w:after="0"/>
        <w:tabs>
          <w:tab w:leader="none" w:pos="568"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6 — ESPP Proposal </w:t>
      </w:r>
      <w:r>
        <w:rPr>
          <w:rFonts w:ascii="Arial" w:cs="Arial" w:eastAsia="Arial" w:hAnsi="Arial"/>
          <w:sz w:val="17"/>
          <w:szCs w:val="17"/>
          <w:color w:val="auto"/>
        </w:rPr>
        <w:t>— To approve the ESPP, including the authorization of the initial share reserve under the ESPP;</w:t>
      </w:r>
    </w:p>
    <w:p>
      <w:pPr>
        <w:spacing w:after="0" w:line="182" w:lineRule="exact"/>
        <w:rPr>
          <w:rFonts w:ascii="Arial" w:cs="Arial" w:eastAsia="Arial" w:hAnsi="Arial"/>
          <w:sz w:val="17"/>
          <w:szCs w:val="17"/>
          <w:color w:val="auto"/>
        </w:rPr>
      </w:pPr>
    </w:p>
    <w:p>
      <w:pPr>
        <w:ind w:left="568" w:hanging="325"/>
        <w:spacing w:after="0"/>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the Director Election Proposal; and</w:t>
      </w:r>
    </w:p>
    <w:p>
      <w:pPr>
        <w:spacing w:after="0" w:line="171" w:lineRule="exact"/>
        <w:rPr>
          <w:rFonts w:ascii="Arial" w:cs="Arial" w:eastAsia="Arial" w:hAnsi="Arial"/>
          <w:sz w:val="18"/>
          <w:szCs w:val="18"/>
          <w:color w:val="auto"/>
        </w:rPr>
      </w:pPr>
    </w:p>
    <w:p>
      <w:pPr>
        <w:jc w:val="both"/>
        <w:ind w:left="568" w:hanging="325"/>
        <w:spacing w:after="0" w:line="298" w:lineRule="auto"/>
        <w:tabs>
          <w:tab w:leader="none" w:pos="568"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568" w:right="20" w:hanging="325"/>
        <w:spacing w:after="0" w:line="282" w:lineRule="auto"/>
        <w:tabs>
          <w:tab w:leader="none" w:pos="568"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 </w:t>
      </w:r>
      <w:r>
        <w:rPr>
          <w:rFonts w:ascii="Arial" w:cs="Arial" w:eastAsia="Arial" w:hAnsi="Arial"/>
          <w:sz w:val="18"/>
          <w:szCs w:val="18"/>
          <w:color w:val="auto"/>
        </w:rPr>
        <w:t>The ratification of Withum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2020.</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Are the proposals conditioned on one another?</w:t>
      </w:r>
    </w:p>
    <w:p>
      <w:pPr>
        <w:spacing w:after="0" w:line="175" w:lineRule="exact"/>
        <w:rPr>
          <w:sz w:val="20"/>
          <w:szCs w:val="20"/>
          <w:color w:val="auto"/>
        </w:rPr>
      </w:pPr>
    </w:p>
    <w:p>
      <w:pPr>
        <w:ind w:left="8" w:hanging="8"/>
        <w:spacing w:after="0" w:line="277" w:lineRule="auto"/>
        <w:tabs>
          <w:tab w:leader="none" w:pos="2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Under the Business Combination Agreement, the approval of the condition precedent proposals presented at the Special Meeting is a condition to the consummation of the Business Combination.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21" w:right="339" w:bottom="1440" w:gutter="0" w:footer="0" w:header="0"/>
        </w:sectPr>
      </w:pPr>
    </w:p>
    <w:bookmarkStart w:id="23" w:name="page24"/>
    <w:bookmarkEnd w:id="23"/>
    <w:p>
      <w:pPr>
        <w:jc w:val="both"/>
        <w:ind w:left="8"/>
        <w:spacing w:after="0" w:line="271" w:lineRule="auto"/>
        <w:rPr>
          <w:sz w:val="20"/>
          <w:szCs w:val="20"/>
          <w:color w:val="auto"/>
        </w:rPr>
      </w:pPr>
      <w:r>
        <w:rPr>
          <w:rFonts w:ascii="Arial" w:cs="Arial" w:eastAsia="Arial" w:hAnsi="Arial"/>
          <w:sz w:val="17"/>
          <w:szCs w:val="17"/>
          <w:color w:val="auto"/>
        </w:rPr>
        <w:t>of each condition precedent proposal in this proxy statement (other than the Governance Proposal, the Auditor Ratification Proposal and the Adjournment Proposal) is conditioned on the approval of all of the condition precedent proposals. The election of the directors to a one-year term in the Director Election Proposal is conditioned on the approval of the condition precedent proposals, including the Charter Approval Proposal. If our stockholders do not approve of each of the condition precedent proposals, the Business Combination may not be consummated. Therefore, approval of the Nasdaq Stock Issuance Proposal, the Charter Approval Proposal, the Incentive Plan Proposal and the ESPP Proposal are conditioned upon stockholders’ approval of the Business Combination Proposal. Moreover, the transactions contemplated by the Merger Agreement will be consummated only if the Business Combination Proposal, the Nasdaq Stock Issuance Proposal, the Charter Approval Proposal, the Incentive Plan Proposal and ESPP Proposal are approved at the Special Meeting.</w:t>
      </w:r>
    </w:p>
    <w:p>
      <w:pPr>
        <w:spacing w:after="0" w:line="124"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providing stockholders with the opportunity to vote on the Business Combination?</w:t>
      </w:r>
    </w:p>
    <w:p>
      <w:pPr>
        <w:spacing w:after="0" w:line="175" w:lineRule="exact"/>
        <w:rPr>
          <w:sz w:val="20"/>
          <w:szCs w:val="20"/>
          <w:color w:val="auto"/>
        </w:rPr>
      </w:pPr>
    </w:p>
    <w:p>
      <w:pPr>
        <w:jc w:val="both"/>
        <w:ind w:left="8" w:hanging="8"/>
        <w:spacing w:after="0" w:line="272" w:lineRule="auto"/>
        <w:tabs>
          <w:tab w:leader="none" w:pos="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 our current certificate of incorporation,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The adoption of the Merger Agreement is required under Delaware law and the approval of the Business Combination is required under our current certificate of incorporation. In addition, such approval is also a condition to the Closing under the Merger Agreement.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in the Business Combination?</w:t>
      </w:r>
    </w:p>
    <w:p>
      <w:pPr>
        <w:spacing w:after="0" w:line="175" w:lineRule="exact"/>
        <w:rPr>
          <w:sz w:val="20"/>
          <w:szCs w:val="20"/>
          <w:color w:val="auto"/>
        </w:rPr>
      </w:pPr>
    </w:p>
    <w:p>
      <w:pPr>
        <w:ind w:left="8" w:right="20" w:hanging="8"/>
        <w:spacing w:after="0" w:line="308"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the Merger Agreement, Sema4 will become a wholly-owned subsidiary of the Company as a result of the Company’s wholly owned subsidiary, Merger Sub merger with and into Sema4, with Sema4 surviving the merger as a wholly owned subsidiary of the Company.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Following the Business Combination, will the Company’s securities continue to trade on a stock exchange?</w:t>
      </w:r>
    </w:p>
    <w:p>
      <w:pPr>
        <w:spacing w:after="0" w:line="175" w:lineRule="exact"/>
        <w:rPr>
          <w:sz w:val="20"/>
          <w:szCs w:val="20"/>
          <w:color w:val="auto"/>
        </w:rPr>
      </w:pPr>
    </w:p>
    <w:p>
      <w:pPr>
        <w:jc w:val="both"/>
        <w:ind w:left="8" w:right="20" w:hanging="8"/>
        <w:spacing w:after="0" w:line="263" w:lineRule="auto"/>
        <w:tabs>
          <w:tab w:leader="none" w:pos="2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Yes. We intend to apply to list the post-combination company’s common stock and warrants on Nasdaq under the symbol “SMFR” and “SMFRW,” respectively, upon the Closing. Our units will automatically separate into the component securities upon consummation of the Business Combination and, as a result, will no longer trade as a separate security.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has the announcement of the Business Combination affected the trading price of the Company’s common stock?</w:t>
      </w:r>
    </w:p>
    <w:p>
      <w:pPr>
        <w:spacing w:after="0" w:line="175" w:lineRule="exact"/>
        <w:rPr>
          <w:sz w:val="20"/>
          <w:szCs w:val="20"/>
          <w:color w:val="auto"/>
        </w:rPr>
      </w:pPr>
    </w:p>
    <w:p>
      <w:pPr>
        <w:jc w:val="both"/>
        <w:ind w:left="8" w:hanging="8"/>
        <w:spacing w:after="0" w:line="26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July 1, 2021, the trading date immediately prior to the date of this proxy statement, the Company’s units, common stock and warrants closed at $15.41, $13.99 and $4.73,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21" w:right="339" w:bottom="1440" w:gutter="0" w:footer="0" w:header="0"/>
        </w:sectPr>
      </w:pPr>
    </w:p>
    <w:bookmarkStart w:id="24" w:name="page25"/>
    <w:bookmarkEnd w:id="24"/>
    <w:p>
      <w:pPr>
        <w:ind w:left="8"/>
        <w:spacing w:after="0"/>
        <w:rPr>
          <w:sz w:val="20"/>
          <w:szCs w:val="20"/>
          <w:color w:val="auto"/>
        </w:rPr>
      </w:pPr>
      <w:r>
        <w:rPr>
          <w:rFonts w:ascii="Arial" w:cs="Arial" w:eastAsia="Arial" w:hAnsi="Arial"/>
          <w:sz w:val="18"/>
          <w:szCs w:val="18"/>
          <w:b w:val="1"/>
          <w:bCs w:val="1"/>
          <w:color w:val="auto"/>
        </w:rPr>
        <w:t>Q: How will the Business Combination impact the shares of the Company outstanding after the Business Combination?</w:t>
      </w:r>
    </w:p>
    <w:p>
      <w:pPr>
        <w:spacing w:after="0" w:line="175" w:lineRule="exact"/>
        <w:rPr>
          <w:sz w:val="20"/>
          <w:szCs w:val="20"/>
          <w:color w:val="auto"/>
        </w:rPr>
      </w:pPr>
    </w:p>
    <w:p>
      <w:pPr>
        <w:jc w:val="both"/>
        <w:ind w:left="8" w:hanging="8"/>
        <w:spacing w:after="0" w:line="293" w:lineRule="auto"/>
        <w:tabs>
          <w:tab w:leader="none" w:pos="2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After the Business Combination and the consummation of the transactions contemplated thereby, including the PIPE Investment, the amount of common stock issued and outstanding will increase to approximately 238,266,485 shares of common stock (excluding warrants and assuming that no shares of common stock are redeemed). Additional shares of common stock may be issuable in the future as a result of the issuance of additional shares that are not currently outstanding, including the issuance of shares of common stock upon exercise or settlement of the public warrants, private placement warrants, options and RSUs issued in connection with the Business Combination after the Business Combination. The issuance and sale of such shares in the public market could adversely impact the market price of our common stock, even if our business is doing well.</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 Business Combination the first step in a “going private” transaction?</w:t>
      </w:r>
    </w:p>
    <w:p>
      <w:pPr>
        <w:spacing w:after="0" w:line="175" w:lineRule="exact"/>
        <w:rPr>
          <w:sz w:val="20"/>
          <w:szCs w:val="20"/>
          <w:color w:val="auto"/>
        </w:rPr>
      </w:pPr>
    </w:p>
    <w:p>
      <w:pPr>
        <w:ind w:left="8" w:hanging="8"/>
        <w:spacing w:after="0" w:line="277" w:lineRule="auto"/>
        <w:tabs>
          <w:tab w:leader="none" w:pos="2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The Company does not intend for the Business Combination to be the first step in a “going private” transaction. One of the primary purposes of the Business Combination is to provide a platform for Sema4 to access the U.S. public markets.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the management of Sema4 change in the Business Combination?</w:t>
      </w:r>
    </w:p>
    <w:p>
      <w:pPr>
        <w:spacing w:after="0" w:line="175" w:lineRule="exact"/>
        <w:rPr>
          <w:sz w:val="20"/>
          <w:szCs w:val="20"/>
          <w:color w:val="auto"/>
        </w:rPr>
      </w:pPr>
    </w:p>
    <w:p>
      <w:pPr>
        <w:jc w:val="both"/>
        <w:ind w:left="8" w:hanging="8"/>
        <w:spacing w:after="0" w:line="275" w:lineRule="auto"/>
        <w:tabs>
          <w:tab w:leader="none" w:pos="2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Sema4 will remain with the post-combination company. The current directors of the Company will resign at the time of the Business Combination, other than Nat Turner, Emily Leproust and Eli Casdin, who have been nominated by the CMLS to serve as directors of the post-combination company upon completion of the Business Combination. The remaining director nominees will be designated by the Company in accordance with the terms of the Merger Agreement. Please see the sections entitled “</w:t>
      </w:r>
      <w:r>
        <w:rPr>
          <w:rFonts w:ascii="Arial" w:cs="Arial" w:eastAsia="Arial" w:hAnsi="Arial"/>
          <w:sz w:val="17"/>
          <w:szCs w:val="17"/>
          <w:i w:val="1"/>
          <w:iCs w:val="1"/>
          <w:color w:val="auto"/>
        </w:rPr>
        <w:t>Management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and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8" w:hanging="8"/>
        <w:spacing w:after="0" w:line="282" w:lineRule="auto"/>
        <w:tabs>
          <w:tab w:leader="none" w:pos="26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the Company, PIPE Investors and the Sema4 equity holders hold in the post-combination company after the Closing?</w:t>
      </w:r>
    </w:p>
    <w:p>
      <w:pPr>
        <w:spacing w:after="0" w:line="112" w:lineRule="exact"/>
        <w:rPr>
          <w:sz w:val="20"/>
          <w:szCs w:val="20"/>
          <w:color w:val="auto"/>
        </w:rPr>
      </w:pPr>
    </w:p>
    <w:p>
      <w:pPr>
        <w:jc w:val="both"/>
        <w:ind w:left="8" w:hanging="8"/>
        <w:spacing w:after="0" w:line="270" w:lineRule="auto"/>
        <w:tabs>
          <w:tab w:leader="none" w:pos="2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8"/>
        <w:spacing w:after="0" w:line="291" w:lineRule="auto"/>
        <w:rPr>
          <w:sz w:val="20"/>
          <w:szCs w:val="20"/>
          <w:color w:val="auto"/>
        </w:rPr>
      </w:pPr>
      <w:r>
        <w:rPr>
          <w:rFonts w:ascii="Arial" w:cs="Arial" w:eastAsia="Arial" w:hAnsi="Arial"/>
          <w:sz w:val="16"/>
          <w:szCs w:val="16"/>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and (iii) the issuance of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6"/>
          <w:szCs w:val="16"/>
          <w:i w:val="1"/>
          <w:iCs w:val="1"/>
          <w:color w:val="auto"/>
        </w:rPr>
        <w:t>Summary of the Proxy Statement — Impact of the Business Combination on the Company’s Public Float</w:t>
      </w:r>
      <w:r>
        <w:rPr>
          <w:rFonts w:ascii="Arial" w:cs="Arial" w:eastAsia="Arial" w:hAnsi="Arial"/>
          <w:sz w:val="16"/>
          <w:szCs w:val="16"/>
          <w:color w:val="auto"/>
        </w:rPr>
        <w:t>,” “</w:t>
      </w:r>
      <w:r>
        <w:rPr>
          <w:rFonts w:ascii="Arial" w:cs="Arial" w:eastAsia="Arial" w:hAnsi="Arial"/>
          <w:sz w:val="16"/>
          <w:szCs w:val="16"/>
          <w:i w:val="1"/>
          <w:iCs w:val="1"/>
          <w:color w:val="auto"/>
        </w:rPr>
        <w:t>Unaudited Pro Forma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Proposal No. 5 — Approval of the Incentive Plan” and “Proposal No. 6 — Approval of the ESPP</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17" w:right="339" w:bottom="1440" w:gutter="0" w:footer="0" w:header="0"/>
        </w:sectPr>
      </w:pPr>
    </w:p>
    <w:bookmarkStart w:id="25" w:name="page26"/>
    <w:bookmarkEnd w:id="25"/>
    <w:p>
      <w:pPr>
        <w:ind w:left="8"/>
        <w:spacing w:after="0"/>
        <w:rPr>
          <w:sz w:val="20"/>
          <w:szCs w:val="20"/>
          <w:color w:val="auto"/>
        </w:rPr>
      </w:pPr>
      <w:r>
        <w:rPr>
          <w:rFonts w:ascii="Arial" w:cs="Arial" w:eastAsia="Arial" w:hAnsi="Arial"/>
          <w:sz w:val="18"/>
          <w:szCs w:val="18"/>
          <w:b w:val="1"/>
          <w:bCs w:val="1"/>
          <w:color w:val="auto"/>
        </w:rPr>
        <w:t>Q: Will the Company obtain new financing in connection with the Business Combination?</w:t>
      </w:r>
    </w:p>
    <w:p>
      <w:pPr>
        <w:spacing w:after="0" w:line="175" w:lineRule="exact"/>
        <w:rPr>
          <w:sz w:val="20"/>
          <w:szCs w:val="20"/>
          <w:color w:val="auto"/>
        </w:rPr>
      </w:pPr>
    </w:p>
    <w:p>
      <w:pPr>
        <w:jc w:val="both"/>
        <w:ind w:left="8" w:hanging="8"/>
        <w:spacing w:after="0" w:line="301" w:lineRule="auto"/>
        <w:tabs>
          <w:tab w:leader="none" w:pos="2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Yes. The PIPE Investors have agreed to purchase 35,000,000 shares of common stock in the aggregate, for $350,000,000 of gross proceeds, pursuant to the Subscription Agreements. The Subscription Agreements are contingent upon, among other things, stockholder approval of the Business Combination Proposal and the Closing. See “</w:t>
      </w:r>
      <w:r>
        <w:rPr>
          <w:rFonts w:ascii="Arial" w:cs="Arial" w:eastAsia="Arial" w:hAnsi="Arial"/>
          <w:sz w:val="16"/>
          <w:szCs w:val="16"/>
          <w:i w:val="1"/>
          <w:iCs w:val="1"/>
          <w:color w:val="auto"/>
        </w:rPr>
        <w:t>Proposal No. 1 — Approval of the Business Combination — Related Agreements — Subscription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Company does not currently anticipate obtaining any new debt financing to fund the Business Combination.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conditions must be satisfied to complete the Business Combination?</w:t>
      </w:r>
    </w:p>
    <w:p>
      <w:pPr>
        <w:spacing w:after="0" w:line="175" w:lineRule="exact"/>
        <w:rPr>
          <w:sz w:val="20"/>
          <w:szCs w:val="20"/>
          <w:color w:val="auto"/>
        </w:rPr>
      </w:pPr>
    </w:p>
    <w:p>
      <w:pPr>
        <w:jc w:val="both"/>
        <w:ind w:left="8" w:hanging="8"/>
        <w:spacing w:after="0" w:line="259" w:lineRule="auto"/>
        <w:tabs>
          <w:tab w:leader="none" w:pos="2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Business Combination Proposal, the Nasdaq Stock Issuance Proposal, the Charter Approval Proposal, the Incentive Plan Proposal and the ESPP Proposal.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 — Approval of the Business Combination — The Merger Agreement</w:t>
      </w:r>
      <w:r>
        <w:rPr>
          <w:rFonts w:ascii="Arial" w:cs="Arial" w:eastAsia="Arial" w:hAnsi="Arial"/>
          <w:sz w:val="18"/>
          <w:szCs w:val="18"/>
          <w:color w:val="auto"/>
        </w:rPr>
        <w:t>.”</w:t>
      </w:r>
    </w:p>
    <w:p>
      <w:pPr>
        <w:spacing w:after="0" w:line="129" w:lineRule="exact"/>
        <w:rPr>
          <w:sz w:val="20"/>
          <w:szCs w:val="20"/>
          <w:color w:val="auto"/>
        </w:rPr>
      </w:pPr>
    </w:p>
    <w:p>
      <w:pPr>
        <w:ind w:left="8" w:right="20" w:hanging="8"/>
        <w:spacing w:after="0" w:line="282" w:lineRule="auto"/>
        <w:tabs>
          <w:tab w:leader="none" w:pos="2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the Company will have sufficient funds, together with the proceeds in its Trust Account and from the PIPE Investment, to fund the aggregate purchase price?</w:t>
      </w:r>
    </w:p>
    <w:p>
      <w:pPr>
        <w:spacing w:after="0" w:line="112" w:lineRule="exact"/>
        <w:rPr>
          <w:sz w:val="20"/>
          <w:szCs w:val="20"/>
          <w:color w:val="auto"/>
        </w:rPr>
      </w:pPr>
    </w:p>
    <w:p>
      <w:pPr>
        <w:jc w:val="both"/>
        <w:ind w:left="8" w:hanging="8"/>
        <w:spacing w:after="0" w:line="273" w:lineRule="auto"/>
        <w:tabs>
          <w:tab w:leader="none" w:pos="2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Unless waived by Sema4, the Merger Agreement provides that Sema4’s obligation to consummate the Business Combination is conditioned on the funds in the Trust Account, together with the funding of any amounts payable under the Subscription Agreements, being equal to no less than an aggregate amount of $300,000,000 after payment of redemptions and Company and Sema4 transaction expenses. The PIPE Investors have agreed to purchase approximately 35,000,000 shares of common stock at $10.00 per share for gross proceeds to the Company of approximately $350,000,000 pursuant to Subscription Agreements entered into at the signing of the Merger Agreement. The PIPE Investment is contingent upon, among other things, stockholder approval of the Business Combination Proposal and the Closing.</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Company will use the proceeds of the PIPE Investment, together with the funds in the Trust Account,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Nasdaq Stock Issuance Proposal?</w:t>
      </w:r>
    </w:p>
    <w:p>
      <w:pPr>
        <w:spacing w:after="0" w:line="175" w:lineRule="exact"/>
        <w:rPr>
          <w:sz w:val="20"/>
          <w:szCs w:val="20"/>
          <w:color w:val="auto"/>
        </w:rPr>
      </w:pPr>
    </w:p>
    <w:p>
      <w:pPr>
        <w:jc w:val="both"/>
        <w:ind w:left="8" w:hanging="8"/>
        <w:spacing w:after="0" w:line="263" w:lineRule="auto"/>
        <w:tabs>
          <w:tab w:leader="none" w:pos="2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proposing the Nasdaq Stock Issuance Proposal in order to comply with Nasdaq Listing Rule s 5635(a) and (d), which require stockholder approval of certain transactions that result in the issuance of 20% or more of the outstanding voting power or shares of common stock outstanding before the issuance of stock or securities.</w:t>
      </w:r>
    </w:p>
    <w:p>
      <w:pPr>
        <w:spacing w:after="0" w:line="13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In connection with the Business Combination, we expect to issue (i) up to 147,922,735 shares of common stock in the Business Combination, and (ii) approximately 35,000,000 shares of common stock in the PIPE Investment. Because we may issue 20% or more of our outstanding common stock when considering together the Stock Consideration and the PIPE Investment, we are required to obtain stockholder approval of such issuance pursuant to Nasdaq Listing Rule s 5635(a) and (d). For more information, please see the section entitled “</w:t>
      </w:r>
      <w:r>
        <w:rPr>
          <w:rFonts w:ascii="Arial" w:cs="Arial" w:eastAsia="Arial" w:hAnsi="Arial"/>
          <w:sz w:val="18"/>
          <w:szCs w:val="18"/>
          <w:i w:val="1"/>
          <w:iCs w:val="1"/>
          <w:color w:val="auto"/>
        </w:rPr>
        <w:t>Proposal No. 2 — The Nasdaq Stock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Charter Approval Proposal?</w:t>
      </w:r>
    </w:p>
    <w:p>
      <w:pPr>
        <w:spacing w:after="0" w:line="175" w:lineRule="exact"/>
        <w:rPr>
          <w:sz w:val="20"/>
          <w:szCs w:val="20"/>
          <w:color w:val="auto"/>
        </w:rPr>
      </w:pPr>
    </w:p>
    <w:p>
      <w:pPr>
        <w:jc w:val="both"/>
        <w:ind w:left="8" w:hanging="8"/>
        <w:spacing w:after="0" w:line="311" w:lineRule="auto"/>
        <w:tabs>
          <w:tab w:leader="none" w:pos="23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that we are asking our stockholders to adopt in connection with the Business Combination (the “</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provides for certain amendments to our existing certificate of incorporation. Pursuant to Delaware law and the Merger Agreement, we are required to submit the Charter Approval Proposal to the Company’s stockholders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8"/>
          </w:cols>
          <w:pgMar w:left="652" w:top="1417" w:right="339" w:bottom="1440" w:gutter="0" w:footer="0" w:header="0"/>
        </w:sectPr>
      </w:pPr>
    </w:p>
    <w:bookmarkStart w:id="26" w:name="page27"/>
    <w:bookmarkEnd w:id="26"/>
    <w:p>
      <w:pPr>
        <w:ind w:left="8" w:right="2240"/>
        <w:spacing w:after="0" w:line="438" w:lineRule="auto"/>
        <w:rPr>
          <w:sz w:val="20"/>
          <w:szCs w:val="20"/>
          <w:color w:val="auto"/>
        </w:rPr>
      </w:pPr>
      <w:r>
        <w:rPr>
          <w:rFonts w:ascii="Arial" w:cs="Arial" w:eastAsia="Arial" w:hAnsi="Arial"/>
          <w:sz w:val="18"/>
          <w:szCs w:val="18"/>
          <w:color w:val="auto"/>
        </w:rPr>
        <w:t>adoption. For additional information 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Q: Why is the Company proposing the Governance Proposal?</w:t>
      </w:r>
    </w:p>
    <w:p>
      <w:pPr>
        <w:spacing w:after="0" w:line="1" w:lineRule="exact"/>
        <w:rPr>
          <w:sz w:val="20"/>
          <w:szCs w:val="20"/>
          <w:color w:val="auto"/>
        </w:rPr>
      </w:pPr>
    </w:p>
    <w:p>
      <w:pPr>
        <w:jc w:val="both"/>
        <w:ind w:left="8" w:hanging="8"/>
        <w:spacing w:after="0" w:line="291" w:lineRule="auto"/>
        <w:tabs>
          <w:tab w:leader="none" w:pos="2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required by applicable SEC guidance, the Company is requesting that its stockholders vote upon, on a non-binding advisory basis, a proposal to approve certain governance provisions contained in the Amended and Restated Certificate of Incorporation that materially affect stockholder rights. This separate vote is not otherwise required by Delaware law separate and apart from the Charter Approval Proposal (Proposal No. 3), but pursuant to SEC guidance, the Company is required to submit these provisions to its stockholders separately for approval. However, the stockholder vote regarding this proposal is an advisory vote, and is not binding on the Company or its board of directors. Furthermore, the Business Combination is not conditioned on the separate approval of the Governance Proposal. For additional information, please see the section entitled “</w:t>
      </w:r>
      <w:r>
        <w:rPr>
          <w:rFonts w:ascii="Arial" w:cs="Arial" w:eastAsia="Arial" w:hAnsi="Arial"/>
          <w:sz w:val="16"/>
          <w:szCs w:val="16"/>
          <w:i w:val="1"/>
          <w:iCs w:val="1"/>
          <w:color w:val="auto"/>
        </w:rPr>
        <w:t>Proposal No. 4 —</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of Certain Governance Provisions in the Amended and Restated Certificate of Incorporation</w:t>
      </w:r>
      <w:r>
        <w:rPr>
          <w:rFonts w:ascii="Arial" w:cs="Arial" w:eastAsia="Arial" w:hAnsi="Arial"/>
          <w:sz w:val="16"/>
          <w:szCs w:val="16"/>
          <w:color w:val="auto"/>
        </w:rPr>
        <w:t>.”</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Incentive Plan Proposal?</w:t>
      </w:r>
    </w:p>
    <w:p>
      <w:pPr>
        <w:spacing w:after="0" w:line="175" w:lineRule="exact"/>
        <w:rPr>
          <w:sz w:val="20"/>
          <w:szCs w:val="20"/>
          <w:color w:val="auto"/>
        </w:rPr>
      </w:pPr>
    </w:p>
    <w:p>
      <w:pPr>
        <w:jc w:val="both"/>
        <w:ind w:left="8" w:hanging="8"/>
        <w:spacing w:after="0" w:line="263" w:lineRule="auto"/>
        <w:tabs>
          <w:tab w:leader="none" w:pos="2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purpose of the Incentive Plan Proposal is to further align the interests of the eligible participants with those of stockholders by providing long-term incentive compensation opportunities tied to the performance of the Company. Please see the section entitled “</w:t>
      </w:r>
      <w:r>
        <w:rPr>
          <w:rFonts w:ascii="Arial" w:cs="Arial" w:eastAsia="Arial" w:hAnsi="Arial"/>
          <w:sz w:val="18"/>
          <w:szCs w:val="18"/>
          <w:i w:val="1"/>
          <w:iCs w:val="1"/>
          <w:color w:val="auto"/>
        </w:rPr>
        <w:t>Proposal No. 5 — Approval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w:t>
      </w:r>
      <w:r>
        <w:rPr>
          <w:rFonts w:ascii="Arial" w:cs="Arial" w:eastAsia="Arial" w:hAnsi="Arial"/>
          <w:sz w:val="18"/>
          <w:szCs w:val="18"/>
          <w:color w:val="auto"/>
        </w:rPr>
        <w:t>” for additional information.</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ESPP Proposal?</w:t>
      </w:r>
    </w:p>
    <w:p>
      <w:pPr>
        <w:spacing w:after="0" w:line="175" w:lineRule="exact"/>
        <w:rPr>
          <w:sz w:val="20"/>
          <w:szCs w:val="20"/>
          <w:color w:val="auto"/>
        </w:rPr>
      </w:pPr>
    </w:p>
    <w:p>
      <w:pPr>
        <w:jc w:val="both"/>
        <w:ind w:left="8" w:hanging="8"/>
        <w:spacing w:after="0" w:line="296" w:lineRule="auto"/>
        <w:tabs>
          <w:tab w:leader="none" w:pos="2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ESPP, please see the section entitled “</w:t>
      </w:r>
      <w:r>
        <w:rPr>
          <w:rFonts w:ascii="Arial" w:cs="Arial" w:eastAsia="Arial" w:hAnsi="Arial"/>
          <w:sz w:val="16"/>
          <w:szCs w:val="16"/>
          <w:i w:val="1"/>
          <w:iCs w:val="1"/>
          <w:color w:val="auto"/>
        </w:rPr>
        <w:t>Proposal No. 6 — Approval of the ESPP</w:t>
      </w:r>
      <w:r>
        <w:rPr>
          <w:rFonts w:ascii="Arial" w:cs="Arial" w:eastAsia="Arial" w:hAnsi="Arial"/>
          <w:sz w:val="16"/>
          <w:szCs w:val="16"/>
          <w:color w:val="auto"/>
        </w:rPr>
        <w: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Director Election Proposal?</w:t>
      </w:r>
    </w:p>
    <w:p>
      <w:pPr>
        <w:spacing w:after="0" w:line="175" w:lineRule="exact"/>
        <w:rPr>
          <w:sz w:val="20"/>
          <w:szCs w:val="20"/>
          <w:color w:val="auto"/>
        </w:rPr>
      </w:pPr>
    </w:p>
    <w:p>
      <w:pPr>
        <w:jc w:val="both"/>
        <w:ind w:left="8" w:hanging="8"/>
        <w:spacing w:after="0" w:line="271" w:lineRule="auto"/>
        <w:tabs>
          <w:tab w:leader="none" w:pos="23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Assuming the condition precedent proposals, including the Charter Approval Proposal, are approved, upon the Closing, our stockholders are being asked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to serve as Class I directors on the Company’s Board, each for a term of three years expiring at the annual meeting of stockholders to be held in 2024 or until such director’s successor has been duly elected and qualified, or until such director’s earlier death, resignation, retirement or removal. The Company believes it is in the best interests of stockholders to allow stockholders to vote upon the election of newly appointed directors. For additional information, please see the section entitled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left="8" w:hanging="8"/>
        <w:spacing w:after="0" w:line="296" w:lineRule="auto"/>
        <w:tabs>
          <w:tab w:leader="none" w:pos="2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 Please see the section entitled “</w:t>
      </w:r>
      <w:r>
        <w:rPr>
          <w:rFonts w:ascii="Arial" w:cs="Arial" w:eastAsia="Arial" w:hAnsi="Arial"/>
          <w:sz w:val="16"/>
          <w:szCs w:val="16"/>
          <w:i w:val="1"/>
          <w:iCs w:val="1"/>
          <w:color w:val="auto"/>
        </w:rPr>
        <w:t>Proposal No. 8 — The Adjournment Proposal</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8"/>
          </w:cols>
          <w:pgMar w:left="652" w:top="1421" w:right="339" w:bottom="1440" w:gutter="0" w:footer="0" w:header="0"/>
        </w:sectPr>
      </w:pPr>
    </w:p>
    <w:bookmarkStart w:id="27" w:name="page28"/>
    <w:bookmarkEnd w:id="27"/>
    <w:p>
      <w:pPr>
        <w:ind w:left="8"/>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left="8" w:hanging="8"/>
        <w:spacing w:after="0" w:line="273"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our bylaws 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For additional information, please see the section entitled “</w:t>
      </w:r>
      <w:r>
        <w:rPr>
          <w:rFonts w:ascii="Arial" w:cs="Arial" w:eastAsia="Arial" w:hAnsi="Arial"/>
          <w:sz w:val="17"/>
          <w:szCs w:val="17"/>
          <w:i w:val="1"/>
          <w:iCs w:val="1"/>
          <w:color w:val="auto"/>
        </w:rPr>
        <w:t>Proposal No. 9 — The Auditor Ratification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I sell my shares of common stock before the Special Meeting?</w:t>
      </w:r>
    </w:p>
    <w:p>
      <w:pPr>
        <w:spacing w:after="0" w:line="175" w:lineRule="exact"/>
        <w:rPr>
          <w:sz w:val="20"/>
          <w:szCs w:val="20"/>
          <w:color w:val="auto"/>
        </w:rPr>
      </w:pPr>
    </w:p>
    <w:p>
      <w:pPr>
        <w:jc w:val="both"/>
        <w:ind w:left="8" w:hanging="8"/>
        <w:spacing w:after="0" w:line="25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Business Combination is expected to be completed.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of common stock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left="8" w:hanging="8"/>
        <w:spacing w:after="0" w:line="255" w:lineRule="auto"/>
        <w:tabs>
          <w:tab w:leader="none" w:pos="2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will be counted as present for the purpose of determining a quorum. Our Initial Stockholders, who currently own approximately 20% of our issued and outstanding shares of common stock, will count towards this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left="8" w:hanging="8"/>
        <w:spacing w:after="0" w:line="255" w:lineRule="auto"/>
        <w:tabs>
          <w:tab w:leader="none" w:pos="268"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Proposal 1 — The Business Combination Proposal: </w:t>
      </w:r>
      <w:r>
        <w:rPr>
          <w:rFonts w:ascii="Arial" w:cs="Arial" w:eastAsia="Arial" w:hAnsi="Arial"/>
          <w:sz w:val="18"/>
          <w:szCs w:val="18"/>
          <w:color w:val="auto"/>
        </w:rPr>
        <w:t>The approval of the Business Combination Proposal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by the stockholders present in person or represented by proxy and entitled to vote at the Special Meeting. Accordingly, a Company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w:t>
      </w:r>
    </w:p>
    <w:p>
      <w:pPr>
        <w:spacing w:after="0" w:line="13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2 — The Nasdaq Stock Issuance Proposal: </w:t>
      </w:r>
      <w:r>
        <w:rPr>
          <w:rFonts w:ascii="Arial" w:cs="Arial" w:eastAsia="Arial" w:hAnsi="Arial"/>
          <w:sz w:val="17"/>
          <w:szCs w:val="17"/>
          <w:color w:val="auto"/>
        </w:rPr>
        <w:t>The approval of the Nasdaq Stock Issuance Proposal requires the affirmative vote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b w:val="1"/>
          <w:bCs w:val="1"/>
          <w:i w:val="1"/>
          <w:iCs w:val="1"/>
          <w:color w:val="auto"/>
        </w:rPr>
        <w:t xml:space="preserve">Proposal 3 — The Charter Approval Proposal: </w:t>
      </w:r>
      <w:r>
        <w:rPr>
          <w:rFonts w:ascii="Arial" w:cs="Arial" w:eastAsia="Arial" w:hAnsi="Arial"/>
          <w:sz w:val="17"/>
          <w:szCs w:val="17"/>
          <w:color w:val="auto"/>
        </w:rPr>
        <w:t>The approval of the Charter Approval Proposal requires the affirmative vote of holders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Charter Approval Proposal.</w:t>
      </w:r>
    </w:p>
    <w:p>
      <w:pPr>
        <w:spacing w:after="0" w:line="111"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b w:val="1"/>
          <w:bCs w:val="1"/>
          <w:i w:val="1"/>
          <w:iCs w:val="1"/>
          <w:color w:val="auto"/>
        </w:rPr>
        <w:t xml:space="preserve">Proposal 4 — The Governance Proposal: </w:t>
      </w:r>
      <w:r>
        <w:rPr>
          <w:rFonts w:ascii="Arial" w:cs="Arial" w:eastAsia="Arial" w:hAnsi="Arial"/>
          <w:sz w:val="18"/>
          <w:szCs w:val="18"/>
          <w:color w:val="auto"/>
        </w:rPr>
        <w:t>The approval of the Governance Proposal, which is a non-binding advisory vote,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8"/>
          </w:cols>
          <w:pgMar w:left="652" w:top="1417" w:right="339" w:bottom="1440" w:gutter="0" w:footer="0" w:header="0"/>
        </w:sectPr>
      </w:pPr>
    </w:p>
    <w:bookmarkStart w:id="28" w:name="page29"/>
    <w:bookmarkEnd w:id="28"/>
    <w:p>
      <w:pPr>
        <w:jc w:val="both"/>
        <w:ind w:left="8"/>
        <w:spacing w:after="0" w:line="263" w:lineRule="auto"/>
        <w:rPr>
          <w:sz w:val="20"/>
          <w:szCs w:val="20"/>
          <w:color w:val="auto"/>
        </w:rPr>
      </w:pPr>
      <w:r>
        <w:rPr>
          <w:rFonts w:ascii="Arial" w:cs="Arial" w:eastAsia="Arial" w:hAnsi="Arial"/>
          <w:sz w:val="18"/>
          <w:szCs w:val="18"/>
          <w:color w:val="auto"/>
        </w:rPr>
        <w:t>or represented by proxy and entitled to vote at the Special Meeting. Accordingly, a Company stockholder’s failure to vote, as well as an abstention from voting and a broker non-vote, will have no effect on the Governance Proposal. Abstentions will be counted in connection with the determination of whether a valid quorum is established but will have no effect on the Governance Proposal.</w:t>
      </w:r>
    </w:p>
    <w:p>
      <w:pPr>
        <w:spacing w:after="0" w:line="130"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5 — The Incentive Plan Proposal: </w:t>
      </w:r>
      <w:r>
        <w:rPr>
          <w:rFonts w:ascii="Arial" w:cs="Arial" w:eastAsia="Arial" w:hAnsi="Arial"/>
          <w:sz w:val="17"/>
          <w:szCs w:val="17"/>
          <w:color w:val="auto"/>
        </w:rPr>
        <w:t>The approval of the Incentive Plan Proposal requires the affirmative vote of a majority of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stockholders present in person or represented by proxy and entitled to vote at the Special Meeting. Accordingly, under Delaware law, a Company stockholder’s failure to vote by proxy, as well as an abstention and broker non-vote, will have no effect on the Incentive Plan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6 — The ESPP Proposal: </w:t>
      </w:r>
      <w:r>
        <w:rPr>
          <w:rFonts w:ascii="Arial" w:cs="Arial" w:eastAsia="Arial" w:hAnsi="Arial"/>
          <w:sz w:val="18"/>
          <w:szCs w:val="18"/>
          <w:color w:val="auto"/>
        </w:rPr>
        <w:t>The approval of the ESPP Proposal requires the affirmative vote of a majority of the votes cast by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in person or represented by proxy and entitled to vote at the Special Meeting. Accordingly, under Delaware law, a Company stockholder’s failure to vote by proxy, as well as an abstention and broker non-vote, will have no effect on the ESPP Proposal. Abstentions will be counted in connection with the determination of whether a valid quorum is established.</w:t>
      </w:r>
    </w:p>
    <w:p>
      <w:pPr>
        <w:spacing w:after="0" w:line="133"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7 — The Director Election Proposal: </w:t>
      </w:r>
      <w:r>
        <w:rPr>
          <w:rFonts w:ascii="Arial" w:cs="Arial" w:eastAsia="Arial" w:hAnsi="Arial"/>
          <w:sz w:val="17"/>
          <w:szCs w:val="17"/>
          <w:color w:val="auto"/>
        </w:rPr>
        <w:t>The approval of the Director Election Proposal requires the affirmative vote of a majority of the votes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cast by the stockholders present in person or represented by proxy and entitled to vote at the Special Meeting. Accordingly, under Delaware law, a Company stockholder’s failure to vote by proxy, as well as an abstention and broker non-vote, will have no effect on the Director Election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b w:val="1"/>
          <w:bCs w:val="1"/>
          <w:i w:val="1"/>
          <w:iCs w:val="1"/>
          <w:color w:val="auto"/>
        </w:rPr>
        <w:t xml:space="preserve">Proposal 8 — The Adjournment Proposal: </w:t>
      </w:r>
      <w:r>
        <w:rPr>
          <w:rFonts w:ascii="Arial" w:cs="Arial" w:eastAsia="Arial" w:hAnsi="Arial"/>
          <w:sz w:val="16"/>
          <w:szCs w:val="16"/>
          <w:color w:val="auto"/>
        </w:rPr>
        <w:t>The approval of the Adjournment Proposal requires the affirmative vote of a majority of the votes 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03"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9 — The Auditor Ratification Proposal: </w:t>
      </w:r>
      <w:r>
        <w:rPr>
          <w:rFonts w:ascii="Arial" w:cs="Arial" w:eastAsia="Arial" w:hAnsi="Arial"/>
          <w:sz w:val="18"/>
          <w:szCs w:val="18"/>
          <w:color w:val="auto"/>
        </w:rPr>
        <w:t>The approval of the Auditor Ratification Proposal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by the stockholders present in person or represented by proxy and entitled to vote at the Special Meeting. Accordingly, a Company stockholder’s failure to vote by proxy, as well as an abstention and broker non-vote, will have no effect on the Auditor Ratification Proposal. Abstentions will be counted in connection with the determination of whether a valid quorum is established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Proposal is not approved?</w:t>
      </w:r>
    </w:p>
    <w:p>
      <w:pPr>
        <w:spacing w:after="0" w:line="175" w:lineRule="exact"/>
        <w:rPr>
          <w:sz w:val="20"/>
          <w:szCs w:val="20"/>
          <w:color w:val="auto"/>
        </w:rPr>
      </w:pPr>
    </w:p>
    <w:p>
      <w:pPr>
        <w:ind w:left="8" w:right="20" w:hanging="8"/>
        <w:spacing w:after="0" w:line="277"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we do not consummate a business combination by the applicable deadline, we will be required to dissolve and liquidate our Trust Account.</w:t>
      </w:r>
    </w:p>
    <w:p>
      <w:pPr>
        <w:spacing w:after="0" w:line="112" w:lineRule="exact"/>
        <w:rPr>
          <w:sz w:val="20"/>
          <w:szCs w:val="20"/>
          <w:color w:val="auto"/>
        </w:rPr>
      </w:pPr>
    </w:p>
    <w:p>
      <w:pPr>
        <w:ind w:left="8" w:right="20" w:hanging="8"/>
        <w:spacing w:after="0" w:line="282" w:lineRule="auto"/>
        <w:tabs>
          <w:tab w:leader="none" w:pos="26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May the Company, its Sponsor or the Company’s directors or officers or their affiliates purchase shares in connection with the Business Combination?</w:t>
      </w:r>
    </w:p>
    <w:p>
      <w:pPr>
        <w:spacing w:after="0" w:line="112" w:lineRule="exact"/>
        <w:rPr>
          <w:sz w:val="20"/>
          <w:szCs w:val="20"/>
          <w:color w:val="auto"/>
        </w:rPr>
      </w:pPr>
    </w:p>
    <w:p>
      <w:pPr>
        <w:jc w:val="both"/>
        <w:ind w:left="8" w:hanging="8"/>
        <w:spacing w:after="0" w:line="271" w:lineRule="auto"/>
        <w:tabs>
          <w:tab w:leader="none" w:pos="2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8"/>
          </w:cols>
          <w:pgMar w:left="652" w:top="1421" w:right="339" w:bottom="1440" w:gutter="0" w:footer="0" w:header="0"/>
        </w:sectPr>
      </w:pPr>
    </w:p>
    <w:bookmarkStart w:id="29" w:name="page30"/>
    <w:bookmarkEnd w:id="29"/>
    <w:p>
      <w:pPr>
        <w:jc w:val="both"/>
        <w:ind w:left="8"/>
        <w:spacing w:after="0" w:line="311" w:lineRule="auto"/>
        <w:rPr>
          <w:sz w:val="20"/>
          <w:szCs w:val="20"/>
          <w:color w:val="auto"/>
        </w:rPr>
      </w:pPr>
      <w:r>
        <w:rPr>
          <w:rFonts w:ascii="Arial" w:cs="Arial" w:eastAsia="Arial" w:hAnsi="Arial"/>
          <w:sz w:val="16"/>
          <w:szCs w:val="16"/>
          <w:color w:val="auto"/>
        </w:rPr>
        <w:t>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jc w:val="both"/>
        <w:ind w:left="8" w:hanging="8"/>
        <w:spacing w:after="0" w:line="286" w:lineRule="auto"/>
        <w:tabs>
          <w:tab w:leader="none" w:pos="2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stockholders are entitled to one vote on each proposal presented at the Special Meeting for each share of common stock held of record as of June 21, 2021, the record date for the Special Meeting. As of the close of business on the record date, there were 55,343,750 outstanding shares of our common stock, of which 44,275,000 are public shares and 11,068,750 are Founder Shares held by our Initial Stockholders.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If you were a stockholder of record on June 21, 2021, you may vote by granting a proxy. Specifically, you may vote:</w:t>
      </w:r>
    </w:p>
    <w:p>
      <w:pPr>
        <w:spacing w:after="0" w:line="171" w:lineRule="exact"/>
        <w:rPr>
          <w:sz w:val="20"/>
          <w:szCs w:val="20"/>
          <w:color w:val="auto"/>
        </w:rPr>
      </w:pPr>
    </w:p>
    <w:p>
      <w:pPr>
        <w:ind w:left="328" w:hanging="328"/>
        <w:spacing w:after="0"/>
        <w:tabs>
          <w:tab w:leader="none" w:pos="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Mail — You may vote by mail by completing, signing, dating and returning the enclosed proxy card in the postage-paid envelope provided.</w:t>
      </w:r>
    </w:p>
    <w:p>
      <w:pPr>
        <w:spacing w:after="0" w:line="46"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b w:val="1"/>
          <w:bCs w:val="1"/>
          <w:color w:val="auto"/>
        </w:rPr>
        <w:t>Votes submitted by mail must be received by 5:00 pm Eastern time on July 19, 2021.</w:t>
      </w:r>
    </w:p>
    <w:p>
      <w:pPr>
        <w:spacing w:after="0" w:line="156" w:lineRule="exact"/>
        <w:rPr>
          <w:rFonts w:ascii="Arial" w:cs="Arial" w:eastAsia="Arial" w:hAnsi="Arial"/>
          <w:sz w:val="16"/>
          <w:szCs w:val="16"/>
          <w:color w:val="auto"/>
        </w:rPr>
      </w:pPr>
    </w:p>
    <w:p>
      <w:pPr>
        <w:ind w:left="648" w:hanging="324"/>
        <w:spacing w:after="0" w:line="277" w:lineRule="auto"/>
        <w:tabs>
          <w:tab w:leader="none" w:pos="6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48" w:right="20" w:hanging="324"/>
        <w:spacing w:after="0" w:line="277" w:lineRule="auto"/>
        <w:tabs>
          <w:tab w:leader="none" w:pos="6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so that your shares will be voted if you are unable to attend the Special Meeting.</w:t>
      </w:r>
    </w:p>
    <w:p>
      <w:pPr>
        <w:spacing w:after="0" w:line="116" w:lineRule="exact"/>
        <w:rPr>
          <w:rFonts w:ascii="Arial" w:cs="Arial" w:eastAsia="Arial" w:hAnsi="Arial"/>
          <w:sz w:val="18"/>
          <w:szCs w:val="18"/>
          <w:color w:val="auto"/>
        </w:rPr>
      </w:pPr>
    </w:p>
    <w:p>
      <w:pPr>
        <w:ind w:left="648" w:hanging="324"/>
        <w:spacing w:after="0" w:line="277" w:lineRule="auto"/>
        <w:tabs>
          <w:tab w:leader="none" w:pos="6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48" w:right="20" w:hanging="324"/>
        <w:spacing w:after="0" w:line="263" w:lineRule="auto"/>
        <w:tabs>
          <w:tab w:leader="none" w:pos="6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Voting at the Special Meeting — We will be hosting the Special Meeting via live webcast. If you attend the Special Meeting, you may submit your vote at the Special Meeting online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in which case any votes that you previously submitted will be superseded by the vote that you cast at the Special Meeting.</w:t>
      </w:r>
    </w:p>
    <w:p>
      <w:pPr>
        <w:spacing w:after="0" w:line="130"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left="8" w:hanging="8"/>
        <w:spacing w:after="0" w:line="258" w:lineRule="auto"/>
        <w:tabs>
          <w:tab w:leader="none" w:pos="2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Business Combination Proposal, the Governance Proposal, the Incentive Plan Proposal, the ESPP Proposal, the Director Election Proposal, the Adjournment Proposal and the Auditor Ratification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left="8" w:hanging="8"/>
        <w:spacing w:after="0" w:line="266" w:lineRule="auto"/>
        <w:tabs>
          <w:tab w:leader="none" w:pos="2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8"/>
          </w:cols>
          <w:pgMar w:left="652" w:top="1421" w:right="339" w:bottom="1440" w:gutter="0" w:footer="0" w:header="0"/>
        </w:sectPr>
      </w:pPr>
    </w:p>
    <w:bookmarkStart w:id="30" w:name="page31"/>
    <w:bookmarkEnd w:id="30"/>
    <w:p>
      <w:pPr>
        <w:ind w:left="8"/>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jc w:val="both"/>
        <w:ind w:left="8" w:hanging="8"/>
        <w:spacing w:after="0" w:line="275" w:lineRule="auto"/>
        <w:tabs>
          <w:tab w:leader="none" w:pos="233" w:val="left"/>
        </w:tabs>
        <w:numPr>
          <w:ilvl w:val="0"/>
          <w:numId w:val="55"/>
        </w:numPr>
        <w:rPr>
          <w:rFonts w:ascii="Arial" w:cs="Arial" w:eastAsia="Arial" w:hAnsi="Arial"/>
          <w:sz w:val="17"/>
          <w:szCs w:val="17"/>
          <w:color w:val="auto"/>
        </w:rPr>
      </w:pPr>
      <w:r>
        <w:rPr>
          <w:rFonts w:ascii="Arial" w:cs="Arial" w:eastAsia="Arial" w:hAnsi="Arial"/>
          <w:sz w:val="17"/>
          <w:szCs w:val="17"/>
          <w:color w:val="auto"/>
        </w:rPr>
        <w:t>Yes. Whether you plan to attend the Special Meeting or not, please read the enclosed proxy statement carefully. If you are a stockholder of record of our common stock as of the close of business on the record date, you can vote by proxy by mail by following the instructions provided in the enclosed proxy card.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left="8" w:hanging="8"/>
        <w:spacing w:after="0" w:line="257"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left="8" w:hanging="8"/>
        <w:spacing w:after="0" w:line="263"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left="8"/>
        <w:spacing w:after="0" w:line="290" w:lineRule="auto"/>
        <w:rPr>
          <w:sz w:val="20"/>
          <w:szCs w:val="20"/>
          <w:color w:val="auto"/>
        </w:rPr>
      </w:pPr>
      <w:r>
        <w:rPr>
          <w:rFonts w:ascii="Arial" w:cs="Arial" w:eastAsia="Arial" w:hAnsi="Arial"/>
          <w:sz w:val="16"/>
          <w:szCs w:val="16"/>
          <w:color w:val="auto"/>
        </w:rPr>
        <w:t xml:space="preserve">We believe that all of the proposals presented to the stockholders at this Special Meeting, other than the Auditor Ratification Proposal, will be considered non-routine and, therefore, your broker, bank, or nominee </w:t>
      </w:r>
      <w:r>
        <w:rPr>
          <w:rFonts w:ascii="Arial" w:cs="Arial" w:eastAsia="Arial" w:hAnsi="Arial"/>
          <w:sz w:val="16"/>
          <w:szCs w:val="16"/>
          <w:b w:val="1"/>
          <w:bCs w:val="1"/>
          <w:u w:val="single" w:color="auto"/>
          <w:color w:val="auto"/>
        </w:rPr>
        <w:t>cannot vote your shares without your instruction</w:t>
      </w:r>
      <w:r>
        <w:rPr>
          <w:rFonts w:ascii="Arial" w:cs="Arial" w:eastAsia="Arial" w:hAnsi="Arial"/>
          <w:sz w:val="16"/>
          <w:szCs w:val="16"/>
          <w:color w:val="auto"/>
        </w:rPr>
        <w:t xml:space="preserve"> on any of the proposals presented at the Special Meeting, other than the Auditor Ratification Proposal. Accordingly, if your broker submits a proxy for your shares with respect to the Auditor Ratification Proposal, but you do not submit voting instructions on the other proposals,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left="8" w:hanging="8"/>
        <w:spacing w:after="0" w:line="282"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 but will not have any effect on the outcome of any other proposals.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left="8" w:right="20" w:hanging="8"/>
        <w:spacing w:after="0" w:line="277" w:lineRule="auto"/>
        <w:tabs>
          <w:tab w:leader="none" w:pos="2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Yes. If you are a holder of record of our common stock as of the close of business on the record date, whether you vote by mail, you can change or revoke your proxy before it is voted at the Special Meeting by:</w:t>
      </w:r>
    </w:p>
    <w:p>
      <w:pPr>
        <w:spacing w:after="0" w:line="116" w:lineRule="exact"/>
        <w:rPr>
          <w:sz w:val="20"/>
          <w:szCs w:val="20"/>
          <w:color w:val="auto"/>
        </w:rPr>
      </w:pPr>
    </w:p>
    <w:p>
      <w:pPr>
        <w:ind w:left="328" w:hanging="328"/>
        <w:spacing w:after="0" w:line="277" w:lineRule="auto"/>
        <w:tabs>
          <w:tab w:leader="none" w:pos="3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8"/>
          </w:cols>
          <w:pgMar w:left="652" w:top="1417" w:right="339" w:bottom="1440" w:gutter="0" w:footer="0" w:header="0"/>
        </w:sectPr>
      </w:pPr>
    </w:p>
    <w:bookmarkStart w:id="31" w:name="page32"/>
    <w:bookmarkEnd w:id="31"/>
    <w:p>
      <w:pPr>
        <w:ind w:left="8"/>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left="8" w:hanging="8"/>
        <w:spacing w:after="0" w:line="257"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the Company’s Sponsor, directors and officers vote?</w:t>
      </w:r>
    </w:p>
    <w:p>
      <w:pPr>
        <w:spacing w:after="0" w:line="175" w:lineRule="exact"/>
        <w:rPr>
          <w:sz w:val="20"/>
          <w:szCs w:val="20"/>
          <w:color w:val="auto"/>
        </w:rPr>
      </w:pPr>
    </w:p>
    <w:p>
      <w:pPr>
        <w:jc w:val="both"/>
        <w:ind w:left="8" w:hanging="8"/>
        <w:spacing w:after="0" w:line="255"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our IPO, we entered into agreements with our Sponsor and each of our directors and officers, pursuant to which each agreed to vote any shares of common stock owned by them in favor of the Business Combination Proposal. None of our Sponsor, directors or officers has purchased any shares of our common stock during or after our IPO and, as of the date of this proxy statement, neither we nor our Sponsor, directors or officers have entered into agreements, and are not currently in negotiations, to purchase shares prior to the consummation of the Business Combination. Currently, our Initial Stockholders own approximately 20% of our issued and outstanding shares of common stock, including all of the Founder Shares, and will be able to vote all such shares at the Special Meeting.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interests do the Sponsor and the Company’s current officers and directors have in the Business Combination?</w:t>
      </w:r>
    </w:p>
    <w:p>
      <w:pPr>
        <w:spacing w:after="0" w:line="175" w:lineRule="exact"/>
        <w:rPr>
          <w:sz w:val="20"/>
          <w:szCs w:val="20"/>
          <w:color w:val="auto"/>
        </w:rPr>
      </w:pPr>
    </w:p>
    <w:p>
      <w:pPr>
        <w:jc w:val="both"/>
        <w:ind w:left="8" w:hanging="8"/>
        <w:spacing w:after="0" w:line="263" w:lineRule="auto"/>
        <w:tabs>
          <w:tab w:leader="none" w:pos="2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Sponsor and certain members of our Board and officers have interests in the Business Combination that are different from or in addition to (and which may conflict with) your interests. You should take these interests into account in deciding whether to approve the Business Combination. These interests include:</w:t>
      </w:r>
    </w:p>
    <w:p>
      <w:pPr>
        <w:spacing w:after="0" w:line="130" w:lineRule="exact"/>
        <w:rPr>
          <w:sz w:val="20"/>
          <w:szCs w:val="20"/>
          <w:color w:val="auto"/>
        </w:rPr>
      </w:pPr>
    </w:p>
    <w:p>
      <w:pPr>
        <w:ind w:left="328" w:right="20" w:hanging="328"/>
        <w:spacing w:after="0" w:line="277"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328" w:hanging="328"/>
        <w:spacing w:after="0" w:line="296" w:lineRule="auto"/>
        <w:tabs>
          <w:tab w:leader="none" w:pos="3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fact that Nat Turner, Emily Leproust and Eli Casdin will remain as board members of the post-combination company, and each may be entitled to receive compensation for serving on the board of directors of the post-combination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21" w:right="339" w:bottom="1440" w:gutter="0" w:footer="0" w:header="0"/>
        </w:sectPr>
      </w:pPr>
    </w:p>
    <w:bookmarkStart w:id="32" w:name="page33"/>
    <w:bookmarkEnd w:id="32"/>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328" w:hanging="328"/>
        <w:spacing w:after="0" w:line="279" w:lineRule="auto"/>
        <w:tabs>
          <w:tab w:leader="none" w:pos="323"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328" w:hanging="328"/>
        <w:spacing w:after="0" w:line="263" w:lineRule="auto"/>
        <w:tabs>
          <w:tab w:leader="none" w:pos="323"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left="8" w:right="500"/>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Q: What happens if I vote against the Business Combination Proposal?</w:t>
      </w:r>
    </w:p>
    <w:p>
      <w:pPr>
        <w:spacing w:after="0" w:line="1" w:lineRule="exact"/>
        <w:rPr>
          <w:sz w:val="20"/>
          <w:szCs w:val="20"/>
          <w:color w:val="auto"/>
        </w:rPr>
      </w:pPr>
    </w:p>
    <w:p>
      <w:pPr>
        <w:jc w:val="both"/>
        <w:ind w:left="8" w:hanging="8"/>
        <w:spacing w:after="0" w:line="257" w:lineRule="auto"/>
        <w:tabs>
          <w:tab w:leader="none" w:pos="2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a majority of the votes cast by holders of our common stock represented in person or by proxy and entitled to vote at the Special Meeting, then the Business Combination Proposal will be approved and, assuming the approval of the Nasdaq Stock Issuance Proposal, the Incentive Plan Approval, the ESPP Approval and the Charter Approval Proposal and the satisfaction or waiver of the other conditions to closing, the Business Combination will be consummated in accordance with the terms of the Merger Agreement.</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If you vote against the Business Combination Proposal and the Business Combination Proposal does not obtain the affirmative vote of a majority of the votes cast by holders of our of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redemption rights?</w:t>
      </w:r>
    </w:p>
    <w:p>
      <w:pPr>
        <w:spacing w:after="0" w:line="175" w:lineRule="exact"/>
        <w:rPr>
          <w:sz w:val="20"/>
          <w:szCs w:val="20"/>
          <w:color w:val="auto"/>
        </w:rPr>
      </w:pPr>
    </w:p>
    <w:p>
      <w:pPr>
        <w:jc w:val="both"/>
        <w:ind w:left="8" w:hanging="8"/>
        <w:spacing w:after="0" w:line="287" w:lineRule="auto"/>
        <w:tabs>
          <w:tab w:leader="none" w:pos="25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w:t>
      </w:r>
    </w:p>
    <w:p>
      <w:pPr>
        <w:spacing w:after="0" w:line="2"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color w:val="auto"/>
        </w:rPr>
        <w:t xml:space="preserve">subject to certain limitations. For illustrative purposes, based on the balance of the Trust Account of approximately $442 million as of January 29 , 2021, the estimated per share redemption price would have been approximately $10.00. </w:t>
      </w:r>
      <w:r>
        <w:rPr>
          <w:rFonts w:ascii="Arial" w:cs="Arial" w:eastAsia="Arial" w:hAnsi="Arial"/>
          <w:sz w:val="16"/>
          <w:szCs w:val="16"/>
          <w:b w:val="1"/>
          <w:bCs w:val="1"/>
          <w:color w:val="auto"/>
        </w:rPr>
        <w:t>Public stockholders may elect to redeem their shares even</w:t>
      </w:r>
      <w:r>
        <w:rPr>
          <w:rFonts w:ascii="Arial" w:cs="Arial" w:eastAsia="Arial" w:hAnsi="Arial"/>
          <w:sz w:val="16"/>
          <w:szCs w:val="16"/>
          <w:color w:val="auto"/>
        </w:rPr>
        <w:t xml:space="preserve"> </w:t>
      </w:r>
      <w:r>
        <w:rPr>
          <w:rFonts w:ascii="Arial" w:cs="Arial" w:eastAsia="Arial" w:hAnsi="Arial"/>
          <w:sz w:val="16"/>
          <w:szCs w:val="16"/>
          <w:b w:val="1"/>
          <w:bCs w:val="1"/>
          <w:color w:val="auto"/>
        </w:rPr>
        <w:t>if they vote for the Business Combination</w:t>
      </w:r>
      <w:r>
        <w:rPr>
          <w:rFonts w:ascii="Arial" w:cs="Arial" w:eastAsia="Arial" w:hAnsi="Arial"/>
          <w:sz w:val="16"/>
          <w:szCs w:val="16"/>
          <w:color w:val="auto"/>
        </w:rPr>
        <w:t>. Any request to redeem public shares, once made, may be withdrawn at any time until the deadline for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8"/>
          </w:cols>
          <w:pgMar w:left="652" w:top="1421" w:right="339" w:bottom="1440" w:gutter="0" w:footer="0" w:header="0"/>
        </w:sectPr>
      </w:pPr>
    </w:p>
    <w:bookmarkStart w:id="33" w:name="page34"/>
    <w:bookmarkEnd w:id="33"/>
    <w:p>
      <w:pPr>
        <w:jc w:val="both"/>
        <w:ind w:left="8"/>
        <w:spacing w:after="0" w:line="269" w:lineRule="auto"/>
        <w:rPr>
          <w:sz w:val="20"/>
          <w:szCs w:val="20"/>
          <w:color w:val="auto"/>
        </w:rPr>
      </w:pPr>
      <w:r>
        <w:rPr>
          <w:rFonts w:ascii="Arial" w:cs="Arial" w:eastAsia="Arial" w:hAnsi="Arial"/>
          <w:sz w:val="17"/>
          <w:szCs w:val="17"/>
          <w:color w:val="auto"/>
        </w:rPr>
        <w:t>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 Agreement provides that Sema4’s obligation to consummate the Business Combination is conditioned on the funds in the Trust Account, together with the funding of any amounts payable under the Subscription Agreements, will be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 by the applicable deadline.</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Can the Initial Stockholders redeem their Founder Shares in connection with consummation of the Business Combination?</w:t>
      </w:r>
    </w:p>
    <w:p>
      <w:pPr>
        <w:spacing w:after="0" w:line="175" w:lineRule="exact"/>
        <w:rPr>
          <w:sz w:val="20"/>
          <w:szCs w:val="20"/>
          <w:color w:val="auto"/>
        </w:rPr>
      </w:pPr>
    </w:p>
    <w:p>
      <w:pPr>
        <w:jc w:val="both"/>
        <w:ind w:left="8" w:hanging="8"/>
        <w:spacing w:after="0" w:line="311" w:lineRule="auto"/>
        <w:tabs>
          <w:tab w:leader="none" w:pos="2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Our Initial Stockholders, officers and directors have agreed to waive their redemption rights with respect to their shares of common stock in connection with the consummation of our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number of shares I may redeem?</w:t>
      </w:r>
    </w:p>
    <w:p>
      <w:pPr>
        <w:spacing w:after="0" w:line="175" w:lineRule="exact"/>
        <w:rPr>
          <w:sz w:val="20"/>
          <w:szCs w:val="20"/>
          <w:color w:val="auto"/>
        </w:rPr>
      </w:pPr>
    </w:p>
    <w:p>
      <w:pPr>
        <w:jc w:val="both"/>
        <w:ind w:left="8" w:hanging="8"/>
        <w:spacing w:after="0" w:line="254" w:lineRule="auto"/>
        <w:tabs>
          <w:tab w:leader="none" w:pos="2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no specified maximum redemption threshold under our current certificate of incorporation. Each redemption of shares of common stock by our public stockholders will reduce the amount in the Trust Account. The Merger Agreement provides that Sema4’s obligation to consummate the Business Combination is conditioned on the funds in the Trust Account, together with the funding of any amounts payable under the Subscription Agreements, being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total number of shares that may be redeemed?</w:t>
      </w:r>
    </w:p>
    <w:p>
      <w:pPr>
        <w:spacing w:after="0" w:line="175" w:lineRule="exact"/>
        <w:rPr>
          <w:sz w:val="20"/>
          <w:szCs w:val="20"/>
          <w:color w:val="auto"/>
        </w:rPr>
      </w:pPr>
    </w:p>
    <w:p>
      <w:pPr>
        <w:jc w:val="both"/>
        <w:ind w:left="8" w:hanging="8"/>
        <w:spacing w:after="0" w:line="269" w:lineRule="auto"/>
        <w:tabs>
          <w:tab w:leader="none" w:pos="244" w:val="left"/>
        </w:tabs>
        <w:numPr>
          <w:ilvl w:val="0"/>
          <w:numId w:val="70"/>
        </w:numPr>
        <w:rPr>
          <w:rFonts w:ascii="Arial" w:cs="Arial" w:eastAsia="Arial" w:hAnsi="Arial"/>
          <w:sz w:val="17"/>
          <w:szCs w:val="17"/>
          <w:color w:val="auto"/>
        </w:rPr>
      </w:pPr>
      <w:r>
        <w:rPr>
          <w:rFonts w:ascii="Arial" w:cs="Arial" w:eastAsia="Arial" w:hAnsi="Arial"/>
          <w:sz w:val="17"/>
          <w:szCs w:val="17"/>
          <w:color w:val="auto"/>
        </w:rPr>
        <w:t>Yes. Our current certificate of incorporation provides that we may not redeem our public shares in an amount that would result in the Company’s failure to have net tangible assets in excess of $5,000,000 (such that we are not subject to the SEC’s “penny stock” rules) or any greater net tangible asset or cash requirement which may be contained in the Merger Agreement. Other than this limitation, our current certificate of incorporation does not provide a specified maximum redemption threshold. In addition, the Merger Agreement provides that the obligation of Sema4 to consummate the Business Combination is conditioned on the amount in the Trust Account and the proceeds from the PIPE Investment equaling or exceeding $300,000,000, after the payment of redemptions and satisfaction of Company and Sema4 transaction expenses. 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1"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Based on the amount of approximately $442,763,951 million in our Trust Account as of December 31, 2020, and taking into account the anticipated gross proceeds of approximately $350,000,000 from the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8"/>
          </w:cols>
          <w:pgMar w:left="652" w:top="1421" w:right="339" w:bottom="1440" w:gutter="0" w:footer="0" w:header="0"/>
        </w:sectPr>
      </w:pPr>
    </w:p>
    <w:bookmarkStart w:id="34" w:name="page35"/>
    <w:bookmarkEnd w:id="34"/>
    <w:p>
      <w:pPr>
        <w:ind w:left="8"/>
        <w:spacing w:after="0" w:line="277" w:lineRule="auto"/>
        <w:rPr>
          <w:sz w:val="20"/>
          <w:szCs w:val="20"/>
          <w:color w:val="auto"/>
        </w:rPr>
      </w:pPr>
      <w:r>
        <w:rPr>
          <w:rFonts w:ascii="Arial" w:cs="Arial" w:eastAsia="Arial" w:hAnsi="Arial"/>
          <w:sz w:val="18"/>
          <w:szCs w:val="18"/>
          <w:color w:val="auto"/>
        </w:rPr>
        <w:t>Investment, all of our shares of common stock may be redeemed and still enable us to have sufficient cash to satisfy the cash closing conditions in the Merger Agreement. We refer to this as the maximum redemption scenario.</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how I vote affect my ability to exercise redemption rights?</w:t>
      </w:r>
    </w:p>
    <w:p>
      <w:pPr>
        <w:spacing w:after="0" w:line="175" w:lineRule="exact"/>
        <w:rPr>
          <w:sz w:val="20"/>
          <w:szCs w:val="20"/>
          <w:color w:val="auto"/>
        </w:rPr>
      </w:pPr>
    </w:p>
    <w:p>
      <w:pPr>
        <w:jc w:val="both"/>
        <w:ind w:left="8" w:hanging="8"/>
        <w:spacing w:after="0" w:line="257" w:lineRule="auto"/>
        <w:tabs>
          <w:tab w:leader="none" w:pos="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common stock for or against, or whether you abstain from voting on the Business Combination Proposal or any other proposal described by this proxy statement. As a result, the Merger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exercise my redemption rights?</w:t>
      </w:r>
    </w:p>
    <w:p>
      <w:pPr>
        <w:spacing w:after="0" w:line="175" w:lineRule="exact"/>
        <w:rPr>
          <w:sz w:val="20"/>
          <w:szCs w:val="20"/>
          <w:color w:val="auto"/>
        </w:rPr>
      </w:pPr>
    </w:p>
    <w:p>
      <w:pPr>
        <w:jc w:val="both"/>
        <w:ind w:left="8" w:hanging="8"/>
        <w:spacing w:after="0" w:line="255" w:lineRule="auto"/>
        <w:tabs>
          <w:tab w:leader="none" w:pos="2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July 19, 2021 (two business days before the Special Meeting) (a) submit a written request to the Transfer Agent that the Company redeem your public shares for cash and (b) deliver your public shares to the Transfer Agent, physically or electronically through DTC (as defined herein). Any demand for redemption, once made, may be withdrawn at any time until the deadline for exercising redemption requests and thereafter, with our consent, until the Closing.</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Depository Trust Company’s (“</w:t>
      </w:r>
      <w:r>
        <w:rPr>
          <w:rFonts w:ascii="Arial" w:cs="Arial" w:eastAsia="Arial" w:hAnsi="Arial"/>
          <w:sz w:val="18"/>
          <w:szCs w:val="18"/>
          <w:i w:val="1"/>
          <w:iCs w:val="1"/>
          <w:color w:val="auto"/>
        </w:rPr>
        <w:t>DTC</w:t>
      </w:r>
      <w:r>
        <w:rPr>
          <w:rFonts w:ascii="Arial" w:cs="Arial" w:eastAsia="Arial" w:hAnsi="Arial"/>
          <w:sz w:val="18"/>
          <w:szCs w:val="18"/>
          <w:color w:val="auto"/>
        </w:rPr>
        <w:t>”) Deposit/Withdrawal At Custodian (“</w:t>
      </w:r>
      <w:r>
        <w:rPr>
          <w:rFonts w:ascii="Arial" w:cs="Arial" w:eastAsia="Arial" w:hAnsi="Arial"/>
          <w:sz w:val="18"/>
          <w:szCs w:val="18"/>
          <w:i w:val="1"/>
          <w:iCs w:val="1"/>
          <w:color w:val="auto"/>
        </w:rPr>
        <w:t>DWAC</w:t>
      </w:r>
      <w:r>
        <w:rPr>
          <w:rFonts w:ascii="Arial" w:cs="Arial" w:eastAsia="Arial" w:hAnsi="Arial"/>
          <w:sz w:val="18"/>
          <w:szCs w:val="18"/>
          <w:color w:val="auto"/>
        </w:rPr>
        <w:t xml:space="preserve">”) system, at such stockholder’s option. </w:t>
      </w:r>
      <w:r>
        <w:rPr>
          <w:rFonts w:ascii="Arial" w:cs="Arial" w:eastAsia="Arial" w:hAnsi="Arial"/>
          <w:sz w:val="18"/>
          <w:szCs w:val="18"/>
          <w:b w:val="1"/>
          <w:bCs w:val="1"/>
          <w:u w:val="single" w:color="auto"/>
          <w:color w:val="auto"/>
        </w:rPr>
        <w:t>The requirement for physical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electronic delivery prior to the Special Meeting ensures that a redeeming stockholder’s election to redeem is irrevocable once the Business Combination is approved.</w:t>
      </w:r>
    </w:p>
    <w:p>
      <w:pPr>
        <w:spacing w:after="0" w:line="13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8"/>
          </w:cols>
          <w:pgMar w:left="652" w:top="1421" w:right="339" w:bottom="1440" w:gutter="0" w:footer="0" w:header="0"/>
        </w:sectPr>
      </w:pPr>
    </w:p>
    <w:bookmarkStart w:id="35" w:name="page36"/>
    <w:bookmarkEnd w:id="35"/>
    <w:p>
      <w:pPr>
        <w:ind w:left="8"/>
        <w:spacing w:after="0"/>
        <w:rPr>
          <w:sz w:val="20"/>
          <w:szCs w:val="20"/>
          <w:color w:val="auto"/>
        </w:rPr>
      </w:pPr>
      <w:r>
        <w:rPr>
          <w:rFonts w:ascii="Arial" w:cs="Arial" w:eastAsia="Arial" w:hAnsi="Arial"/>
          <w:sz w:val="18"/>
          <w:szCs w:val="18"/>
          <w:b w:val="1"/>
          <w:bCs w:val="1"/>
          <w:color w:val="auto"/>
        </w:rPr>
        <w:t>Q: What are the U.S. federal income tax consequences of exercising my redemption rights?</w:t>
      </w:r>
    </w:p>
    <w:p>
      <w:pPr>
        <w:spacing w:after="0" w:line="175" w:lineRule="exact"/>
        <w:rPr>
          <w:sz w:val="20"/>
          <w:szCs w:val="20"/>
          <w:color w:val="auto"/>
        </w:rPr>
      </w:pPr>
    </w:p>
    <w:p>
      <w:pPr>
        <w:jc w:val="both"/>
        <w:ind w:left="8" w:hanging="8"/>
        <w:spacing w:after="0" w:line="272" w:lineRule="auto"/>
        <w:tabs>
          <w:tab w:leader="none" w:pos="2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U.S. federal income tax consequences of exercising your redemption rights depends on your particular facts and circumstances. It is possible that you may be treated as selling your public shares for cash and, as a result, recognize capital gain or capital loss. It is also possible that the redemption may be treated as a distribution for U.S. federal income tax purposes depending on the amount of public shares that you own or are deemed to own (including through the ownership of the warrants). Please see the section entitled “</w:t>
      </w:r>
      <w:r>
        <w:rPr>
          <w:rFonts w:ascii="Arial" w:cs="Arial" w:eastAsia="Arial" w:hAnsi="Arial"/>
          <w:sz w:val="17"/>
          <w:szCs w:val="17"/>
          <w:i w:val="1"/>
          <w:iCs w:val="1"/>
          <w:color w:val="auto"/>
        </w:rPr>
        <w:t>Proposal No. 1 — Approval of the Business Combination —</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 United States Federal Income Tax Considerations for Public Stockholders Exercising Redemption Rights</w:t>
      </w:r>
      <w:r>
        <w:rPr>
          <w:rFonts w:ascii="Arial" w:cs="Arial" w:eastAsia="Arial" w:hAnsi="Arial"/>
          <w:sz w:val="17"/>
          <w:szCs w:val="17"/>
          <w:color w:val="auto"/>
        </w:rPr>
        <w:t>” for a more detailed discussion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U.S. federal income tax considerations of an exercise of redemption rights. We urge you to consult your tax advisors regarding the tax consequences of exercising your redemption rights in your particular facts and circumstances.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a Company warrant holder, can I exercise redemption rights with respect to my public warrants?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The holders of our public warrants have no redemption rights with respect to our public warrants.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appraisal rights if I object to the proposed Business Combination?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Appraisal rights are not available to holders of our common stock in connection with the Business Combination.</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to the funds held in the Trust Account upon consummation of the Business Combination?</w:t>
      </w:r>
    </w:p>
    <w:p>
      <w:pPr>
        <w:spacing w:after="0" w:line="175" w:lineRule="exact"/>
        <w:rPr>
          <w:sz w:val="20"/>
          <w:szCs w:val="20"/>
          <w:color w:val="auto"/>
        </w:rPr>
      </w:pPr>
    </w:p>
    <w:p>
      <w:pPr>
        <w:jc w:val="both"/>
        <w:ind w:left="8" w:hanging="8"/>
        <w:spacing w:after="0" w:line="259" w:lineRule="auto"/>
        <w:tabs>
          <w:tab w:leader="none" w:pos="2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funds held in the Trust Account (together with the proceeds from the PIPE Investment) will be used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is not consummated?</w:t>
      </w:r>
    </w:p>
    <w:p>
      <w:pPr>
        <w:spacing w:after="0" w:line="175" w:lineRule="exact"/>
        <w:rPr>
          <w:sz w:val="20"/>
          <w:szCs w:val="20"/>
          <w:color w:val="auto"/>
        </w:rPr>
      </w:pPr>
    </w:p>
    <w:p>
      <w:pPr>
        <w:ind w:left="8" w:hanging="8"/>
        <w:spacing w:after="0" w:line="308" w:lineRule="auto"/>
        <w:tabs>
          <w:tab w:leader="none" w:pos="2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There are certain circumstances under which the Merger Agreement may be terminated. Please see the section entitled “</w:t>
      </w:r>
      <w:r>
        <w:rPr>
          <w:rFonts w:ascii="Arial" w:cs="Arial" w:eastAsia="Arial" w:hAnsi="Arial"/>
          <w:sz w:val="17"/>
          <w:szCs w:val="17"/>
          <w:i w:val="1"/>
          <w:iCs w:val="1"/>
          <w:color w:val="auto"/>
        </w:rPr>
        <w:t>Proposal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 — The Merger Agreement</w:t>
      </w:r>
      <w:r>
        <w:rPr>
          <w:rFonts w:ascii="Arial" w:cs="Arial" w:eastAsia="Arial" w:hAnsi="Arial"/>
          <w:sz w:val="17"/>
          <w:szCs w:val="17"/>
          <w:color w:val="auto"/>
        </w:rPr>
        <w:t>” for information regarding the parties’ specific termination rights.</w:t>
      </w:r>
    </w:p>
    <w:p>
      <w:pPr>
        <w:spacing w:after="0" w:line="92" w:lineRule="exact"/>
        <w:rPr>
          <w:sz w:val="20"/>
          <w:szCs w:val="20"/>
          <w:color w:val="auto"/>
        </w:rPr>
      </w:pPr>
    </w:p>
    <w:p>
      <w:pPr>
        <w:jc w:val="both"/>
        <w:ind w:left="8"/>
        <w:spacing w:after="0" w:line="287" w:lineRule="auto"/>
        <w:rPr>
          <w:sz w:val="20"/>
          <w:szCs w:val="20"/>
          <w:color w:val="auto"/>
        </w:rPr>
      </w:pPr>
      <w:r>
        <w:rPr>
          <w:rFonts w:ascii="Arial" w:cs="Arial" w:eastAsia="Arial" w:hAnsi="Arial"/>
          <w:sz w:val="16"/>
          <w:szCs w:val="16"/>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the Company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Related to the Company and the Business Combination</w:t>
      </w:r>
      <w:r>
        <w:rPr>
          <w:rFonts w:ascii="Arial" w:cs="Arial" w:eastAsia="Arial" w:hAnsi="Arial"/>
          <w:sz w:val="16"/>
          <w:szCs w:val="16"/>
          <w:color w:val="auto"/>
        </w:rPr>
        <w:t>.”</w:t>
      </w:r>
    </w:p>
    <w:p>
      <w:pPr>
        <w:spacing w:after="0" w:line="118"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8"/>
          </w:cols>
          <w:pgMar w:left="652" w:top="1417" w:right="339" w:bottom="1440" w:gutter="0" w:footer="0" w:header="0"/>
        </w:sectPr>
      </w:pPr>
    </w:p>
    <w:bookmarkStart w:id="36" w:name="page37"/>
    <w:bookmarkEnd w:id="36"/>
    <w:p>
      <w:pPr>
        <w:ind w:left="8"/>
        <w:spacing w:after="0" w:line="277" w:lineRule="auto"/>
        <w:rPr>
          <w:sz w:val="20"/>
          <w:szCs w:val="20"/>
          <w:color w:val="auto"/>
        </w:rPr>
      </w:pPr>
      <w:r>
        <w:rPr>
          <w:rFonts w:ascii="Arial" w:cs="Arial" w:eastAsia="Arial" w:hAnsi="Arial"/>
          <w:sz w:val="18"/>
          <w:szCs w:val="18"/>
          <w:color w:val="auto"/>
        </w:rPr>
        <w:t>In addition, if we fail to complete a business combination by the applicable deadline, there will be no redemption rights or liquidating distributions with respect to our outstanding warrants, which will expire worthless.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When is the Business Combination expected to be completed?</w:t>
      </w:r>
    </w:p>
    <w:p>
      <w:pPr>
        <w:spacing w:after="0" w:line="175" w:lineRule="exact"/>
        <w:rPr>
          <w:sz w:val="20"/>
          <w:szCs w:val="20"/>
          <w:color w:val="auto"/>
        </w:rPr>
      </w:pPr>
    </w:p>
    <w:p>
      <w:pPr>
        <w:jc w:val="both"/>
        <w:ind w:left="8" w:hanging="8"/>
        <w:spacing w:after="0" w:line="259" w:lineRule="auto"/>
        <w:tabs>
          <w:tab w:leader="none" w:pos="2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Proposal No. 1 — Approval of the Business Combination —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The closing is expected to occur in the third quarter of 2021. The Merger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or Sema4 if the Closing has not occurred by November 9, 2021.</w:t>
      </w:r>
    </w:p>
    <w:p>
      <w:pPr>
        <w:spacing w:after="0" w:line="133"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Proposal No. 1 — 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Merger Agreement— Conditions to 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left="8" w:hanging="8"/>
        <w:spacing w:after="0" w:line="259"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left="8" w:hanging="8"/>
        <w:spacing w:after="0" w:line="291" w:lineRule="auto"/>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$25,000,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common stock for their expenses in forwarding soliciting materials to beneficial owners of the Company’s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10065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Attn: Eli Casdin</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CMLF@dfking.com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8"/>
          </w:cols>
          <w:pgMar w:left="652"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w:t>
      </w:r>
      <w:r>
        <w:rPr>
          <w:rFonts w:ascii="Arial" w:cs="Arial" w:eastAsia="Arial" w:hAnsi="Arial"/>
          <w:sz w:val="16"/>
          <w:szCs w:val="16"/>
          <w:i w:val="1"/>
          <w:iCs w:val="1"/>
          <w:color w:val="auto"/>
        </w:rPr>
        <w:t>How do I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my redemption rights</w:t>
      </w:r>
      <w:r>
        <w:rPr>
          <w:rFonts w:ascii="Arial" w:cs="Arial" w:eastAsia="Arial" w:hAnsi="Arial"/>
          <w:sz w:val="16"/>
          <w:szCs w:val="16"/>
          <w:color w:val="auto"/>
        </w:rPr>
        <w:t>?” If you have questions regarding the certification of your position or delivery of your stock, please contact our Transfer Agent:</w:t>
      </w:r>
    </w:p>
    <w:p>
      <w:pPr>
        <w:spacing w:after="0" w:line="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660" w:top="1421" w:right="339" w:bottom="1440" w:gutter="0" w:footer="0" w:header="0"/>
        </w:sectPr>
      </w:pPr>
    </w:p>
    <w:bookmarkStart w:id="38" w:name="page39"/>
    <w:bookmarkEnd w:id="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summary highlights selected information contained in this proxy statement and does not contain all of the information that may be important to you. You should carefully read this entire proxy statement, including the Annexes and accompanying financial statements of the Company and Sema4, to fully understand the proposed Business Combination (as described below) before voting on the proposals to be considered at the Special Meeting (as described below).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of this proxy statement.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Unless otherwise specified, all share calculations assume: (i) no exercise of redemption rights by the Company’s public stockholders; (ii) no inclusion of any shares of Class A common stock issuable upon the exercise of the Company’s warrants or any shares to be issued pursuant to the Incentive Plan or the ESPP at or following the Closing; (iii) an equity raise of approximately $350,000,000 of gross proceeds from the PIPE Investment of 35,000,000 shares of common stock at $10.00 per share; and (iv) no issuance of the Earn-Out Shares to Sema4 equity holders upon satisfaction of the earn-out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blank check company incorporated as a Delaware corporation and formed for the purpose of effecting a merger, capital stock exchange, asset acquisition, stock purchase, reorganization or similar business combination with one or more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the Company’s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Merger Sub, a Delaware corporation, is a wholly-owned subsidiary of the Company, formed by the Company in February 1, 2021, to consummate the Business Combination. In the Business Combination, Merger Sub will merge with and into Sema4, with Sema4 continuing as the surviving corporation.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Merger Sub’s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was formed in October 2015 as Mount Sinai Genomics, Inc., a Delaware corporation, doing business as Sema4, and commenced operations in 2017. 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324"/>
        <w:spacing w:after="0" w:line="259"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Proposal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Merger Sub entered into the Merger Agreement with Sema4. The Sema4 stockholders have unanimously adopted and approved the Merger Agreement. CMLS shares are currently listed on Nasdaq. If the Merger Agreement is approved by Company stockholders at the Special Meeting, Merger Sub will merge with and into Sema4, with Sema4 surviving the merger as a wholly owned subsidiary of the Company. For more information about the transactions contemplated by the Merger Agreement, please see the section entitled “P</w:t>
      </w:r>
      <w:r>
        <w:rPr>
          <w:rFonts w:ascii="Arial" w:cs="Arial" w:eastAsia="Arial" w:hAnsi="Arial"/>
          <w:sz w:val="17"/>
          <w:szCs w:val="17"/>
          <w:i w:val="1"/>
          <w:iCs w:val="1"/>
          <w:color w:val="auto"/>
        </w:rPr>
        <w:t>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w:t>
      </w:r>
      <w:r>
        <w:rPr>
          <w:rFonts w:ascii="Arial" w:cs="Arial" w:eastAsia="Arial" w:hAnsi="Arial"/>
          <w:sz w:val="17"/>
          <w:szCs w:val="17"/>
          <w:color w:val="auto"/>
        </w:rPr>
        <w:t>.” Copy of the Merger Agreement is attached to this proxy statement as Annex 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to the Sema4 shareholders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section describes the material provisions of the Related Agreements, but does not purport to describe all of the terms thereof. The following summary is qualified in its entirety by reference to the complete text of each of the Related Agreements, as applicable. Forms of the Forfeiture Agreement, Shareholder Lock-up Letter, Sponsor Support Agreement and Subscription Agreement are attached hereto as Annexes F, G, H and C, respectively. Stockholders and other interested parties are urged to read such Related Agreements in their entirety prior to voting on the proposals presented at the Special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execution of the Business Combination Agreement, the Company, the Sponsor and certain other parties thereto (collectively, the “rights holders”) enter into the Amended and Restated Registration Rights Agreement, a form of which was agreed to on February 9, 2021, which will amend and restate in its entirety the existing registration rights agreement, dated September 1, 2020, by and between CMLS and the parties thereto. Pursuant to the terms of the Amended and Restated Registration Rights Agreement, CMLS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CMLS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CMLS that it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 review such registration statement, subject to extension in the event that the registration is subject comments from the SEC.</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CMLS file a registration statement on Form S-1 or Form S-3 to register certain shares of CMLS Class A common stock held by such rights holders. The Amended and Restated Registration Rights Agreement will also provide the rights holders with “piggy-back” registration rights, subject to certain requirements and customary conditions. The Company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Agreement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the execution of the Merger Agreement, the Company and the Sponsor entered into the Forfeiture Agreement whereby the Sponsor agreed to forfeit certain of its Private Placement Warrants and Class B common stock. Under the Forfeiture Agreement, up to 33% of Sponsor’s warrants and shares are subject to forfeiture based on the extent of redemptions from the Trust Account, such that Sponsor shall forfeit the full 33% of such warrants and shares if there are redemptions for 100% of the Trust Account and no warrants or shares if there are less than 3% redemptions (with the portion of such 33% of Sponsor’s warrants and shares that are forfeited adjusting on a linear basis in between 100% and 3% redemptions from the Trust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execution of the Merger Agreement, the Company and 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ISMMS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 Company’s stockholders having the right to exchange their shares of Company capital stock for cash, securities or other property. Notwithstanding the foregoing, the ISMMS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execution of the Merger Agreement, each Sema4 Stockholder holding more than 1% of the outstanding common stock of Sema4 as of the date thereof, entered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such shareholder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301" w:lineRule="auto"/>
        <w:rPr>
          <w:sz w:val="20"/>
          <w:szCs w:val="20"/>
          <w:color w:val="auto"/>
        </w:rPr>
      </w:pPr>
      <w:r>
        <w:rPr>
          <w:rFonts w:ascii="Arial" w:cs="Arial" w:eastAsia="Arial" w:hAnsi="Arial"/>
          <w:sz w:val="16"/>
          <w:szCs w:val="16"/>
          <w:color w:val="auto"/>
        </w:rPr>
        <w:t>Company’s stockholders having the right to exchange their shares of Company capital stock for cash, securities or other property. Notwithstanding the foregoing, the shareholder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execution of the Merger Agreement, the Sponsor entered into the Sponsor Support Agreement with the Company and Sema4, pursuant to which, among other things, the Sponsor agreed to vote all shares of Company Class B Stock and Private Placement Warrants beneficially owned by the Sponsor in favor of each of the proposals and any other matters necessary or reasonably requested by Sema4 for consummation of the merger and the other transactions contemplated by the Merger Agreement, and against any other competing business combination proposal.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Sponsor Support Agreement provides that the Sponsor will not redeem any shares of common stock in connection with the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also agreed, subject to certain exceptions, not to (a) transfer any of its Company Class B Stock (which, immediately prior to the effective time, will be converted into 1/100th of a share of Class A common stock in accordance with organizational documents of Sema4) or Private Placement Warrants, (b) enter into any swap or other arrangement that transfers to another the Sponsor’s Company Class B Stock or Private Placement Warrants, (c) publicly announce any intention to effect any transaction specified by the foregoing until the earlier of (i) the effective time, (ii) such date and time as the Merger Agreement is terminated in accordance with its terms (the earlier of (i) and (ii), the “expiration time”), (iii) liquidation of the Company subsequent to the Closing.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Support Agreement provides for the terms of the Sponsor’s lock-up period with respect to its capital stock and warrants, the agreement also provides that no amendment may be made to the Inside Letter.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Sponsor Support Agreement shall terminate and be of no further force or effect upon the earliest of: (i) the expiration time, (b) the liquidation of the Company, (iii) the written agreement of the Company, Sponsor and Sema4. Upon such termination of the Sponsor Support Agreement, all obligations of the parties under such agreement will terminate, without any liability or other obligation on the part of any party to any person in respect thereof or the transactions contemplated thereby, and no party shall have any claim against another (and no person shall have any rights against such party), whether under contract, tort or otherwise, with respect to the subject matter thereof; provided, however, that the termination of the Sponsor Support Agreement shall not relieve any party thereto from liability arising in respect of any breach of the Sponsor Support Agreement prior to such termination.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 Letter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underwriting agreement and the IPO of the Company, the Company, the Sponsor and each insider and the Sponsor entered into the Insider Letter providing for a lock-up in relation to the Sponsor’s Class B common stock of the Company or any shares of Class A common stock of the Company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30-day 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Sponsor and each insider also agreed not to transfer any Private Placement Warrants (or any share of Class A common stock issued or issuable upon the exercise of the Private Placement Warrants), until 30 days after the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approved the form of the Incentive Plan on February 9, 2021, subject to stockholder approval of the Incentive Plan at the Special Meeting. The purpose of the Incentive Plan is to promote our long-term success of the Company and the creation of stockholder value by encouraging service providers to focus on critical long-range corporate objectives, encouraging the attraction and retention of service providers with exceptional qualifications and linking service providers directly to stockholder interests through increased stock ownership. These incentives are provided through the grant of stock options, including incentive stock options, and nonqualified stock options, stock appreciation rights, restricted stock, and restricted stock units. For more information about the Incentive Plan, please see the section entitled “</w:t>
      </w:r>
      <w:r>
        <w:rPr>
          <w:rFonts w:ascii="Arial" w:cs="Arial" w:eastAsia="Arial" w:hAnsi="Arial"/>
          <w:sz w:val="16"/>
          <w:szCs w:val="16"/>
          <w:i w:val="1"/>
          <w:iCs w:val="1"/>
          <w:color w:val="auto"/>
        </w:rPr>
        <w:t>Proposal No. 5 — Approval of the Incentive Plan — Summary of the Incentive Plan</w:t>
      </w:r>
      <w:r>
        <w:rPr>
          <w:rFonts w:ascii="Arial" w:cs="Arial" w:eastAsia="Arial" w:hAnsi="Arial"/>
          <w:sz w:val="16"/>
          <w:szCs w:val="16"/>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approved the form of the ESPP on February 9, 2021, subject to stockholder approval of the ESPP at the Special Meeting. 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Incentive Plan, please see the section entitled “Proposal No. 6 — Approval of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our current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the Company to pay its franchise and income taxes, by (ii) the total number of then-outstanding public shares; provided that the Company will not redeem any shares of common stock issued in the IPO to the extent that such redemption would result in the Company’s failure to have net tangible assets (as determined in accordance with Rule 3a51-1(g)(1) of the Exchange Act) in excess of $5,000,001. As of December 31, 2020, the estimated per share redemption price would have been approximately $10.00.</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 Any request for redemption may be withdrawn until the deadline for submitting redemption requests and thereafter, with our consent, until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Impact of the Business Combination on the Company’s Public Float</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35,000,000 shares of common stock in the aggregate, for $350,000,000 of</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The ownership percentage with respect to the post-combination company following the Business Combination does not take into account</w:t>
      </w:r>
    </w:p>
    <w:p>
      <w:pPr>
        <w:spacing w:after="0" w:line="5" w:lineRule="exact"/>
        <w:rPr>
          <w:sz w:val="20"/>
          <w:szCs w:val="20"/>
          <w:color w:val="auto"/>
        </w:rPr>
      </w:pPr>
    </w:p>
    <w:p>
      <w:pPr>
        <w:jc w:val="both"/>
        <w:ind w:firstLine="8"/>
        <w:spacing w:after="0" w:line="269" w:lineRule="auto"/>
        <w:tabs>
          <w:tab w:leader="none" w:pos="231" w:val="left"/>
        </w:tabs>
        <w:numPr>
          <w:ilvl w:val="0"/>
          <w:numId w:val="79"/>
        </w:numPr>
        <w:rPr>
          <w:rFonts w:ascii="Arial" w:cs="Arial" w:eastAsia="Arial" w:hAnsi="Arial"/>
          <w:sz w:val="17"/>
          <w:szCs w:val="17"/>
          <w:color w:val="auto"/>
        </w:rPr>
      </w:pPr>
      <w:r>
        <w:rPr>
          <w:rFonts w:ascii="Arial" w:cs="Arial" w:eastAsia="Arial" w:hAnsi="Arial"/>
          <w:sz w:val="17"/>
          <w:szCs w:val="17"/>
          <w:color w:val="auto"/>
        </w:rPr>
        <w:t>warrants to purchase common stock that will remain outstanding immediately following the Business Combination, (ii) the issuance of the Earn-Out Shares to the Sema4 equity holders should the earn-out conditions in the Merger Agreement be satisfied or (iii) the issuance of any shares upon completion of the Business Combination under the Incentive Plan and the ESPP, copies of which are attached to this proxy statement as Annex D and Annex E, respectively.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7"/>
          <w:szCs w:val="17"/>
          <w:i w:val="1"/>
          <w:iCs w:val="1"/>
          <w:color w:val="auto"/>
        </w:rPr>
        <w:t>Summary of the Proxy Statement — Impact of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illustrates varying ownership levels in the Company, assuming no redemptions by the Company’s public stockholders and the maximum redemptions by the Company’s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 Redemptions</w:t>
            </w:r>
          </w:p>
        </w:tc>
        <w:tc>
          <w:tcPr>
            <w:tcW w:w="1700" w:type="dxa"/>
            <w:vAlign w:val="bottom"/>
          </w:tcPr>
          <w:p>
            <w:pPr>
              <w:jc w:val="right"/>
              <w:ind w:right="13"/>
              <w:spacing w:after="0"/>
              <w:rPr>
                <w:sz w:val="20"/>
                <w:szCs w:val="20"/>
                <w:color w:val="auto"/>
              </w:rPr>
            </w:pPr>
            <w:r>
              <w:rPr>
                <w:rFonts w:ascii="Arial" w:cs="Arial" w:eastAsia="Arial" w:hAnsi="Arial"/>
                <w:sz w:val="14"/>
                <w:szCs w:val="14"/>
                <w:b w:val="1"/>
                <w:bCs w:val="1"/>
                <w:color w:val="auto"/>
              </w:rPr>
              <w:t>Maximum Redemptions</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Company’s public stockholders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PIPE Investors</w:t>
            </w:r>
          </w:p>
        </w:tc>
        <w:tc>
          <w:tcPr>
            <w:tcW w:w="170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Stockholders (excluding certain PIPE Investors)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former Sema4 equity holders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77.3 %</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Condensed Combined Financial Information — 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Charter Approval Proposal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our current certificate of incorporation will be amended promptly to reflect the Charter Approval Proposal to:</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 unless 2/3rds of the whole board of directors of the post-combination company approves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7" w:right="339" w:bottom="1440" w:gutter="0" w:footer="0" w:header="0"/>
        </w:sectPr>
      </w:pPr>
    </w:p>
    <w:bookmarkStart w:id="45" w:name="page46"/>
    <w:bookmarkEnd w:id="45"/>
    <w:p>
      <w:pPr>
        <w:ind w:left="660"/>
        <w:spacing w:after="0" w:line="277" w:lineRule="auto"/>
        <w:rPr>
          <w:sz w:val="20"/>
          <w:szCs w:val="20"/>
          <w:color w:val="auto"/>
        </w:rPr>
      </w:pPr>
      <w:r>
        <w:rPr>
          <w:rFonts w:ascii="Arial" w:cs="Arial" w:eastAsia="Arial" w:hAnsi="Arial"/>
          <w:sz w:val="18"/>
          <w:szCs w:val="18"/>
          <w:color w:val="auto"/>
        </w:rPr>
        <w:t>an amendment in which case such stockholder vote will require only a majority in voting power of the then outstanding stock of the post-combination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stockholders of the Company will be asked to vote on:</w:t>
      </w:r>
    </w:p>
    <w:p>
      <w:pPr>
        <w:spacing w:after="0" w:line="171" w:lineRule="exact"/>
        <w:rPr>
          <w:sz w:val="20"/>
          <w:szCs w:val="20"/>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Nasdaq Listing Rules, the issuance of more than 20% of the Company’s issued and outstanding common stock pursuant to the Business Combination and the PIPE Investment (Proposal No. 2);</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separate proposal to approve, on a non-binding advisory basis, certain governance provisions in the Amended and Restated Certificate of Incorporation in accordance with SEC requirements (Proposal No. 4);</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and adopt the Incentive Plan, a copy of which is attached to this proxy statement as Annex D, including the authorization of the initial share reserve under the Incentive Plan (Proposal No. 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and adopt the ESPP, a copy of which is attached to this proxy as Annex E, including the authorization of the initial share reserve under the ESPP (Proposal No. 6);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(Proposal No.7).</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2 — The Nasdaq Stock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4 — Approval of Certain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in the Amended and Restated Certificate of Incorporation</w:t>
      </w:r>
      <w:r>
        <w:rPr>
          <w:rFonts w:ascii="Arial" w:cs="Arial" w:eastAsia="Arial" w:hAnsi="Arial"/>
          <w:sz w:val="18"/>
          <w:szCs w:val="18"/>
          <w:color w:val="auto"/>
        </w:rPr>
        <w:t>,” “</w:t>
      </w:r>
      <w:r>
        <w:rPr>
          <w:rFonts w:ascii="Arial" w:cs="Arial" w:eastAsia="Arial" w:hAnsi="Arial"/>
          <w:sz w:val="18"/>
          <w:szCs w:val="18"/>
          <w:i w:val="1"/>
          <w:iCs w:val="1"/>
          <w:color w:val="auto"/>
        </w:rPr>
        <w:t>Proposal No. 5 — Approval of the Incentive Plan</w:t>
      </w:r>
      <w:r>
        <w:rPr>
          <w:rFonts w:ascii="Arial" w:cs="Arial" w:eastAsia="Arial" w:hAnsi="Arial"/>
          <w:sz w:val="18"/>
          <w:szCs w:val="18"/>
          <w:color w:val="auto"/>
        </w:rPr>
        <w:t>,” “</w:t>
      </w:r>
      <w:r>
        <w:rPr>
          <w:rFonts w:ascii="Arial" w:cs="Arial" w:eastAsia="Arial" w:hAnsi="Arial"/>
          <w:sz w:val="18"/>
          <w:szCs w:val="18"/>
          <w:i w:val="1"/>
          <w:iCs w:val="1"/>
          <w:color w:val="auto"/>
        </w:rPr>
        <w:t>Proposal No. 6 — Approval of the ESPP</w:t>
      </w:r>
      <w:r>
        <w:rPr>
          <w:rFonts w:ascii="Arial" w:cs="Arial" w:eastAsia="Arial" w:hAnsi="Arial"/>
          <w:sz w:val="18"/>
          <w:szCs w:val="18"/>
          <w:color w:val="auto"/>
        </w:rPr>
        <w:t>,” “</w:t>
      </w:r>
      <w:r>
        <w:rPr>
          <w:rFonts w:ascii="Arial" w:cs="Arial" w:eastAsia="Arial" w:hAnsi="Arial"/>
          <w:sz w:val="18"/>
          <w:szCs w:val="18"/>
          <w:i w:val="1"/>
          <w:iCs w:val="1"/>
          <w:color w:val="auto"/>
        </w:rPr>
        <w:t>Proposal No. 7 – The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8 — The Adjournment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9 --- The Auditor Ratification</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Special Meeting will be held on July 21, 2021 at 10:00 a.m. Eastern time at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entering your 12-digit control number, which is either included on the proxy card you received or obtained through Continental Stock Transfer &amp; Trust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Any stockholder wishing to attend the virtual meeting should register for the meeting by 5:00 p.m., Eastern time, on July 19, 2021,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To register for the Special Meeting, please follow these instructions as applicable to the nature of your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w:t>
      </w:r>
    </w:p>
    <w:p>
      <w:pPr>
        <w:spacing w:after="0" w:line="130" w:lineRule="exact"/>
        <w:rPr>
          <w:sz w:val="20"/>
          <w:szCs w:val="20"/>
          <w:color w:val="auto"/>
        </w:rPr>
      </w:pPr>
    </w:p>
    <w:p>
      <w:pPr>
        <w:jc w:val="both"/>
        <w:ind w:left="660" w:right="20" w:hanging="328"/>
        <w:spacing w:after="0" w:line="279" w:lineRule="auto"/>
        <w:tabs>
          <w:tab w:leader="none" w:pos="6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46" w:name="page47"/>
    <w:bookmarkEnd w:id="46"/>
    <w:p>
      <w:pPr>
        <w:jc w:val="both"/>
        <w:ind w:left="660" w:hanging="328"/>
        <w:spacing w:after="0" w:line="272"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Only Company stockholders of record at the close of business on June 21, 2021, the record date for the Special Meeting, will be entitled to vote at the Special Meeting. You are entitled to one vote for each share of Company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Company common stock outstanding and entitled to vote, of which 44,275,000 are public shares and 11,068,750 are Founder Shares held by our Initial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 — 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7" w:name="page48"/>
    <w:bookmarkEnd w:id="47"/>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 the fact that Joshua Ruch, Michael Pellini and Rachel Sherman may join as board members of the post-combination company (dependent on the approval of the Director Election Proposal), and Nat Turner, Emily Leproust and Eli Casdin will continue as a board member of the post-combination company, and each shall be entitled to receive compensation for serving on the board of directors of the post-combination company;</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formed for the purpose of effecting a merger, capital stock exchange, asset acquisition, stock purchase, reorganization or similar business combination with one or more businesses. We sought to do this by utilizing the networks and industry experience of both our Sponsor and our Board to identify, acquire and operate one or more businesses within or outside of the United States, although we were not limited to a particular industry or sector, we focused on the life sciences sector.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particular, our Board considered, among other things, the following positive factors, although not weighted or in any order of significance:</w:t>
      </w:r>
    </w:p>
    <w:p>
      <w:pPr>
        <w:spacing w:after="0" w:line="183" w:lineRule="exact"/>
        <w:rPr>
          <w:sz w:val="20"/>
          <w:szCs w:val="20"/>
          <w:color w:val="auto"/>
        </w:rPr>
      </w:pPr>
    </w:p>
    <w:p>
      <w:pPr>
        <w:jc w:val="both"/>
        <w:ind w:left="660" w:hanging="328"/>
        <w:spacing w:after="0" w:line="286"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with Supportive Long-Term Dynamics and Competitive Market Advantage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the fact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 with its next generation information and genomic platform that promises to yield insights to improve standards of care and drug discovery, satisfies all of the factors contributing to sustainable competitive advantages that the Board sought in a target.</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Stable Free Cash Flow, Prudent Debt and Financial Visibility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no debt other than long-term debt,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portion, in the amount of $18.5 million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48" w:name="page49"/>
    <w:bookmarkEnd w:id="48"/>
    <w:p>
      <w:pPr>
        <w:jc w:val="both"/>
        <w:ind w:left="328"/>
        <w:spacing w:after="0" w:line="311" w:lineRule="auto"/>
        <w:rPr>
          <w:sz w:val="20"/>
          <w:szCs w:val="20"/>
          <w:color w:val="auto"/>
        </w:rPr>
      </w:pPr>
      <w:r>
        <w:rPr>
          <w:rFonts w:ascii="Arial" w:cs="Arial" w:eastAsia="Arial" w:hAnsi="Arial"/>
          <w:sz w:val="16"/>
          <w:szCs w:val="16"/>
          <w:color w:val="auto"/>
        </w:rPr>
        <w:t>limited capital expenditures, and therefore satisfies the Board’s criteria of acquiring a business that has historically generated, or has the near-term potential to generate, strong and sustainable free cash flow. The Board also took into account that Sema4 had negative cash flow from operating activities in the amounts of $93.1 million, $18.7 million, and $24.7 million for the years ended December 31, 2020, 2019 and 2018, respectively.</w:t>
      </w:r>
    </w:p>
    <w:p>
      <w:pPr>
        <w:spacing w:after="0" w:line="95" w:lineRule="exact"/>
        <w:rPr>
          <w:sz w:val="20"/>
          <w:szCs w:val="20"/>
          <w:color w:val="auto"/>
        </w:rPr>
      </w:pPr>
    </w:p>
    <w:p>
      <w:pPr>
        <w:jc w:val="both"/>
        <w:ind w:left="328" w:hanging="328"/>
        <w:spacing w:after="0" w:line="257" w:lineRule="auto"/>
        <w:tabs>
          <w:tab w:leader="none" w:pos="323"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Clear Use of Proceeds and SPAC as Preferred Course of Action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a SPAC transaction is Sema4’s preferred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as opposed to a traditional initial public offering, because Sema4 can provide forward-looking guidance and talk more directly about projections for future years that are backed by existing customer contracts. As a result, Sema4’s ability to become a publicly-traded company is accelerated through a SPAC, and the proceeds raised in the Business Combination will fund Sema4 to positive cash flow and enable selective acquisitions.</w:t>
      </w:r>
    </w:p>
    <w:p>
      <w:pPr>
        <w:spacing w:after="0" w:line="133"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Committed and Capable Management Team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considered that Sema4 has a professional management team whose interests are aligned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of our stockholders and can clearly and confidently articulate the business plan and market opportunities to public market investors. Founder 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is an industry icon having over 20 years of financial leadership and experience, with a strong focus on the medical technology and life sciences space.</w:t>
      </w:r>
    </w:p>
    <w:p>
      <w:pPr>
        <w:spacing w:after="0" w:line="110" w:lineRule="exact"/>
        <w:rPr>
          <w:rFonts w:ascii="Arial" w:cs="Arial" w:eastAsia="Arial" w:hAnsi="Arial"/>
          <w:sz w:val="16"/>
          <w:szCs w:val="16"/>
          <w:color w:val="auto"/>
        </w:rPr>
      </w:pPr>
    </w:p>
    <w:p>
      <w:pPr>
        <w:ind w:left="328" w:hanging="328"/>
        <w:spacing w:after="0" w:line="308" w:lineRule="auto"/>
        <w:tabs>
          <w:tab w:leader="none" w:pos="323"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Engage Key Industry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and management team includes individuals with relationships across the industry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allow Sema4 to strategically align itself for synergistic collaborations and engagement with other industry leading companies.</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including Through Further Consolidation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the potential to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organically with its team of world class data scientists and engineers focused on category-defining healthcare intelligence. In particular, Sema4 is in an industry with significant opportunities and rationale for industry consolidation across multiple segments.</w:t>
      </w:r>
    </w:p>
    <w:p>
      <w:pPr>
        <w:spacing w:after="0" w:line="129"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has over 20 years of financial leadership and experience, with a strong focus on the medical technology and life sciences space.</w:t>
      </w:r>
    </w:p>
    <w:p>
      <w:pPr>
        <w:spacing w:after="0" w:line="122"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1421" w:right="339" w:bottom="1440" w:gutter="0" w:footer="0" w:header="0"/>
        </w:sectPr>
      </w:pPr>
    </w:p>
    <w:bookmarkStart w:id="49" w:name="page50"/>
    <w:bookmarkEnd w:id="49"/>
    <w:p>
      <w:pPr>
        <w:jc w:val="both"/>
        <w:ind w:left="660" w:hanging="328"/>
        <w:spacing w:after="0" w:line="25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Combining Board Members of both the Company and Sema4</w:t>
      </w:r>
      <w:r>
        <w:rPr>
          <w:rFonts w:ascii="Arial" w:cs="Arial" w:eastAsia="Arial" w:hAnsi="Arial"/>
          <w:sz w:val="18"/>
          <w:szCs w:val="18"/>
          <w:color w:val="auto"/>
        </w:rPr>
        <w:t>. The Board considered that the addition of members of the CM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to the Sema4 board of directors as part of the business combination will provide Sema4 with additional board members experienced in the life sciences industry and with experience as members of the board of a public company.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Company’s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respective obligations of the Company and Sema4 to complete the Business Combination are subject to the satisfaction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more fully described in “</w:t>
      </w:r>
      <w:r>
        <w:rPr>
          <w:rFonts w:ascii="Arial" w:cs="Arial" w:eastAsia="Arial" w:hAnsi="Arial"/>
          <w:sz w:val="18"/>
          <w:szCs w:val="18"/>
          <w:i w:val="1"/>
          <w:iCs w:val="1"/>
          <w:color w:val="auto"/>
        </w:rPr>
        <w:t>Proposal No. 1 — Approval of the Business Combination —</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 Agreement — Conditions to the Merger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there must be no legal requirement prohibiting, enjoining or making illegal the consummation of the transactions contemplated by the Merger Agreement and no restraining order prohibiting, enjoining or making illegal the consummation of such transactions may be in effect, as more fully described in “</w:t>
      </w:r>
      <w:r>
        <w:rPr>
          <w:rFonts w:ascii="Arial" w:cs="Arial" w:eastAsia="Arial" w:hAnsi="Arial"/>
          <w:sz w:val="17"/>
          <w:szCs w:val="17"/>
          <w:i w:val="1"/>
          <w:iCs w:val="1"/>
          <w:color w:val="auto"/>
        </w:rPr>
        <w:t>Proposal No. 1 — Approval of the Business Combination — The Merger Agreement — Conditions to the Merger</w:t>
      </w:r>
      <w:r>
        <w:rPr>
          <w:rFonts w:ascii="Arial" w:cs="Arial" w:eastAsia="Arial" w:hAnsi="Arial"/>
          <w:sz w:val="17"/>
          <w:szCs w:val="17"/>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Company’s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the Company to complete the Business Combination is also subject to the satisfaction, or waiver by the Company, of the following conditions: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Sema4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 ;</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50" w:name="page51"/>
    <w:bookmarkEnd w:id="50"/>
    <w:p>
      <w:pPr>
        <w:ind w:left="660"/>
        <w:spacing w:after="0" w:line="277" w:lineRule="auto"/>
        <w:rPr>
          <w:sz w:val="20"/>
          <w:szCs w:val="20"/>
          <w:color w:val="auto"/>
        </w:rPr>
      </w:pPr>
      <w:r>
        <w:rPr>
          <w:rFonts w:ascii="Arial" w:cs="Arial" w:eastAsia="Arial" w:hAnsi="Arial"/>
          <w:sz w:val="18"/>
          <w:szCs w:val="18"/>
          <w:color w:val="auto"/>
        </w:rPr>
        <w:t>copies of the documents to be delivered by the company pursuant to the Merger Agreement, duly executed by the applicable signatory or signatories specified therein, if 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Sema4’s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the HSR Act and the rules that have been promulgated thereunder by the U.S. Federal Trade Commission (“</w:t>
      </w:r>
      <w:r>
        <w:rPr>
          <w:rFonts w:ascii="Arial" w:cs="Arial" w:eastAsia="Arial" w:hAnsi="Arial"/>
          <w:sz w:val="16"/>
          <w:szCs w:val="16"/>
          <w:i w:val="1"/>
          <w:iCs w:val="1"/>
          <w:color w:val="auto"/>
        </w:rPr>
        <w:t>FTC</w:t>
      </w:r>
      <w:r>
        <w:rPr>
          <w:rFonts w:ascii="Arial" w:cs="Arial" w:eastAsia="Arial" w:hAnsi="Arial"/>
          <w:sz w:val="16"/>
          <w:szCs w:val="16"/>
          <w:color w:val="auto"/>
        </w:rPr>
        <w:t>”), certain transactions may not be consummated unless information has been furnished to the Antitrust Division of the Department of Justice (“</w:t>
      </w:r>
      <w:r>
        <w:rPr>
          <w:rFonts w:ascii="Arial" w:cs="Arial" w:eastAsia="Arial" w:hAnsi="Arial"/>
          <w:sz w:val="16"/>
          <w:szCs w:val="16"/>
          <w:i w:val="1"/>
          <w:iCs w:val="1"/>
          <w:color w:val="auto"/>
        </w:rPr>
        <w:t>Antitrust Division</w:t>
      </w:r>
      <w:r>
        <w:rPr>
          <w:rFonts w:ascii="Arial" w:cs="Arial" w:eastAsia="Arial" w:hAnsi="Arial"/>
          <w:sz w:val="16"/>
          <w:szCs w:val="16"/>
          <w:color w:val="auto"/>
        </w:rPr>
        <w:t>”)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request for additional information or documentary material related to the Business Combination (a “</w:t>
      </w:r>
      <w:r>
        <w:rPr>
          <w:rFonts w:ascii="Arial" w:cs="Arial" w:eastAsia="Arial" w:hAnsi="Arial"/>
          <w:sz w:val="16"/>
          <w:szCs w:val="16"/>
          <w:i w:val="1"/>
          <w:iCs w:val="1"/>
          <w:color w:val="auto"/>
        </w:rPr>
        <w:t>Second Request</w:t>
      </w:r>
      <w:r>
        <w:rPr>
          <w:rFonts w:ascii="Arial" w:cs="Arial" w:eastAsia="Arial" w:hAnsi="Arial"/>
          <w:sz w:val="16"/>
          <w:szCs w:val="16"/>
          <w:color w:val="auto"/>
        </w:rPr>
        <w: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51" w:name="page52"/>
    <w:bookmarkEnd w:id="51"/>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any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Proposal, the Adjournment Proposal and the Auditor Ratification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failure to vote or an abstention will have no effect on the Business Combination Proposal, the Nasdaq Stock Issuance Proposal, the Governance Proposal, the Incentive Plan Proposal, the ESPP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proposals in this proxy statement (other than the Governance Proposal, the Auditor Ratification Proposal and the Adjournment Proposal) are conditioned on the approval of the Business Combination Proposal, the Nasdaq Stock Issuance Proposal, the Incentive Plan Proposal and the ESPP Proposal.</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is important for you to note that in the event that the Business Combination Proposal, the Nasdaq Stock Issuance Proposal, the Incentive Plan Proposal, the ESPP Proposal or the Charter Approval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Board believes that each of the Business Combination Proposal, the Nasdaq Stock Issuance Proposal, the Charter Approval Proposal, the Governance Proposal, the Incentive Plan Proposal, the ESPP Proposal, the Director Election Proposal, the Adjournment Proposal and the Auditor Ratification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Arial" w:cs="Arial" w:eastAsia="Arial" w:hAnsi="Arial"/>
          <w:sz w:val="18"/>
          <w:szCs w:val="18"/>
          <w:i w:val="1"/>
          <w:iCs w:val="1"/>
          <w:color w:val="auto"/>
        </w:rPr>
        <w:t>Special Meeting of Company Stockholders — Recommendation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Stockholders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of this proxy statement. The occurrence of one or more of the events or circumstances described in that section, alone or in combination with other events or circumstances, may have a material adverse effect on (i) the ability of the Company and Sema4 to complete the Business Combination, and (ii) the business, cash flows, financial condition and results of operations of Sema4 prior to the consummation of the Business Combination and the post-combination company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17" w:right="339" w:bottom="1440" w:gutter="0" w:footer="0" w:header="0"/>
        </w:sectPr>
      </w:pPr>
    </w:p>
    <w:bookmarkStart w:id="53" w:name="page54"/>
    <w:bookmarkEnd w:id="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contains summary historical financial data for the Company as of and for the year ended December 31, 2020 and through March 31, 2021. Such data for the year ended and as of December 31, 2020 have been derived from the audited financial statements of the Company, which are included elsewhere in this proxy statement. The information below is only a summary and should be read in conjunction with the sections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notes and schedules related thereto, which are included elsewhere in this proxy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(39,907,559)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2021 (Unaudited)</w:t>
            </w:r>
          </w:p>
        </w:tc>
        <w:tc>
          <w:tcPr>
            <w:tcW w:w="140" w:type="dxa"/>
            <w:vAlign w:val="bottom"/>
          </w:tcPr>
          <w:p>
            <w:pPr>
              <w:spacing w:after="0"/>
              <w:rPr>
                <w:sz w:val="16"/>
                <w:szCs w:val="16"/>
                <w:color w:val="auto"/>
              </w:rPr>
            </w:pP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3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(386,106)</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(442,750,000)</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37"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433,895,000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10,855,000</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14605</wp:posOffset>
            </wp:positionV>
            <wp:extent cx="2048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444,230,787</w:t>
      </w:r>
    </w:p>
    <w:p>
      <w:pPr>
        <w:spacing w:after="0" w:line="38" w:lineRule="exact"/>
        <w:rPr>
          <w:sz w:val="20"/>
          <w:szCs w:val="20"/>
          <w:color w:val="auto"/>
        </w:rPr>
      </w:pPr>
    </w:p>
    <w:p>
      <w:pPr>
        <w:sectPr>
          <w:pgSz w:w="11900" w:h="16838" w:orient="portrait"/>
          <w:cols w:equalWidth="0" w:num="2">
            <w:col w:w="9540" w:space="720"/>
            <w:col w:w="980"/>
          </w:cols>
          <w:pgMar w:left="320" w:top="14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0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627,415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Change in value of common stock subject to possible redemption</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(58,471,923)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(27,049,112)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Deferred underwriting fee payable</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15,496,250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Payment of offering costs through promissory note — related party</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52,244</w:t>
            </w:r>
          </w:p>
        </w:tc>
      </w:tr>
      <w:tr>
        <w:trPr>
          <w:trHeight w:val="20"/>
        </w:trPr>
        <w:tc>
          <w:tcPr>
            <w:tcW w:w="8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37" w:right="339" w:bottom="1440" w:gutter="0" w:footer="0" w:header="0"/>
          <w:type w:val="continuous"/>
        </w:sectPr>
      </w:pPr>
    </w:p>
    <w:bookmarkStart w:id="56" w:name="page57"/>
    <w:bookmarkEnd w:id="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SEMA4</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selected historical consolidated statements of operations data of Sema4 for the years ended December 31, 2020, 2019 and 2018 and the historical consolidated balance sheet data as of December 31, 2020 and 2019 are derived from Sema4’s audited consolidated financial statements included elsewhere in this proxy statement. The selected consolidated statements of operations data for the three months ended March 31, 2021 and 2020 and the selected consolidated balance sheet data as of March 31, 2021 are derived from Sema4’s unaudited interim condensed consolidated financial statements included elsewhere in this proxy statement. Sema4’s historical results are not necessarily indicative of the results that may be expected in the future. You should read the following selected historical consolidated financial data together with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Sema4 consolidated financial statements and related notes included elsewhere in this proxy statement.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385"/>
        </w:trPr>
        <w:tc>
          <w:tcPr>
            <w:tcW w:w="43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385"/>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88"/>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2"/>
              </w:rPr>
              <w:t>Diagnostic test revenue (including related party revenue of</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5"/>
              </w:rPr>
              <w:t>$33 and $61 for the three months ended March 31, 2021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rPr>
              <w:t>and 2020, respectively; and of $285, $0 and $0 for the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4360" w:type="dxa"/>
            <w:vAlign w:val="bottom"/>
          </w:tcPr>
          <w:p>
            <w:pPr>
              <w:ind w:left="20"/>
              <w:spacing w:after="0" w:line="183" w:lineRule="exact"/>
              <w:rPr>
                <w:sz w:val="20"/>
                <w:szCs w:val="20"/>
                <w:color w:val="auto"/>
              </w:rPr>
            </w:pPr>
            <w:r>
              <w:rPr>
                <w:rFonts w:ascii="Arial" w:cs="Arial" w:eastAsia="Arial" w:hAnsi="Arial"/>
                <w:sz w:val="18"/>
                <w:szCs w:val="18"/>
                <w:color w:val="auto"/>
              </w:rPr>
              <w:t>years ended December 31, 2020, 2019, and 2018,</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9"/>
        </w:trPr>
        <w:tc>
          <w:tcPr>
            <w:tcW w:w="4360" w:type="dxa"/>
            <w:vAlign w:val="bottom"/>
          </w:tcPr>
          <w:p>
            <w:pPr>
              <w:ind w:left="20"/>
              <w:spacing w:after="0" w:line="250" w:lineRule="exact"/>
              <w:rPr>
                <w:sz w:val="20"/>
                <w:szCs w:val="20"/>
                <w:color w:val="auto"/>
              </w:rPr>
            </w:pPr>
            <w:r>
              <w:rPr>
                <w:rFonts w:ascii="Arial" w:cs="Arial" w:eastAsia="Arial" w:hAnsi="Arial"/>
                <w:sz w:val="18"/>
                <w:szCs w:val="18"/>
                <w:color w:val="auto"/>
              </w:rPr>
              <w:t>respectively)</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191,667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188"/>
        </w:trPr>
        <w:tc>
          <w:tcPr>
            <w:tcW w:w="43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5"/>
              </w:rPr>
              <w:t>Other revenue (including related party revenue of $27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$0 for the three months ended March 31, 2021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2020, respectively; and of $3, $1,180 and $254</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7"/>
              </w:rPr>
              <w:t>for the years ended December 31, 2020, 2019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4"/>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2018,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168"/>
        </w:trPr>
        <w:tc>
          <w:tcPr>
            <w:tcW w:w="4360" w:type="dxa"/>
            <w:vAlign w:val="bottom"/>
            <w:shd w:val="clear" w:color="auto" w:fill="CCEEFF"/>
          </w:tcPr>
          <w:p>
            <w:pPr>
              <w:ind w:left="180"/>
              <w:spacing w:after="0" w:line="168" w:lineRule="exact"/>
              <w:rPr>
                <w:sz w:val="20"/>
                <w:szCs w:val="20"/>
                <w:color w:val="auto"/>
              </w:rPr>
            </w:pPr>
            <w:r>
              <w:rPr>
                <w:rFonts w:ascii="Arial" w:cs="Arial" w:eastAsia="Arial" w:hAnsi="Arial"/>
                <w:sz w:val="18"/>
                <w:szCs w:val="18"/>
                <w:color w:val="auto"/>
                <w:w w:val="99"/>
              </w:rPr>
              <w:t>Cost of services (including related party expenses of</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7"/>
              </w:rPr>
              <w:t>$278 and $574 for the three months ended March 31,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3"/>
              </w:rPr>
              <w:t>2021 and 2020, respectively; and of $2,189, $1,859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43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w w:val="89"/>
              </w:rPr>
              <w:t>$4,122 for the years ended December 31, 2020, 2019 and</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9"/>
        </w:trPr>
        <w:tc>
          <w:tcPr>
            <w:tcW w:w="436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2018, respectively)</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23"/>
        </w:trPr>
        <w:tc>
          <w:tcPr>
            <w:tcW w:w="4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r>
      <w:tr>
        <w:trPr>
          <w:trHeight w:val="398"/>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8"/>
        </w:trPr>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8"/>
        </w:trPr>
        <w:tc>
          <w:tcPr>
            <w:tcW w:w="4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Weighted average shares outstanding of Class A common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A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 average shares outstanding of Class B common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B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 thousands</w:t>
            </w: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440"/>
              <w:spacing w:after="0" w:line="156" w:lineRule="exact"/>
              <w:rPr>
                <w:sz w:val="20"/>
                <w:szCs w:val="20"/>
                <w:color w:val="auto"/>
              </w:rPr>
            </w:pPr>
            <w:r>
              <w:rPr>
                <w:rFonts w:ascii="Arial" w:cs="Arial" w:eastAsia="Arial" w:hAnsi="Arial"/>
                <w:sz w:val="18"/>
                <w:szCs w:val="18"/>
                <w:color w:val="auto"/>
                <w:w w:val="97"/>
              </w:rPr>
              <w:t>Total stock-based compensation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gridSpan w:val="2"/>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expense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58,652</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108,132</w:t>
            </w:r>
          </w:p>
        </w:tc>
        <w:tc>
          <w:tcPr>
            <w:tcW w:w="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115,006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251,642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247,254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75,435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Redeemable convertible preferred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334,439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left="435"/>
              <w:spacing w:after="0"/>
              <w:rPr>
                <w:sz w:val="20"/>
                <w:szCs w:val="20"/>
                <w:color w:val="auto"/>
              </w:rPr>
            </w:pPr>
            <w:r>
              <w:rPr>
                <w:rFonts w:ascii="Arial" w:cs="Arial" w:eastAsia="Arial" w:hAnsi="Arial"/>
                <w:sz w:val="18"/>
                <w:szCs w:val="18"/>
                <w:color w:val="auto"/>
                <w:w w:val="93"/>
              </w:rPr>
              <w:t>(330,051)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selected unaudited pro forma condensed combined financial data is derived from the unaudited pro forma condensed combined balance sheet and unaudited pro forma condensed combined statements of operations included elsewhere in this proxy statement/prospectus.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combined financial statements are based on CMLS’s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March 31, 2021. The unaudited pro forma condensed combined statements of operations for the three months ended March 31, 2021 and for the year ended December 31, 2020, give effect to the Business Combination and the PIPE Investment as if they had occurred on January 1, 2020, the beginning of the earliest period presented.</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CMLS and Sema4 have not had any historical relationship prior to the Business Combination. Accordingly, no pro forma adjustments were required to eliminate activities between the companies.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other financial information relating to CMLS and Sema4 included elsewhere in this proxy statement/prospectus.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Assuming no Redemptions</w:t>
      </w:r>
      <w:r>
        <w:rPr>
          <w:rFonts w:ascii="Arial" w:cs="Arial" w:eastAsia="Arial" w:hAnsi="Arial"/>
          <w:sz w:val="17"/>
          <w:szCs w:val="17"/>
          <w:color w:val="auto"/>
        </w:rPr>
        <w:t>: 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4"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(as defined herein) 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Additionally, 2,439,452 shares of Class B common stock would be forfeited by the Sponsor as a result of the maximum redemptions in accordance with the Forfeiture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Pro Forma</w:t>
            </w:r>
          </w:p>
        </w:tc>
        <w:tc>
          <w:tcPr>
            <w:tcW w:w="1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Pr>
          <w:p>
            <w:pPr>
              <w:spacing w:after="0"/>
              <w:rPr>
                <w:sz w:val="16"/>
                <w:szCs w:val="16"/>
                <w:color w:val="auto"/>
              </w:rPr>
            </w:pPr>
          </w:p>
        </w:tc>
        <w:tc>
          <w:tcPr>
            <w:tcW w:w="290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2"/>
              </w:rPr>
              <w:t>Year Ended December 31, 2020</w:t>
            </w:r>
          </w:p>
        </w:tc>
      </w:tr>
      <w:tr>
        <w:trPr>
          <w:trHeight w:val="130"/>
        </w:trPr>
        <w:tc>
          <w:tcPr>
            <w:tcW w:w="4700" w:type="dxa"/>
            <w:vAlign w:val="bottom"/>
          </w:tcPr>
          <w:p>
            <w:pPr>
              <w:spacing w:after="0"/>
              <w:rPr>
                <w:sz w:val="11"/>
                <w:szCs w:val="11"/>
                <w:color w:val="auto"/>
              </w:rPr>
            </w:pPr>
          </w:p>
        </w:tc>
        <w:tc>
          <w:tcPr>
            <w:tcW w:w="16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b w:val="1"/>
                <w:bCs w:val="1"/>
                <w:color w:val="auto"/>
                <w:w w:val="90"/>
              </w:rPr>
              <w:t>Scenario 1 Assuming No</w:t>
            </w: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56"/>
              <w:spacing w:after="0" w:line="130" w:lineRule="exact"/>
              <w:rPr>
                <w:sz w:val="20"/>
                <w:szCs w:val="20"/>
                <w:color w:val="auto"/>
              </w:rPr>
            </w:pPr>
            <w:r>
              <w:rPr>
                <w:rFonts w:ascii="Arial" w:cs="Arial" w:eastAsia="Arial" w:hAnsi="Arial"/>
                <w:sz w:val="14"/>
                <w:szCs w:val="14"/>
                <w:b w:val="1"/>
                <w:bCs w:val="1"/>
                <w:color w:val="auto"/>
                <w:w w:val="89"/>
              </w:rPr>
              <w:t>Scenario 2 Assuming</w:t>
            </w:r>
          </w:p>
        </w:tc>
        <w:tc>
          <w:tcPr>
            <w:tcW w:w="100" w:type="dxa"/>
            <w:vAlign w:val="bottom"/>
          </w:tcPr>
          <w:p>
            <w:pPr>
              <w:spacing w:after="0"/>
              <w:rPr>
                <w:sz w:val="11"/>
                <w:szCs w:val="11"/>
                <w:color w:val="auto"/>
              </w:rPr>
            </w:pPr>
          </w:p>
        </w:tc>
        <w:tc>
          <w:tcPr>
            <w:tcW w:w="16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8"/>
              <w:spacing w:after="0"/>
              <w:rPr>
                <w:sz w:val="20"/>
                <w:szCs w:val="20"/>
                <w:color w:val="auto"/>
              </w:rPr>
            </w:pPr>
            <w:r>
              <w:rPr>
                <w:rFonts w:ascii="Arial" w:cs="Arial" w:eastAsia="Arial" w:hAnsi="Arial"/>
                <w:sz w:val="14"/>
                <w:szCs w:val="14"/>
                <w:b w:val="1"/>
                <w:bCs w:val="1"/>
                <w:color w:val="auto"/>
              </w:rPr>
              <w:t>Redemptions</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Maximum Redemptions</w:t>
            </w:r>
          </w:p>
        </w:tc>
        <w:tc>
          <w:tcPr>
            <w:tcW w:w="320" w:type="dxa"/>
            <w:vAlign w:val="bottom"/>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Statement of Operations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64,351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179,322</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179,322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(289,759)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r>
      <w:tr>
        <w:trPr>
          <w:trHeight w:val="46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4"/>
              </w:rPr>
              <w:t>Pro Forma</w:t>
            </w:r>
          </w:p>
        </w:tc>
        <w:tc>
          <w:tcPr>
            <w:tcW w:w="8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3"/>
              </w:rPr>
              <w:t>As of March 31, 2021</w:t>
            </w:r>
          </w:p>
        </w:tc>
        <w:tc>
          <w:tcPr>
            <w:tcW w:w="840" w:type="dxa"/>
            <w:vAlign w:val="bottom"/>
            <w:tcBorders>
              <w:bottom w:val="single" w:sz="8" w:color="auto"/>
            </w:tcBorders>
          </w:tcPr>
          <w:p>
            <w:pPr>
              <w:spacing w:after="0"/>
              <w:rPr>
                <w:sz w:val="16"/>
                <w:szCs w:val="16"/>
                <w:color w:val="auto"/>
              </w:rPr>
            </w:pPr>
          </w:p>
        </w:tc>
      </w:tr>
      <w:tr>
        <w:trPr>
          <w:trHeight w:val="130"/>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Balance Sheet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695,135</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644,202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7,750</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722,007</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722,007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proxy statement contains forward-looking statements within the meaning of the “safe harbor” provisions of the Private Securities Litigation Reform Act of 1995, including with respect to the anticipated timing, completion and effects of the Business Combination. These statements are based on the current expectations and beliefs of management of the Company and Sema4, and are subject to a number of factors and uncertainties that could cause actual results to differ materially from those described in the forward-looking statements. These forward-looking statements include statements about future financial and operating results of Sema4; benefits of the Business Combination; statements of the plans, strategies and objectives of management for future operations of Sema4; statements regarding future economic conditions or performance; and other statements regarding the Business Combination.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 the ability of CMLS and Sema4 prior to the Business Combination, and the post-combination company following the Business Combination, to:</w:t>
      </w:r>
    </w:p>
    <w:p>
      <w:pPr>
        <w:spacing w:after="0" w:line="11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meet the Closing conditions to and complete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realize the benefits expected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post-combination company’s ability to raise financing in the future and to comply with restrictive covenants related to long-term indebtedness;</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post-combination company’s success in retaining or recruiting, or changes required in, its officers, key employees or directors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Sema4,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post-combination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post-combination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worldwide in the industries in which the combined company will operate;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post-combination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Sema4 will be realized. All subsequent written and oral forward-looking statements concerning the Company, Sema4, the post-combination company, the transactions contemplated by the Merger Agreement or other matters attributable to the Company or Sema4 or any person acting on their behalf are expressly qualified in their entirety by the forward-looking statements above. Except to the extent required by applicable law, the Company and Sema4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related to Sema4 apply to the business and operations of Sema4 and will also apply to the business and operations of the post-combination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an adverse effect on the business, cash flows, financial condition and results of operations of the post-combination company. You should also carefully consider the following risk factors in addition to the other information included in this proxy statement, including matters addressed in the section entitled “Cautionary Note Regarding Forward-Looking Statements.” We or Sema4 may face additional risks and uncertainties that are not presently known to us or Sema4, or that we or Sema4 currently deem immaterial, which may also impair our or Sema4’s business or financial condition. The following discussion should be read in conjunction with the financial statements and notes to the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risks may have a material adverse effect on Sema4’s business, financial condition and results of operations. These risks include those described below and may include additional risks and uncertainties not presently known to Sema4 or that Sema4 currently deems immaterial. These risks should be read in conjunction with the other information in this proxy statement, including Sema4’s financial statements and related notes thereto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Sema4’s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together with related precautionary measures, began to materially disrupt Sema4’s business in April 2020 and may continue to disrupt its business for an unknown period of time. The territories in which Sema4 markets, sells, distributes and performs its tests and performs its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As a result, Sema4 experienced a significant impact to its 2020 operating results, including its order volumes, revenues, margins, and cash utilization, among other measures.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2020, Sema4 undertook temporary precautionary measures intended to help minimize the risk of the virus to its employees, including requiring most employees to work remotely; suspending field-based, face-to-face interactions by its sales force; requiring on-site employees to undergo COVID-19 testing, wear personal protective equipment (including face masks or shields) and maintain social distancing; pausing all non-essential travel for its employees; and limiting employee attendance at industry events and in-person work-related meetings, to the extent those events and meetings are continuing. Sema4’s current partners also took similar precautions, including suspending face-to-face interactions between sales representatives and healthcare providers.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expects to adjust its precautionary measures at its various locations based on local recovery levels and applicable governmental regulations. For example, a portion of Sema4’s sales force has recommenced field-based interactions, although access to healthcare providers remains limited and the resumption of normal activities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gradual. Sema4’s business could be negatively affected if it takes excessive, ineffective or inadequate precautions.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COVID-19 pandemic has materially impacted Sema4’s business, and may continue to impact its business for an unknown period of time. Such impacts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Sema4’s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Restrictions on travel, commerce and shipping may prevent patients and pathologists from shipping samples to Sema4’s clinical laboratories;</w:t>
      </w:r>
    </w:p>
    <w:p>
      <w:pPr>
        <w:spacing w:after="0" w:line="194"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Sema4’s supply chain or other business relationships, and it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has experienced, and for an extended period of time may continue to experience, reduced volumes at its clinical laboratories and it may need to suspend operations at some or all of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has taken, and may take additional, cost cutting measures, which may hinder its efforts to commercialize its products or delay the development of future products and services. Further, Sema4 might not realize all of the cost savings it expects to achieve as a result of those efforts;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Sema4 and its partners have postponed or cancelled clinical studies, which may delay or prevent its launch of future products and services;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Sema4’s workforce, much of which has been asked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combination of factors, including infection from the virus, supply shortfalls, and inability to obtain or maintain equipment, could adversely affect Sema4’s lab capacity and its ability to meet the demand for its testing services. In addition, in April of 2020 Sema4 began offering a COVID-19 test and by devoting lab capacity and supplies to that test, it may experience capacity limitations and supply shortfalls that adversely affect its ability to provide women’s health and oncology testing, and other tests that may generate more revenue and higher profits; and</w:t>
      </w:r>
    </w:p>
    <w:p>
      <w:pPr>
        <w:spacing w:after="0" w:line="10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may inaccurately estimate the duration or severity of the COVID-19 pandemic, which could cause it to misalign its staffing, spending, activities and precautionary measures with current or future market conditions.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Sema4’s efforts, the ultimate impact of COVID-19 depends on factors beyond its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Following the Business Combination volatile or declining markets for equities could adversely affect the post-combination company’s ability to raise capital in the future when needed through the sale of shares of common stock or other equity or equity-linked securities. If these market conditions persist when and if the post-combination company needs to raise capital, and if it is able to sell shares of its common stock following the Business Combination under then prevailing market conditions, the post-combination company might have to accept lower prices for its shares and issue a larger number of shares than might have been the case under better market conditions, resulting in significant dilution of the interests of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Sema4 will be able to comply with the applicable terms and conditions of the CARES Act and retain such assistance.</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2020, Sema4 received $5.4 million as part of the stimulus, comprised of $2.6 million received under the Provider Relief Fund, or PRF, distribution and $2.8 million received under the Employee Retention Credit, or ERC, distribution. During the three months ended March 31, 2021, Sema4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Sema4 concluded that the eligibility requirements were met. However, subsequent to the filing of the application, Sema4’s revenue was revised due to a change in estimate as a result of finalizing its accounting records, which impacted the applicable periods and calculations for determining eligibility, and may no longer meet the eligibility requirements. As such, Sema4 has deferred the recognition of the ERC distribution and recorded the proceeds in other liabilities on the balance sheets as of December 31, 2020 and March 31, 2021. See Note 2 to Sema4’s audited financial statements and Note 2 to Sema4’s unaudited condensed financial statements contained elsewhere in this proxy statement.</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high degree of uncertainty regarding the implementation of the CARES Act, the Consolidated Appropriations Act, 2021 and other stimulus legislation, and due to Sema4’s revenue revisions, there can be no assurance that the terms and conditions of the PRF, ERC or other relief programs will not change or be interpreted in ways that affect Sema4’s ability to comply with such terms and conditions in the future, which could affect its ability to retain such assistance. Sema4 will continue to monitor its compliance with the terms and conditions of the PRF, including demonstrating that the distributions received have been used for healthcare-related expenses or lost revenue attributable to COVID-19, and the ERC. If Sema4 is unable to comply with current or future terms and conditions, its ability to retain some or all of the distributions received may be impacted, and it may be subject to actions including payment recoupment, audits and inquiries by governmental authorities, and criminal, civil or administrative penalties.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Sema4’s technologies less competitive or obsolete.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operates in a rapidly evolving and highly competitive industry. There are a number of private and public companies that offer products or services or have announced that they are developing products or services that compete, or may one day compete, with its products or services. Some of Sema4’s current and potential competitors possess greater brand recognition, financial and other resources and development capabilities than it does. As the fields of genomic analysis and health information become more widely known to the public, Sema4 anticipates that competition will further increase. Sema4 expects to compete with a broad range of organizations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30" w:lineRule="exact"/>
        <w:rPr>
          <w:sz w:val="20"/>
          <w:szCs w:val="20"/>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 may be unable to compete effectively against its competitors either because their products and services are superior or because they may have more expertise, experience, financial resources, or stronger business relationships. These competitors may have broader product lines and greater name recognition than Sema4 does. Furthermore, Sema4 must compete successfully in its existing markets, including women’s health and oncology, but also in any new markets it expands into. Even if Sema4 does develop new marketable products or services, its current and future competitors may develop products and services that are more commercially attractive than Sema4’s, and they may bring those products and services to market earlier or more effectively than it. If Sema4 is unable to compete successfully against current or future competitors, it may be unable to increase market acceptance for and sales of its tests and services, which could prevent it from increasing or sustaining its revenues or achieving sustained profitability.</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faces intense competition. If Sema4 does not continue to innovate and provide products and services that are useful to users, it may not remain competitive, which could harm its business and operating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business environment is rapidly evolving and intensely competitive. Sema4’s businesses face changing technologies, shifting provider and patient needs, and frequent introductions of rival products and services. To compete successfully, Sema4 must accurately anticipate technology developments and deliver innovative, relevant and useful products, services, and technologies in a timely manner. As Sema4’s businesses evolve, the competitive pressure to innovate will encompass a wider range of products and services. Sema4 must continue to invest significant resources in research and development, including through acquisitions and collaborations, joint ventures and partnerships, in order to enhance its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many competitors in different industries. Sema4’s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Sema4’s competitive position, including by making acquisitions, continuing to invest heavily in research and development and in talent, aggressively initiating intellectual property claims (whether or not meritorious), and continuing to compete aggressively for its customers and partners in the market for health information and data science products and services. Sema4’s competitors may be able to innovate and provide products and services faster than Sema4 can or may foresee the need for products and services before it does.</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operating results may also suffer if its products and services are not responsive to the needs of its customers and partners. As technologies continue to develop, Sema4’s competitors may be able to offer products and services that are, or that are seen to be, substantially similar to or better than its current products and services. This may force Sema4 to compete in different ways and expend significant resources in order to remain competitive. If Sema4’s competitors are more successful than it in developing compelling products and services for or in attracting and retaining customers or partners in the market for health information and data science products and services, Sema4’s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Sema4’s tests, or seek to amend or renegotiate their fee reimbursement schedules, or if Sema4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ability to increase the number of billable tests and its revenue therefrom will depend on its success in achieving reimbursement for its tests from third-party payors. Reimbursement by a payor may depend on a number of factors, including a payer’s determination that a test is appropriate, medically necessary, cost-effective and has received prior authorization. The commercial success of Sema4’s current and future products, if approved, will depend on the extent to which its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Sema4’s tests, as well as the amount it will reimburse for a test, seeking these approvals is a time-consuming and costly process. In addition, the determination by a payer to cover and the amount it will reimburse for Sema4’s tests will likely be made on an indication-by-indication basis and may consider Sema4’s billing practices and reimbursements from other payors and from Sema4’s patient billing programs. To date, Sema4 has obtained policy-level reimbursement approval or contractual reimbursement for some indications for its tests from most of the large commercial third-party payors in the United States, and the Centers for Medicare &amp; Medicaid Services, or CMS, provides reimbursement for its multi-gene tests for hereditary breast and ovarian cancer-related disorders as well as other tests. Sema4 believes that establishing adequate reimbursement from Medicare is an important factor in gaining adoption from healthcare providers. Sema4’s claims for reimbursement from third-party payors may be denied upon submission, and Sema4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Sema4’s tests are paid or reimbursed under insurance programs with third-party payors. To contain reimbursement and utilization rates, third-party payors often attempt to, or do in fact, amend or renegotiate their fee reimbursement schedules. Loss of revenue by Sema4 caused by third-party payor cost containment efforts or an inability to negotiate satisfactory reimbursement rates could have a material adverse effect on Sema4’s revenue and results of operations.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in cases where Sema4 or its partners have established reimbursement rates with third-party payors, Sema4 faces additional challenges in complying with their procedural requirements for reimbursement. These requirements often vary from payer to payer and are reassessed by third party payors on a regular basis, and Sema4 has needed additional time and resources to comply with them. Sema4 has also experienced, and may continue to experience, delays in or denials of coverage if it does not adequately comply with these requirements. Sema4’s third-party payors have also requested, and in the future may request, audits of the amounts paid to it. Sema4 has been required to repay certain amounts to payers as a result of such audits, and Sema4 could be adversely affected if it is required to repay other payers for alleged overpayments due to lack of compliance with their reimbursement policies. In addition, Sema4 has experienced, and may continue to experience, delays in reimbursement when Sema4 transitions to being an in-network provider with a payer.</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expects to continue to focus its resources on increasing adoption of, and expanding coverage and reimbursement for, its current tests and any future tests it may develop or acquire. If Sema4 fails to expand and maintain broad adoption of, and coverage and reimbursement for, its tests, its ability to generate revenue could be harmed and its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limited experience with the development and commercialization of its databases and its health information and genomic platforms.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has limited experience with the development or commercialization of clinical or research products in connection with the databases it manages and to which it has access, and its Centrellis and Traversa platforms. Sema4’s partners’ usage of an advanced machine learning engine for therapeutic decision-making are at an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stage of development and usage under current and proposed collaborations, and Sema4 is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Sema4’s partners have invested significant financial resources to develop and utilize new technologies to support preclinical studies and other early research and development activities, and provide general and administrative support for these operations, Sema4’s future success is dependent on its current and future partners’ ability to successfully derive actionable insights from the database and its platform, and its partners’ ability, where applicable, to obtain regulatory approval for new therapeutic solutions based off existing models or to obtain regulatory approval and marketing for, and to successfully commercialize, new therapeutics. The use of Sema4’s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its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Sema4’s use of their data. These and other ethical, legal and social concerns may limit market acceptance of its tests or services or reduce the potential markets for its tests, or services either of which could have an adverse effect on Sema4’s business, research, financial condition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fails to comply with federal and state laboratory licensing requirements or standards, Sema4 could lose the ability to perform its tests or experience disruptions to its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is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Sema4 to be eligible to bill state and federal healthcare programs, as well as many private third-party payors, for its tests. Sema4 has current CLIA, CAP, and other certifications to conduct its tests at its laboratories in Connecticut. To renew these certifications, Sema4 is subject to survey and inspection on a regular basis and at the request of the certifying bodies. Moreover, CLIA inspectors may make random inspections of its clinical reference laboratories.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would also be required to maintain in-state licenses if it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having laboratory licenses in New York, Sema4’s clinical reference laboratories are approved on test-specific bases for the tests they run as laboratory-developed tests, or LDTs, by the New York State Department of Health, or NYDOH. Other states may adopt similar licensure requirements in the future, which may require Sema4 to modify, delay or stop its operations in such jurisdictions. Sema4 may also be subject to regulation in foreign jurisdictions as it seeks to expand international utilization of its tests or such jurisdictions adopt new licensure requirements, which may require review of its tests in order to offer them or may have other limitations such as restrictions on the transport of samples necessary for it to perform its tests that may limit its ability to make its tests available outside of the United States. Complying with licensure requirements in new jurisdictions may be expensive, time-consuming, and subject Sema4 to significant and unanticipated delays.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monitoring, civil monetary penalties, criminal sanctions, and cancellation of the laboratory’s approval to receive Medicare and Medicaid payment for its services, as well as significant adverse publicity. Any sanction imposed under CLIA, its implementing regulations, or state or foreign laws or regulations governing clinical laboratory licensure, or Sema4’s failure to renew its CLIA certifications, a state or foreign license, or accreditation, could have a material adverse effect on its business, financial condition and results of operations. Even if Sema4 were able to bring its laboratory back into compliance, it could incur significant expenses and potentially lose revenue in doing so.</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Sema4 has CAP accreditations for its laboratories. Failure to maintain CAP accreditation could have a material adverse effect on the sales of its tests and the results of Sema4’s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Model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highly skilled personnel in a broad array of disciplines and, if it is unable to hire, retain or motivate these individuals, or maintain its corporate culture, it may not be able to maintain the quality of its services or grow effectively.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Sema4’s performance, including its research and development programs and laboratory operations, largely depends on its continuing ability to identify, hire, develop, motivate and retain highly skilled personnel for all areas of its organization, including software developers, geneticists, biostatisticians, bioinformaticians, data scientists, certified laboratory directors and technicians and other scientific and technical personnel to process and interpret Sema4’s tests and related data. In addition, Sema4 may need to continue to expand its sales force with qualified and experienced personnel. Competition in Sema4’s industry for qualified employees is intense, and it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Sema4 may be unable to obtain the necessary visas for foreign personnel to work in the United States. In addition, Sema4’s compensation arrangements, such as its equity award programs, may not always be successful in attracting new employees and retaining and motivating its existing employees. If Sema4 is not able to attract and retain the necessary personnel to accomplish its business objectives, it may experience constraints that could adversely affect its ability to scale its business, support its research and development efforts and its clinical laboratories. Sema4 believes that its corporate culture fosters innovation, creativity and teamwork. However, as Sema4’s organization grows, it may find it increasingly difficult to maintain the beneficial aspects of its corporate culture. This could negatively impact Sema4’s ability to retain and attract employees and its future success.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Sema4’s senior management team could adversely affect its business.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depends in large part upon the skills, experience and performance of members of its executive management team and others in key leadership positions. The efforts of these persons will be critical to Sema4 as it continues to develop its technologies and test processes and focus on scaling its business. If Sema4 were to lose one or more key executives, including its founder and CEO, Eric Schadt, it may experience difficulties in competing effectively, developing its tests and technologies and implementing its business strategy. Only certain Sema4’s executives have employment contracts, and the majority of Sema4’s employees are at-will, which means that either Sema4 or any employee may terminate their employment at any time or in the notice period set forth in an executive’s contract. Sema4 does not carry key person insurance for any of its executives or employees. In addition, Sema4 does not have a long-term retention agreement in place with its CEO. Furthermore, Sema4 competes against other leading companies in the diagnostics, health information, and data sciences markets for top talent.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competitors offer better compensation or opportunities, there is no guarantee that Sema4 would be able to retain its key executives.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Sema4’s founder and CEO, Eric Schadt, and certain other Sema4 employees will continue to perform duties for or on behalf of Mount Sinai following the Business Combination.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founder CEO, Eric Schadt, and certain other employees of Sema4 will continue to perform duties for or on behalf of the Mount Sinai Health System, which refer to together with its related entities as Mount Sinai following the Business Combination. In the case of Dr. Schadt, in addition to serving as the CEO for and a director of Sema4, Dr. Schadt also serves as the Dean for Precision Medicine and a professor at Icahn School of Medicine at Mount Sinai, or ISMMS. Following the Business Combination, Sema4 expects Dr. Schadt to devote a substantial amount of time to the obligations of managing a public company while maintaining certain duties for Mount Sinai. Though Sema4 does not expect Dr. Schadt’s role as a CEO and a director of the post-combination company to conflict with his roles at Mount Sinai, there can be no guarantee that such conflicts will not occur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expected future growth could create a strain on its organizational, administrative and operational infrastructure, including data and laboratory operations, quality control, customer service, marketing and sales, and management. Sema4 may not be able to maintain the quality of or expected turnaround times for its products or services, or satisfy customer demand as it grows. Sema4 may need to continue expanding its sales force to facilitate its growth, and it may have difficulties locating, recruiting, training and retaining sales personnel. Sema4’s ability to manage its growth effectively will require it to continue to improve its operational, financial and management controls, as well as its reporting systems and procedures. As Sema4 grows, any failure of its controls or interruption of its facilities or systems could have a negative impact on its business and financial operations. Sema4 plans to develop and launch new versions of its Centrellis and Traversa platforms and its core diagnostic products, which will affect a broad range of business processes and functional areas. The time and resources required to implement these new systems is uncertain, and failure to complete these activities in a timely and efficient manner could adversely affect Sema4’s operations. Future growth in Sema4’s business could also make it difficult for it to maintain its corporate culture. If Sema4 is unable to manage its growth effectively, it may be difficult for it to execute its business strategy and its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needs to scale its infrastructure in advance of demand for its products and services, and its failure to generate sufficient demand for its products and services would have a negative impact on its business and its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Sema4’s success depends in large part on its ability to extend its market position, to provide customers with high-quality health reports and health information and data science services in a manner that differentiates it from its competitors, and to deploy technologies and achieve sufficient volumes to realize economies of scale. In order to execute its business model, Sema4 intends to continue to invest heavily in order to significantly scale its infrastructure, including its lab infrastructure and testing capacity and its information and computing systems, expand its commercial operations, customer service, billing and systems processes and enhance its internal quality assurance program. Sema4 will also need to enhance its capacity for data privacy management as it scales its infrastructure. Sema4 expects that much of this growth will be in advance of both demand for its products and services as well as its ability to diversify its offerings, including services related to Centrellis and Traversa and the databases it manages and to which it has access, and its ability to find appropriate partners through collaborations and acquisitions. Sema4’s current and future expense levels are to a large extent fixed and are largely based on its investment plans and its estimates of future revenue. Because the timing and amount of revenue from Sema4’s products and services are difficult to forecast, when revenue does not meet its expectations, Sema4 may not be able to adjust its spending promptly or reduce its spending to levels commensurate with its revenue. Even if Sema4 is able to successfully scale its infrastructure and operations while successfully diversifying its offering, it cannot assure you that demand for its products and services, including its Centrellis platform, will increase at levels consistent with the growth of its infrastructure. If Sema4 fails to generate demand commensurate with this growth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Sema4 fails to scale its infrastructure sufficiently in advance of demand to successfully meet such demand, its business, prospects, financial condition and results of operations could be adversely affected.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Sema4’s business could expose it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Sema4 and its collaborators may market, sell, and distribute its products and services outside of the United States, and its business would be subject to risks associated with doing business outside of the United States, including an increase in its expenses and diversion of its management’s attention from the development of future products and services. Accordingly, Sema4’s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failure by Sema4, its collaborators or Sema4 distributors to obtain regulatory clearance, authorization or approval for the use of its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Sema4’s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limits in Sema4’s ability to penetrate international markets if it is not able to conduct its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Sema4’s products and services and exposure to foreign currency exchange rate fluctuations;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Sema4 may in the future operate, such as the United Kingdom’s Bribery Act of 2010 and anti-bribery requirements of member states in the European Union, or EU.</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could significantly harm Sema4’s future international expansion and operations and, consequently, its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or global economic conditions could adversely affect Sema4’s business, financial condition or results of operations.</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results of operations could be adversely affected by general conditions in the global economy and financial markets. A severe or prolonged economic downturn could result in a variety of risks to Sema4’s business, including weakened demand for its products and services and its ability to raise additional capital when needed on favorable terms, if at all. A weak or declining economy could strain Sema4’s collaborators and suppliers, possibly resulting in supply disruption, or cause delays in their payments to Sema4. Any of the foregoing could harm its business and Sema4 cannot anticipate all of the ways in which the current economic climate and financial market conditions could adversely impact its business.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a limited number of suppliers or, in some cases, single suppliers, for some of its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sourced and will continue to source components of its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failure to maintain a continued supply of its sequencers and other laboratory equipment, reagents, lab supplies and other laboratory services and materials, along with the right to use certain hardware and software and related services, would adversely impact its business, financial condition, and results of operations. In particular, while Sema4 is seeking to validate its tests on additional sequencing platforms Sema4 has not, to date, validated viable alternative sequencing platform on which its testing could be run in a commercially viable manner. These efforts will require significant resources, expenditures and time and attention of management, and there is no guarantee that Sema4 will be successful in implementing any such sequencing platforms in a commercially sustainable way. Sema4 also cannot guarantee that it will appropriately prioritize or select alternative sequencing platforms on which to focus its efforts, in particular given its limited product and research and development resources and various business initiatives, which could result in increased costs and delayed timelines or otherwise impact its business and results of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Sema4 relies on third-party manufacturers, Sema4 does not control the manufacture of these components, including whether such components will meet its quality control requirements, nor the ability of its suppliers to comply with applicable legal and regulatory requirements. In many cases, Sema4 suppliers are not contractually required to supply these components to the quality or performance standards that it requires. If the supply of components Sema4 receives does not meet its quality control or performance standards, it may not be able to use the components, or if it uses them not knowing that they are of inadequate quality, which occasionally occurs with respect to certain reagents, its tests may not work properly or at all, or may provide erroneous results, and Sema4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Sema4’s third-party manufacturers' facilities that cause a loss of manufacturing capacity would heighten the risks that it faces.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Sema4’s sole suppliers, or if any of its sole suppliers modifies any of the components they supply to it, its ability to supply its products may be interrupted, and obtaining substitute components could be difficult or require it to re-design or re-validate its products. Sema4’s failure to maintain a continued supply of components, or a supply that meets its quality control requirements, or changes to or termination of its agreements or inability to renew its agreements with these parties or enter into new agreements with other suppliers could result in the loss of access to important components of its tests and impact its test performance or affect its ability to perform its tests in a timely manner or at all, which could impair, delay or suspend its commercialization activities. In the event that Sema4 transitions to a new supplier from any of its sole suppliers, doing so could be time-consuming and expensive, may result in interruptions in its ability to supply its products to the market, could affect the performance of its tests or could require that Sema4 re-validate its affected tests using replacement equipment and supplies, which could delay the performance of its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Sema4’s business, financial condition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Sema4 relies on a limited number of product and service providers for data infrastructure and analytics capabilities, and any disruption of, or interference with, its use of data and workflow services could adversely affect its business, financial condition, and results of operations, and Sema4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currently relies upon third-party services for data storage and workflow management, including cloud storage solution providers, such as Amazon Web Services, or AWS, and Google Cloud Platform, or GCP. Sema4 relies on each of AWS and GCP features to complete several vital workflows in its health information and data science service delivery. To varying degrees some of those services are proprietary to how each platform performs in connection with Sema4’s current usage of the services. Further, Sema4 has also built several proprietary workflows with its vendor and partner Command Health where it maintains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Sema4’s data storage and analytics are conducted on, and the data and content it generates on its platforms are processed through, servers hosted by these providers, particularly AWS and GCP. Sema4 also relies on email service providers, bandwidth providers, internet service providers and mobile networks to deliver communications to patients, physicians and partners and to allow patients, physicians and its partners to access various offerings from its platforms. If Sema4’s third-party vendors are unable or unwilling to provide the services necessary to support its business, or if its agreements with such vendors are terminated, Sema4 operations could be significantly disrupted. Some of Sema4’s vendor agreements may be unilaterally terminated by the licensor for convenience, including with respect to AWS or GCP, and if such agreements are terminated, Sema4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Sema4’s systems or the systems of its third-party data centers or its other third-party providers could result in interruptions to the availability or functionality of database and platforms. As a result, Sema4 could lose health information data and miss opportunities to acquire and retain patients, physicians and partners including health systems and pharmaceutical and biotech companies, which could result in decreased revenue. If for any reason Sema4’s arrangements with its data centers or third-party providers are terminated or interrupted, such termination or interruption could adversely affect its business, financial condition and results of operations. Sema4 exercises little control over these providers, which increases its vulnerability to problems with the services they provide. Sema4 could incur additional expense in arranging for new or redesigned facilities, technology, services and support. In addition, the failure of Sema4’s third-party data centers or any other third-party providers to meet Sema4’s capacity needs or any system failure as a result of reliance on third parties, including network, software or hardware failure, which causes a delay or interruption in the Sema4’s services and products, including its ability to handle existing or increased processing of data on its platforms, could have a material adverse effect on the Sema4’s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success depends on the market’s confidence that Sema4 can provide data-driven research and diagnostic products and services that improve clinical outcomes, lower healthcare costs and enable better product development by pharmaceutical and biotech, or Biopharma, companies. Failure of Sema4’s products and services, or those jointly developed with its collaborators, to perform as expected or to be updated to meet market demands could significantly impair its operating results and its reputation. Sema4 believes patients, health systems, clinicians, academic institutions and Biopharma companies are likely to be particularly sensitive to defects, errors, inaccuracies and delays with Sema4’s products and services. Furthermore, inadequate performance of these products or services may result in lower confidence in Sema4’s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and its collaborators may not succeed in achieving significant commercial market acceptance for its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Sema4’s ability to demonstrate the utility of its platforms including Centrellis and Traversa, and related products and services and their potential advantages over existing clinical AI technology, life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research, clinical diagnostic and drug discovery technologies to academic institutions, Biopharma companies and the medical community;</w:t>
      </w:r>
    </w:p>
    <w:p>
      <w:pPr>
        <w:spacing w:after="0" w:line="171" w:lineRule="exact"/>
        <w:rPr>
          <w:sz w:val="20"/>
          <w:szCs w:val="20"/>
          <w:color w:val="auto"/>
        </w:rPr>
      </w:pPr>
    </w:p>
    <w:p>
      <w:pPr>
        <w:ind w:left="660" w:right="20" w:hanging="328"/>
        <w:spacing w:after="0" w:line="342"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Sema4’s ability, and that of its collaborators, to perform clinical trials or other research to gather adequate evidence and/or to secure and maintain FDA and other regulatory clearance authorization or approval for Sema4’s products or products developed based off Sema4’s platform;</w:t>
      </w:r>
    </w:p>
    <w:p>
      <w:pPr>
        <w:spacing w:after="0" w:line="69" w:lineRule="exact"/>
        <w:rPr>
          <w:rFonts w:ascii="Arial" w:cs="Arial" w:eastAsia="Arial" w:hAnsi="Arial"/>
          <w:sz w:val="16"/>
          <w:szCs w:val="16"/>
          <w:color w:val="auto"/>
        </w:rPr>
      </w:pPr>
    </w:p>
    <w:p>
      <w:pPr>
        <w:jc w:val="both"/>
        <w:ind w:left="660" w:hanging="328"/>
        <w:spacing w:after="0" w:line="342"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agreement by third-party payors to reimburse Sema4’s products or services, the scope and extent of which will affect patients’ willingness or ability to pay for Sema4’s products or services and will likely heavily influence physicians’ decisions to recommend Sema4’s products or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rate of adoption of its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impact of Sema4’s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Sema4’s customers and collaborators, including Mount Sinai, may decide to decrease or discontinue their use of Sema4’s products and services due to changes in their research and development plans, failures in their clinical trials, financial constraints, the regulatory environment, negative publicity about its products and services, competing products or the reimbursement landscape, all of which are circumstances outside of its control. Sema4 may not be successful in addressing these or other factors that might affect the market acceptance of its products, services and technologies. Failure to achieve widespread market acceptance of Sema4’s platform and related products and services would materially harm Sema4’s business, financial condition and results of operations.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Sema4’s projections are subject to significant risks, assumptions, estimates and uncertainties, including assumptions regarding adoption of its products and services. As a result, Sema4’s projected revenues, market share, expenses and profitability may differ materially from its expectations in any given quarter or fiscal year.</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Sema4 operates in rapidly changing and competitive industries and its projections are subject to the risks and assumptions made by Sema4’s management with respect to these industries. Operating results are difficult to forecast as they generally depend on Sema4’s assessment of the timing of adoption of its current and future products and services, which is uncertain. Furthermore, as Sema4 invests in the continued development of new businesses that have yet to achieve significant commercial success, whether because of competition or otherwise, Sema4 may not recover the often substantial up-front costs of developing and marketing those products and services or recover the opportunity cost of diverting management and financial resources away from other products or services. Additionally, Sema4’s business may be affected by reductions in customer or partner demand as a result of a number of factors which may be difficult to predict. Similarly, Sema4’s assumptions and expectations with respect to margins and the pricing of its products and services may not prove to be accurate as a result of competitive pressures or customer or partner demands. This may result in decreased revenue, and Sema4 may be unable to adopt measures in a timely manner to compensate for any unexpected shortfall in revenue. This inability could cause Sema4’s operating results in a given quarter or year to be higher or lower than expected. Any failure to achieve Sema4’s projected operating results could harm the trading price of the post-combination company’s securities and its financial position following the completion of the Business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estimated the sizes of the markets for its current and future products and services, and these markets may be smaller than it estimates.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estimates of the annual addressable markets for its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Sema4 or its collaborators are able to engage, diagnose or treat patients through or using Sema4’s products and services, the number of potential clinical tests utilized per treatment course per patient, the ongoing engagement by patients, physicians and health systems on its platforms, and the assumed prices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which Sema4 can sell its current and future products and services for markets that have not been established. While Sema4 believes its assumptions and the data underlying its estimates are reasonable, these assumptions and estimates may not be correct and the conditions supporting its assumptions or estimates may change at any time, thereby reducing the predictive accuracy of these underlying factors. As a result, Sema4’s estimates of the annual addressable market for its current or future products and services may prove to be incorrect. If the actual number of patients who would benefit from Sema4’s products or services, the price at which it can sell future products and services or the annual addressable market for its products or services is smaller than Sema4 has estimated, it may impair its sales growth and have an adverse impact on its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Sema4’s enhanced or new tests or services could materially adversely affect its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will depend in part on its ability to effectively introduce enhanced or new offerings. The focus of its research and development efforts has expanded beyond its current products and services, focused substantially on women’s health and oncology, as Sema4 is now also applying its expertise in processing and analyzing new areas, such as rare diseases. In recent years Sema4 has developed and/or launched several new products or enhanced versions of existing products, including products leveraging alternative sequencing technologies, and Sema4 expects to continue its efforts in all of these areas and more. The development and launch of enhanced or new tests requires the completion of certain clinical development and commercialization activities that are complex, costly, time-intensive and uncertain, and requires Sema4 to accurately anticipate patients', clinicians', payors' and other counterparties' attitudes and needs as well as emerging technology and industry trends. This process is conducted in various stages, and each stage presents the risk that Sema4 will not achieve its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relatively limited experience developing and commercializing products and services outside of the fields of women’s health and oncology diagnostics, and it may not be successful in its current or future efforts to do so. Sema4 also has limited experience forecasting its future financial performance from its new products and services, and its actual results may fall below its financial guidance or other projections, or the expectations of analysts or investors, which, following the Business Combination, could cause the price of the post-combination company’s common stock and warrants to decline. Sema4 may experience research and development, regulatory, marketing and other difficulties that could delay or prevent its introduction of enhanced or new tests and result in increased costs and the diversion of management's attention and resources from other business matters, such as from its current product and service offerings, which currently represent the significant majority of its current revenues. For example, any tests that Sema4 may enhance or develop may not prove to be clinically effective in clinical trials or commercially, or may not meet its desired target product profile, be offered at acceptable cost and with the sensitivity, specificity and other test performance metrics necessary to address the relevant clinical need or commercial opportunity; Sema4’s test performance in commercial experience may be inconsistent with its validation or other clinical data; Sema4 may not be successful in achieving market awareness and demand, whether through its own sales and marketing operations or through collaborative arrangements; healthcare providers may not order or use, or third-party payors may not reimburse for, any tests that Sema4 may enhance or develop; or Sema4 may otherwise have to abandon a test or service in which Sema4 has invested substantial resources. For example, Sema4 is subject to the risk that the biological characteristics of the genetic mutations Sema4 seeks to target, and upon which its technologies rely, are uncertain and difficult to predict. Sema4 may also experience unforeseen difficulties when implementing updates to its processes.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cannot assure you that it can successfully complete the development of any new or enhanced product, or that Sema4 can establish or maintain the collaborative relationships that may be essential to its collaborators’ goals, including clinical development or commercialization efforts. For example, clinical development requires large numbers of patient specimens and, for certain products, may require large, prospective, and controlled clinical trials. Sema4 may not be able to identify and help enroll patients or collect a sufficient amount of appropriate health data in a timely manner; or it may experience delays during data analysis process due to slower than anticipated supplies of patient data, or due to changes in study design or inputs, or other unforeseen circumstances; or Sema4 or its collaborators may be unable to afford or manage the large-sized clinical trials that some of its planned future products may require. Further, the publication of clinical data in peer-reviewed journals is a crucial step in commercializing and obtaining reimbursement for certain diagnostic solutions such as the ones offered by Sema4, and its inability to control when, if ever, results are published may delay or limit Sema4’s ability to derive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any diagnostic solution that is the subject of or component in a study. Peer-reviewed publications regarding Sema4’s products may be limited by many factors, including delays in the completion of, poor design of, or lack of compelling data from, clinical studies, as well as delays in the review, acceptance and publication process. If Sema4’s diagnostic solutions or the technology underlying its current and future diagnostic solutions do not receive sufficient favorable exposure in peer-reviewed publications, the rate of clinician adoption of Sema4’s diagnostic solutions and positive reimbursement coverage determinations for its diagnostic solutions could be negatively affected.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Sema4’s product candidates, or could result in delays, modifications or abandonment of ongoing analytical or future clinical studies, or abandonment of a product development program, any of which could have a material adverse effect on its business, operating results or financial condition.</w:t>
      </w:r>
    </w:p>
    <w:p>
      <w:pPr>
        <w:spacing w:after="0" w:line="1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These and other factors beyond Sema4’s control could result in delays or other difficulties in the research and development, approval, production, launch, marketing or distribution of enhanced or new tests and could adversely affect Sema4’s competitive position and results of operations.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currently uses, and in the future expects to increase its use of, information and rights from customers, strategic partners, and collaborators for several aspects of its operations, and if Sema4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Sema4’s long term business model. The regulatory landscape around the storage, processing and deidentification of genetic data is evolving globally and greatly impacts the ability of Sema4, its strategic partners and collaborators to process and use the data in connection with its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has limited resources to conduct its health information services, data analysis, life sciences research, clinical diagnostics and drug discovery operations and has not yet fully established infrastructure for sales, marketing or distribution in connection with its products and services. Accordingly, Sema4 has entered into service and collaboration agreements under which its partners, including health systems, have provided, and may in the future provide, funding, data access, and other resources for developing and potentially commercializing Sema4’s products and services. These collaborations may result in Sema4 incurring significant expenses in pursuit of potential products and services, and Sema4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future success depends in part on its ability to maintain and grow its existing relationships, including with Mount Sinai, and to establish new relationships. Many factors may impact the success of such collaborations, including Sema4’s ability to perform its obligations, its collaborators’ satisfaction with its products and services, its collaborators’ performance of their obligations to Sema4,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Sema4’s ability to support such collaborations may also depend on factors outside of its control including the willingness of patients to engage with Sema4 and share their data, societal perspectives on privacy, and the willingness of health systems to establish collaborations, relationships and programs utilizing their data, all of which may impact the utility of these databases and the insights Sema4 will be able to generate from expanding datasets. In addition to reducing Sema4’s revenue or delaying the development of its future products and services, the loss of one or more of these relationships may reduce Sema4’s access to research, longitudinal patient health data, clinical trials or computing technologies that facilitate the collection and incorporation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into the databases it manages and to which it has access. All of the risks relating to product and service development, regulatory clearance, authorization or approval and commercialization described herein apply to Sema4 derivatively through the activities of its collaborators. Sema4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Sema4’s existing or potential collaborations can be a catalyst for adverse speculation about it, or its products or services, which can adversely affect its reputation and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Sema4’s products and services do not perform as expected, it may not realize the expected benefits of such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Sema4’s products depends on the market’s confidence that it can provide reliable products and services that enable high quality diagnostic testing and health information services with high sensitivity and specificity and short turnaround times. There is no guarantee that the accuracy and reproducibility Sema4 has demonstrated to date will continue as its product deliveries increase and its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Sema4 anticipates or result in longer than expected turnaround times. In addition, labs are required to validate their processes before using Sema4 products for clinical purposes. These validations are outside of Sema4’s control. If Sema4’s products do not perform, or are perceived to not have performed, as expected or favorably in it to competitive products, its consolidated operating results, reputation, and business will suffer, and Sema4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Sema4’s sales and development or other collaborations and commercial relationships are not successful and it is not able to offset the resulting impact through its own efforts or through agreements with new partners, its commercialization activities may be impaired and its financial results could be adversely affected.</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Part of Sema4’s business strategy is to develop relationships with health systems, biopharma companies, and other partners to utilize its products and to provide access to data. Developing and commercializing products with third parties reduces Sema4’s control over such development and commercialization efforts and subjects it to the various risks inherent in a joint effort with a third party, such as delays, operational issues, technical difficulties and other contingencies outside of its influence or control. The financial condition of these third parties could weaken, or they could terminate their relationship with Sema4 and/or stop sharing data or other information; reduce their marketing efforts relating to Sema4’s products; develop and commercialize, or otherwise utilize competing products in addition to or in lieu of Sema4’s tests; merge with or be acquired by a competitor of Sema4 or a company that chooses to de-prioritize the efforts to utilize Sema4’s products or provide Sema4 with adequate data; or otherwise breach their agreements with Sema4. Further, Sema4 must expend resources to operationalize its existing collaborations with its health system partners, which requires substantial effort in areas such as integrations for testing workflow, EMR, consents, marketing, and billing. To the extent, Sema4 is not successful at operationalizing existing collaborations with health partners, it may not be able to further improve or pursue new agreements with additional partners. Furthermore, Sema4’s partners may misappropriate Sema4’s trade secrets or use Sema4’s proprietary information in such a way as to expose Sema4 to litigation and potential liability; and Sema4’s compliance risk may increase to the extent that Sema4 is responsible for its partners' activities. Disagreements or disputes with Sema4’s health systems and other partners, including disagreements over customers, proprietary or other rights or its or their compliance with financial or other contractual obligations, might cause delays or impair the development or commercialization of Sema4’s products, services, and technologies, lead to additional responsibilities for Sema4 with respect to new products, services and technologies, or result in litigation or arbitration, any of which would divert management attention and resources and be time-consuming and expensive. As is typical for companies in Sema4’s industry, it is continually evaluating and pursuing various strategic or commercial relationships, some of which may, following the Business Combination, involve the sale and issuance of the post-combination company’s common stock, which could result in additional dilution of the percentage ownership of its stockholders and could cause the price of its common stock and warrants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Sema4’s relationships are not successful, its ability to develop and improve of products, services and technologies, and to successfully execute its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Sema4 is unable to deploy and maintain effective sales, marketing and medical affairs capabilities, it will have difficulty achieving market awareness and selling its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its tests and its future products and services, Sema4 must continue to develop and grow its sales, marketing and medical affairs organizations to effectively explain to healthcare providers the reliability, effectiveness and benefits of its current and future products and services as compared to alternatives. Sema4 may not be able to successfully manage its dispersed or inside sales forces or its sales force may not be effective. Because of the competition for their services, Sema4 may be unable to hire, partner with or retain additional qualified sales representatives or marketing or medical affairs personnel, either as its employees or independent contractors or through independent sales or other third-party organizations. Market competition for commercial, marketing and medical affairs talent is significant, and Sema4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Sema4’s expenses associated with maintaining its sales force may be disproportionate to the revenues it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it was formed and expects to continue to generate significant operating losses for the foreseeable future. As of December 31, 2020 and March 31, 2021, Sema4 has an accumulated deficit of approximately $330.1 million and $521.0, respectively. Sema4 expects to continue investing significantly toward development and commercialization of its health information technology and other products and services. If Sema4’s revenue does not grow significantly, it will not be profitable. Sema4 cannot be certain that the revenue from the sale of any products or services based on its technologies will be sufficient to make it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operating results could be subject to significant fluctuation, which, following the Business Combination, could increase the volatility of the post-combination company’s stock and warrant price and cause losses to its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success in marketing and selling, and changes in demand for, its tests, and the level of reimbursement and collection obtained for such tests;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Sema4’s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pricing of its tests, including potential changes in CMS or other reimbursement rates;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its tests, including weather events, supply shortages, or regulatory or other circumstances that adversely affect its ability to manufacture its tests or process tests in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health information and data science services to biopharma partners, including software or hardware failures, insufficient capacity, regulatory changes or other circumstances that adversely affect the ability of Sema4 to deliver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fluctuations in the amount and timing of Sema4’s selling and marketing costs and its ability to manage costs and expenses and effectively implement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Sema4’s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Sema4's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Sema4’s revenue growth rate could decline over time, and it may experience downward pressure on its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revenue growth rate could decline over time as a result of a number of factors, including increasing competition and the continued expansion of its business into a variety of new fields. Changes in geographic mix and product and service mix and an increasing competition for tests may also affect its revenue growth rate. Sema4 may also experience a decline in its revenue growth rate as its revenues increase to higher levels, if there is a decrease in the rate of adoption of its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its revenue growth rate, Sema4 may also experience downward pressure on its gross operating margins resulting from a variety of factors, such as the continued expansion of its business into new fields, including new products and services, as well as significant investments in new areas, all of which may have margins lower than those that Sema4 generates from testing. Sema4 may also experience downward pressure on its gross operating margins from increasing competition and increased costs for many aspects of its business. Sema4 may also pay increased fees to its partners as well as increased acquisition costs. Sema4 may also face an increase in infrastructure costs, supporting other businesses. Additionally, Sema4’s expenditures to promote new products and services or to distribute certain products and services or increased investment in its innovation efforts across its Centrellis platform may affect its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its business, Sema4’s historical projected revenue growth rate and historical gross operating margins may not be indicative of its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may need to raise additional capital to fund its existing operations, develop additional products and services, commercialize new products and services or expand its operations.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Sema4 has incurred net losses and negative cash flows since its inception and expects to continue generate significant operating losses for the foreseeable future. As of May 6, 2021, the issuance date of Sema4’s audited financial statements included elsewhere in this proxy statement, Sema4’s operating expenses and capital expenditure requirements over the next 12 months were in excess of Sema4’s existing cash and cash equivalents, and, as a result, the audit report and opinion of Sema4’s independent registered public accounting firm contained in Sema4’s audited financial statements includes an explanatory paragraph that describes conditions that raise substantial doubt about Sema4’s ability to continue as a going concern. Further, as of June 10, 2021, the issuance date of Sema4’s unaudited condensed financial statements included elsewhere in this proxy statement, Sema4 also concluded there is substantial doubt about Sema4’s ability to continue as a going concern. See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 - Going Concern, Liquidity and Capital Resources</w:t>
      </w:r>
      <w:r>
        <w:rPr>
          <w:rFonts w:ascii="Arial" w:cs="Arial" w:eastAsia="Arial" w:hAnsi="Arial"/>
          <w:sz w:val="16"/>
          <w:szCs w:val="16"/>
          <w:color w:val="auto"/>
        </w:rPr>
        <w:t>” for more information. Although Sema4 expects the funding to be received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Business Combination and the PIPE Investment to address the substantial doubt about Sema4’s ability to continue as a going concern, following the Business Combination, the post-combination company may also seek to sell common or preferred equity or convertible debt securities, enter into a credit facility or another form of third-party funding or seek other debt financing. Sema4 may also seek additional capital prior to the consummation of the Business Combination, subject to Sema4’s covenants in the Merger Agreement.</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Business Combination, the post-combination company may also consider raising additional capital in the future to expand Sema4’s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 Sema4’s sales and marketing efforts to drive market adoption of its current and future products and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fund development efforts for Sema4’s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expand Sema4’s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ability to achieve revenue growth;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rate of progress in establishing payer coverage and reimbursement arrangements with commercial third-party payors and government payers;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cost of expanding Sema4’s laboratory operations and offerings, including its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Sema4’s rate of progress in, and cost of the sales and marketing activities associated with, establishing adoption of its Centrellis solution;</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rate of progress in, and cost of research and development activities associated with, products and services in research and early development;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Sema4’s products and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various ways the post-combination company could raise additional capital following the Business Combination carry potential risks. If the post-combination company raises funds by issuing equity securities, dilution to its stockholders could result. Any preferred equity securities issued also could provide for rights, preferences or privileges senior to those of holders of its common stock. If the post-combination company raises funds by issuing debt securities, those debt securities would have rights, preferences and privileges senior to those of holders of its common stock. The terms of debt securities issued or borrowings pursuant to a credit agreement could impose significant restrictions on Sema4’s operations. If Sema4 raises funds through collaborations and licensing arrangements, Sema4 might be required to relinquish significant rights to its technologies or products and services or grant licenses on terms that are not favorable to it.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expects to make significant investments in its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seeking to leverage and deploy its Centrellis and Traversa platforms to develop a pipeline of future disease-specific research, diagnostic and therapeutic products and services. For example, Sema4 is attempting to extend current products into additional indications and sample types, and it is developing its population health program, and its pharmacogenomics solutions with a view toward advancing the development of tests designed to identify genetic variants for drug response that are associated with medically actionable and clinically relevant data to make more informed treatment decisions. Sema4 expects to incur significant expenses to advance these development efforts, but they may not be successful.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Developing new products and services is a speculative and risky endeavor. Products or services that initially show promise may fail to achieve the desired results or may not achieve acceptable levels of analytical accuracy or clinical utility. Sema4 may need to alter its products in development and repeat analysis or clinical studies before it identifies a potentially successful product or service. Product development is expensive, may take years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can have uncertain outcomes. Failure can occur at any stage of the development. If, after development, a product or service appears successful, Sema4 or its collaborators may, depending on the nature of the product or service, still need to obtain FDA and other regulatory clearances, authorizations or approvals before Sema4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Sema4 develops. Even if Sema4 develops a product or service that receives regulatory clearance, authorization or approval, or succeeds in initial product testing, it or its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Sema4 determines that any of its current or future products or services are unlikely to succeed, it may abandon them without any return on its investment. If Sema4 is unsuccessful in developing additional products or services, its potential for growth may be impaired.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has identified material weaknesses, some of which have a pervasive effect across the organization, and may identify additional material weaknesses or significant deficiencies, in its internal controls over financial reporting. Sema4’s failure to remedy these matters could result in a material misstatement of its financial statements.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course of preparing its financial statements for 2020, 2019 and 2018, Sema4 identified material weaknesses in its internal control over financial reporting which could, if not remediated, result in material misstatements in our financial statements as of December 31, 2020.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Sema4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right="2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did not design and maintain accounting policies, processes and controls to analyze, account for and report its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had not developed and effectively communicated to its employees its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Sema4’s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does not have sufficient, qualified finance and accounting staff with the appropriate U.S. GAAP technical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Sema4’s size and the nature and complexity of its operations. As a result, Sema4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management is preparing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Sema4 cannot guarantee that the steps it has taken or may subsequently take have been or will be sufficient to remediate the material weaknesses or ensure that Sema4’s internal controls are effective.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as a public company, the Company is required to comply with certain rules and requirements related to its disclosure controls and procedures and its internal control over financial reporting. Following the completion of the Business Combination, any failure to develop or maintain effective controls or any difficulties encountered in their implementation or improvement could harm the post-combination company’s operating results or cause the post-combination company to fail to meet its reporting obligations and may result in a restatement of the post-combination company’s financial statements for prior periods. For more information, see “Risk Factors—Risks Related to the Company and the Business Combination—</w:t>
      </w:r>
      <w:r>
        <w:rPr>
          <w:rFonts w:ascii="Arial" w:cs="Arial" w:eastAsia="Arial" w:hAnsi="Arial"/>
          <w:sz w:val="17"/>
          <w:szCs w:val="17"/>
          <w:i w:val="1"/>
          <w:iCs w:val="1"/>
          <w:color w:val="auto"/>
        </w:rPr>
        <w:t>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ability to use its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Sema4’s total gross deferred tax assets were $60.6 million. Due to Sema4’s lack of earnings history, future deductible temporary differences related to compensation and uncertainties surrounding its ability to generate future taxable income, its net deferred tax assets have been fully offset by a valuation allowance. The deferred tax assets are primarily comprised of federal and state tax net operating losses and tax credit carryforwards, and tax deductible temporary differences.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Sema4’s existing NOLs and tax credit carryovers may be subject to limitations arising from previous ownership changes, and if it undergoes one or more ownership changes in connection with completed acquisitions, including the Business Combination, or other future transactions in Sema4’s stock, its ability to utilize NOLs and tax credit carryovers could be further limited by Section 382 of the Internal Revenue Code. As a result, if Sema4 earns future taxable income, its ability to use its pre-change net operating loss and tax credit carryforwards to offset U.S. federal taxable income may be subject to limitations, which could potentially result in increased future tax liability to it.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relies on third-party laboratories to perform certain elements of its service offerings.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limited but meaningful portion of Sema4’s genomic analysis services is performed by third-party laboratories and service providers, while the remaining portion is performed in Sema4’s laboratories. The third-party laboratories are subject to contractual obligations to perform these services for Sema4, but are not otherwise under its control. Sema4 therefore does not control the capacity and quality control efforts of these third-party laboratories other than through its ability to enforce contractual obligations on volume and quality systems, and it has no control over such laboratories’ compliance with applicable legal and regulatory requirements. Sema4 also has no control over the timeliness of such laboratories’ performance of their obligations to it, and the third-party laboratories that Sema4 has contracted with have in the past had, and occasionally continue to have, issues with delivering results to it or resolving issues with Sema4 within the time frames it expected or established in its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Sema4 and its customers expect,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ability to service customers may be delayed, interrupted or otherwise adversely affected, which could result in a loss of customers and harm to its reputation. Furthermore, when these issues arise, Sema4 has had to expend time, management’s attention and other resources to address and remedy such issues.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may not have sufficient alternative backup if one or more of the third-party laboratories that it contracts with are unable to satisfy their obligations to it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Sema4 faces. Changes to or termination of agreements or inability to renew agreements with these third-party laboratories or enter into new agreements with other laboratories that are able to perform such portions of Sema4’s service offerings could impair, delay or suspend its efforts to market and sell these services. In addition, certain third-party payors, including some state Medicaid payers, that Sema4 is under contract with may take the position that sending out testing to third-party laboratories and billing for such tests is contrary to the terms of its provider agreement and may refuse to pay Sema4 for the testing. If any of these events occur, Sema4’s business, financial condition and results of operations could suffer. Further, some state laws impose anti-markup restrictions that prevent an entity from realizing a profit margin on outsourced testing. If Sema4 or its subsidiaries are unable to markup outsourced testing, its revenues and operating margins may suffer.</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Mount Sinai, a related party, and its clinicians for a portion of its test volume in connection with its diagnostic solutions and for data programs, and Sema4 has entered into certain other arrangements with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relies on Mount Sinai, which is a related party, and its clinicians for a portion of its test volumes in connection with its diagnostic solutions and for a significant portion of the de-identified clinical records in Sema4’s databases. In 2020, orders from Mount Sinai clinicians accounted for 5.5% of Sema4’s total test volume, down from 12.8% in 2019. In addition, Sema4 subleases certain facilities from Mount Sinai, Sema4 provides certain research and data services to Mount Sinai, and Sema4 and Mount Sinai have entered into certain collaborative and commercial arrangements. Furthermore, Sema4 may in the future enter into other contracts for services or other engagements with Mount Sinai. See “Certain Relationships and Related Party Transactions — Sema4’s Related Party Transactions”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Sema4 strictly on an arms-length, fair market value basis, and the interests of Mount Sinai may not necessarily be aligned with the interests of Sema4 or its other stockholders.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subject to risks as a result of its reliance on Mount Sinai, and if Sema4’s transactions and relationship with Mount Sinai were to cease, Sema4’s business could be disrupted and it could have a material adverse effect on Sema4’s business, research, financial condition and results of operations.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following the completion of the Business Combination, ISMMS is expected to be significant stockholder in the post-combination company. Following the expiration of the lock-up period under the ISMMS Lock-Up Agreement, ISMMS may choose to dispose of some or all of the shares of common stock held by it. Any disposal of shares of common stock by ISMMS, or the perception that these sales could occur, could cause the market price of the post-combination company’s stock or warrants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commercial courier delivery services to transport samples to its facilities in a timely and cost-efficient manner and if these delivery services are disrupted, its business could be harmed.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core business depends on its ability to quickly and reliably deliver test results to its customers. Sema4 typically receives blood, saliva, or tissue samples for analysis at its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Sema4’s ability to process or store samples in a timely manner and to service its customers, and ultimately its reputation and its business. In addition, if Sema4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unable to continue to obtain expedited delivery services on commercially reasonable terms, its operating results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may be subject to increased compliance risks as a result of its rapid growth, including its dependence on its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had to expand its training and compliance efforts in line with its increasing reliance on personnel in its sales, marketing and billing functions, and its expansion of these functions in line with the overall growth in its business. Sema4 continues to monitor its personnel, but Sema4 has in the past experienced, and may in the future experience, situations in which employees fail to strictly adhere to its policies. In addition, sales and marketing activities in the healthcare space are subject to various rules and regulations. Moreover, Sema4’s billing and marketing messaging can be complex and nuanced, and there may be errors or misunderstandings in its employees' communication of such messaging. Furthermore, Sema4 utilizes text messaging, email, phone calls and other similar methods to communicate with patients who are existing or potential users of its products for various business purposes. These activities subject it to laws and regulations relating to communications with consumers, such as the CAN-SPAM Act and the Telephone Consumer Protection Act, violations of which could subject Sema4 to claims by consumers, who may seek actual or statutory damages, which could be material in the aggregate. As Sema4 continues to scale up its sales and marketing efforts in line with the growth in its business, in particular its increased pace of product launches as well as further geographical expansion, Sema4 face an increased need to continuously monitor and improve its policies, processes and procedures to maintain compliance with a growing number and variety of laws and regulations, including with respect to consumer marketing. To the extent that there is any violation, whether actual, perceived or alleged, of its policies or applicable laws and regulations, Sema4 may incur additional training and compliance costs, may receive inquiries from third-party payors or other third parties, or be held liable or otherwise responsible for such acts of non-compliance. Any of the foregoing could adversely affect Sema4’s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Sema4 uses hazardous materials in a manner that causes injury, it could be liable for resulting damages.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activities currently require the use of hazardous chemicals and biological material. Sema4 cannot eliminate the risk of accidental contamination or injury to employees or third parties from the use, storage, handling or disposal of these materials. In the event of contamination or injury, Sema4 could be held liable for any resulting damages, and any liability could exceed its resources or any applicable insurance coverage it may have. Additionally, Sema4 is subject on an ongoing basis to federal, state and local laws and regulations governing the use, storage, handling and disposal of these materials and specified waste products. The cost of compliance with these laws and regulations may become significant, and Sema4’s failure to comply may result in substantial fines or other consequences, and either could negatively affect its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and its partners will have to maintain compliance with FDA requirements for research, products and services and failure to maintain compliance with FDA requirements may prevent or delay the marketing of its products and services.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Sema4 has obtained marketing authorization, it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Sema4 to recall equipment used in connection with its research, products and services. Such recalls could have an adverse effect on Sema4’s ability to provide those products and services, which in turn would adversely affect its financial condition. Sema4’s collaborators will also be required to maintain FDA clearance, authorization or approval for the products and services that Sema4 jointly develops. Any failure by Sema4 or its collaborators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maintain such clearance, authorization or approval could impair or cause a delay in its ability to profit from these collaborations.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in FDA enforcement discretion for LDTs could subject Sema4’s operations to much more significant regulatory requirements.</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Sema4 currently offers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Sema4’s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Sema4 as LDTs are not within the policy for LDTs for any reason, including new rules, policies or guidance, or due to changes in statute, its tests may become subject to extensive FDA requirements or Sema4’s business may otherwise be adversely affected. If the FDA were to disagree with Sema4’s LDT status or modify its approach to regulating LDTs, Sema4 could experience reduced revenue or increased costs, which could adversely affect Sema4’s business, prospects, results of operations and financial condition. If required, the regulatory marketing authorization process required to bring Sema4’s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Sema4 and could have a negative effect on its ability to keep products on the market or develop new products, which could have a material effect on its business. In the event that the FDA requires marketing authorization of Sema4’s LDTs in the future, the FDA may not ultimately grant any clearance, authorization or approval requested by Sema4 in a timely manner, or at all. In addition, if the FDA inspects Sema4’s laboratory in relation to the marketing of any FDA-authorized test, any enforcement action the FDA takes might not be limited to the FDA-authorized test carried by Sema4 and could encompass its other testing services.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For each product and service Sema4 is developing that may require FDA premarket review prior to marketing, the FDA may not grant clearance, authorization or premarket approval and failure to obtain necessary approvals for its future products and services would adversely affect its ability to grow its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Sema4 begins to manufacture, label and market additional clinical diagnostic products for commercial diagnostic use in the United States, Sema4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Sema4’s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FDA may identify deficiencies in Sema4’s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FDA may identify deficiencies in Sema4 or its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Sema4 may not be able to obtain these clearances, authorizations or approvals on a timely basis, or at all for its products in development. If Sema4 is unable to obtain clearance, authorization or approval for any products for which it plans to seek clearance, authorization or approval, its business may be harmed.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Sema4’s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Sema4’s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Sema4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 FDA disagrees with Sema4’s determination, which it may not review until Sema4 submits an annual report or the FDA conducts an inspection or other inquiry, and requires Sema4 to seek new clearances, authorizations or approvals for modifications to its previously cleared, authorized or approved clinical diagnostic products for which Sema4 has concluded new clearances, authorizations or approvals are unnecessary, Sema4 may be required to cease marketing or distribution of these clinical diagnostic products or to recall the modified products until Sema4 obtains clearance, authorization or approval. Sema4 may also be subject to enforcement action, including, among other things, significant regulatory fines or penalties.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Sema4 plans to match its test reports for certain indications to identified mutations with FDA-approved targeted therapies or relevant clinical trials of targeted therapies. If a patient or physician who orders a test using one of Sema4’s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Sema4’s products consistently generate actionable information about their patients’ disease or condition, they may be less likely to use Sema4’s products.</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Furthermore, Sema4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business is subject to various complex laws and regulations applicable to clinical diagnostics. Sema4 could be subject to significant fines and penalties if it or its partners fail to comply with these laws and regulations.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Sema4 and its partners are subject to extensive and frequently changing federal, state, local and foreign laws and regulations governing various aspects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is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Sema4’s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Sema4 to similar risks and delays as those it could experience under FDA, FTC and state regulation. Sema4 incurs various costs in complying and overseeing compliance with these laws and regulations. The growth of Sema4’s business and sales organization, the acquisition of additional businesses or products and services and its expansion outside of the U.S. may increase the potential of violating these laws, regulations or its internal policies and procedures.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its tests and planned development of products in Sema4’s pipeline has been based on existing healthcare policies. Sema4 cannot predict what additional changes, if any, will be proposed or adopted or the effect that such proposals or adoption may have on its business, financial condition and results of operations.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Sema4 or its partners, fail to comply with these laws and regulations, it could incur significant fines and penalties and its reputation and prospects could suffer. Additionally, any such partners could be forced to cease offering Sema4’s products and services in certain jurisdictions, which could materially disrupt its business. An adverse outcome could include Sema4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its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Sema4’s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Sema4’s services, and its healthcare operations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has implemented practices intended to meet the requirements of the HIPAA privacy, security and breach notification regulations, as required by law. Sema4 is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Sema4 must comply with the laws of those countries. The federal privacy regulations under HIPAA restrict Sema4’s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Sema4’s computer networks and gain access to PHI. Additionally, Sema4 shares PHI with third-parties who are legally obligated to safeguard and maintain the confidentiality of PHI. Unauthorized persons may be able to gain access to PHI stored in such third-parties computer networks. Any wrongful use or disclosure of PHI by Sema4 or such third-parties, including disclosure due to data theft or unauthorized access to Sema4 or its third-parties computer networks, could subject it to fines or penalties that could adversely affect its business and results of operations. Although the HIPAA statute and regulations do not expressly provide for a private right of damages, Sema4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Sema4’s activities may subject it to risks under federal and state laws prohibiting ‘kickbacks’ and false or fraudulent claims.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Sema4 cannot assure you that its relationships with healthcare providers, hospitals, customers, its own sales representatives, or any other party will not be subject to scrutiny or will survive regulatory challenge under EKRA.</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Sema4 or its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Sema4’s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Sema4 continually strives to comply with these complex requirements, interpretations of the applicability of these laws to marketing and billing practices are constantly evolving and even an unsuccessful challenge could cause adverse publicity and be costly to respond to, and thus could harm its business and prospects. Sema4’s failure to comply with applicable laws could result in various adverse consequences that could have a material adverse effect upon its business, including the exclusion of its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Sema4’s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Sema4’s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Sema4 is subject to regulation under certain state laws and regulations governing laboratory licensure. Some states have enacted laboratory licensure and compliance laws that are more stringent than CLIA. Changes in state licensure laws that affect Sema4’s ability to offer and provide research and diagnostic products and services across state or foreign country lines could materially and adversely affect its business. In addition, state and foreign requirements for laboratory certification may be costly or difficult to meet and could affect its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Sema4’s failure to renew a CLIA certificate, a state or foreign license or accreditation,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may never obtain approval in the EU or in any other foreign country for any of its products or services and, even if Sema4 does, it or its partners and collaborators may never be able to commercialize them in another jurisdiction, which would limit Sema4’s ability to realize their full market potential.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its current or future products and services in any particular foreign jurisdiction, Sema4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Sema4 and its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Sema4’s products and services in those countries. The foreign regulatory clearance, authorization or approval process involves all of the risks and uncertainties associated with FDA clearance, authorization or approval. Sema4 currently has limited experience in obtaining regulatory clearance, authorization or approval in international markets. If Sema4 or its collaborators fail to comply with regulatory requirements in international markets or to obtain and maintain required regulatory clearances, authorizations or approvals in international markets, or if those approvals are delayed, its target market will be reduced and its ability to realize the full market potential of Sema4’s products and services will be unrealized.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Sema4’s business is an expensive and time-consuming process, and any failure to comply could result in substantial penalties.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Sema4’s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left="328" w:hanging="328"/>
        <w:spacing w:after="0" w:line="259"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Sema4 operates or may operate in the future; and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8"/>
          </w:cols>
          <w:pgMar w:left="652" w:top="1440" w:right="339" w:bottom="1440" w:gutter="0" w:footer="0" w:header="0"/>
        </w:sectPr>
      </w:pPr>
    </w:p>
    <w:bookmarkStart w:id="91" w:name="page92"/>
    <w:bookmarkEnd w:id="91"/>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adopted policies and procedures designed to comply with these laws and regulations. In the ordinary course of its business, Sema4 conducts internal reviews of its compliance with these laws. Sema4’s compliance may also be subject to governmental review. The growth of Sema4’s business and its expansion outside of the United States may increase the potential of violating these laws or its internal policies and procedures. The risk of Sema4 being found in violation of these or other laws and regulations is further increased by the fact that many have not been fully interpreted by the regulatory authorities or the courts, and their provisions are open to a variety of interpretations. Any action brought against Sema4 for violation of these or other laws or regulations, even if it successfully defends against it, could cause it to incur significant legal expenses and divert Sema4’s management’s attention from the operation of its business. If Sema4’s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Sema4’s operations, which may impact existing contracts with key payors, collaborators, health systems, and commercial partners. Any of the foregoing consequences could seriously harm Sema4’s business and its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faces uncertainty related to healthcare reform, pricing, coverage and reimbursement, which could reduce its revenue.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Sema4’s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Sema4’s tests could be materially and adversely affected. Any change in reimbursement policy could result in a change in patient cost-sharing, which could adversely affect a provider’s willingness to prescribe and patient’s willingness and ability to use Sema4’s tests and any other product or service Sema4 may develop. Healthcare reforms, which may intend to reduce healthcare costs, may have the effect of discouraging third-party payors from covering certain kinds of medical products and services, particularly newly developed technologies, or other products or tests Sema4 may develop in the future. Sema4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Sema4, which may adversely affect its business, financial condition and results of operations.</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PAMA presents significant uncertainty for future CMS reimbursement rates for Sema4’s tests. Because Medicare currently covers a significant number of patients, any reduction in the CMS reimbursement rate for Sema4’s tests would negatively affect its revenues and its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Sema4’s tests. Congress could modify or repeal PAMA in the future or CMS could modify regulations under PAMA, and any such action could have the effect of reducing the CMS reimbursement rate for Sema4’s tests. Further, it is possible that Medicare or other federal payers that provide reimbursement for Sema4’s tests may suspend, revoke or discontinue coverage at any time, may require co-payments from patients, or may reduce the reimbursement rates payable to it. Any such action could have a negative impact on Sema4’s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Sema4’s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Sema4’s current tests and not all of these laws presently mandate coverage for patients within the certain age ranges. Sema4 and payers may disagree about how these mandates apply to its tests and Sema4 may find the mandates difficult to enforce. Further, if the ACA is repealed, replaced or overturned, or even if it is not, states may decide to modify their laws, which may include repeal of those coverage mandates that Sema4 believes currently apply to its oncology tests.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Outside of the U.S., Sema4 would largely depend on public or government-controlled payers for coverage of its oncology tests. As compared to many more routine diagnostic tests, Sema4’s oncology tests are more complicated, expensive and are performed in a central, specialized lab. In order to accommodate the unique characteristics of Sema4’s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Sema4, if it were to ever sell its tests in foreign jurisdictions, including complex public tendering procedures, or on ordering physicians, which could adversely affect the number of payers covering the test or the number of orders placed. Public payers could condition reimbursement of Sema4’s tests upon performance of its tests locally or, even in laboratories owned or operated by the payers. Any such change would adversely affect Sema4’s ability to continue to serve those patients through its labs. Sema4 may develop future oncologic tests that could be performed locally by laboratory partners and in hospitals around the world, however those developments efforts may be unsuccessful and any such tests that Sema4 may develop may not be approved by regulators or accepted by payers or patients.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Sema4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Sema4’s solutions, products and services could lead to product or professional liability claims, including class action lawsuits. Sema4 may also be subject to liability for errors in the test results including health information it provides to healthcare providers or patients or for a misunderstanding of, or inappropriate reliance upon, the information it provides. Claims could also arise out of clinical studies Sema4 may conduct or any of its other activities. A product or professional liability claim could result in substantial damages, be costly and time consuming to defend, and cause material harm to its business, reputation or financial condition. Sema4 cannot assure you that its liability insurance would protect its assets from the financial impact of defending a product or professional liability claim. Any claim brought against Sema4, with or without merit, could increase its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Sema4’s products or services, and operations could harm its reputation, decrease market acceptance of its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is creating new products and services, many of which are initially based on largely untested technologies. As all of Sema4’s products and services progress, Sema4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Sema4’s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Sema4 can process in a given time period. Therefore, inefficient or variable processes can cause variability in Sema4’s operating results and damage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Sema4’s laboratory operations could result in any number of errors or defects. Sema4’s quality assurance system may fail to prevent it from inadvertent problems with samples, sample quality, lab processes including sequencing, software, data upload or analysis, raw materials, reagent manufacturing, assay quality or design, or other components or processes. In addition, Sema4’s assays may have quality or design errors, and it may have inadequate procedures or instrumentation to process samples, assemble its proprietary primer mixes and commercial materials, upload and analyze data, or otherwise conduct its laboratory operations. If Sema4 provides products or services with undiscovered errors to its customers, its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Sema4 believes its customers are likely to be particularly sensitive to product and service defects, errors and delays, including if Sema4’s products and services fail to indicate the presence of residual disease with high accuracy from clinical specimens or if Sema4 fails to list or inaccurately indicate the presence or absence of disease in its test report or analysis. In drug discovery, such errors may interfere with Sema4’s collaborators’ clinical studies or result in adverse safety or efficacy profiles for their products in development. This may harm Sema4’s customers’ businesses and may cause it to incur significant costs, divert the attention of key personnel, encourage regulatory enforcement action against it, create a significant customer relations problem for Sema4 and cause its reputation to suffer. Sema4 may also be subject to warranty and liability claims for damages related to errors or defects in its products or services. Any of these developments could harm Sema4’s business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is subject to increasingly complex taxation rules and practices, which may affect how it conducts its business and its results of operations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its business grows, Sema4 is required to comply with increasingly complex taxation rules and practices. Sema4 is subject to tax in multiple U.S. tax jurisdictions and may be subject to foreign tax jurisdictions in the future. The development of Sema4’s tax strategies requires additional expertise and may impact how it conducts its business. Sema4’s future effective tax rates could be unfavorably affected by changes in, or interpretations of, tax rules and regulations in the jurisdictions in which it does business or by changes in the valuation of its deferred tax assets and liabilities. Furthermore, Sema4 provides for certain tax liabilities that involve significant judgment. Sema4 is and may be subject to the examination of its tax returns by federal, state and foreign tax authorities. If Sema4’s tax strategies are ineffective or it is not in compliance with domestic and international tax laws, as applicable, its financial position, operating results and cash flows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inability to effectively protect its proprietary products, processes, and technologies, including the confidentiality of its trade secrets, could harm its competitive position.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currently relies upon trade secret protection and copyright, as well as non-disclosure agreements and invention assignment agreements with its employees, consultants and third parties, and to a limited extent patent protection, to protect its confidential and proprietary information. Although Sema4’s competitors have utilized and are expected to continue utilizing similar methods and have aggregated and are expected to continue to aggregate similar databases of genetic testing information, its success will depend upon its ability to develop proprietary methods and databases and to defend any advantages afforded to it by its methods and databases relative to its competitors. If Sema4 does not protect its intellectual property adequately, competitors may be able to use its methods and databases and thereby erode any competitive advantages Sema4 may have.</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will be able to protect its proprietary rights from unauthorized use by third parties only to the extent that its proprietary technologies are covered by valid and enforceable patents or are effectively maintained as trade secrets. In this regard, Sema4 has applied, and it intends to continue applying, for patents covering such aspects of its technologies as it deems appropriate. However, Sema4 expects that potential patent coverage it may obtain will not be sufficient to prevent substantial competition. In this regard, Sema4 believes it is probable that others will independently develop similar or alternative technologies or design around those technologies for which Sema4 may obtain patent protection. In addition, any patent applications Sema4 files may be challenged and may not result in issued patents or may be invalidated or narrowed in scope after they are issued. Questions as to inventorship or ownership may also arise. Any finding that Sema4’s patents or applications are unenforceable could harm its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prevent others from practicing the related technology, and a finding that others have inventorship or ownership rights to its patents and applications could require it to obtain certain rights to practice related technologies, which may not be available on favorable terms, if at all. If Sema4 initiates lawsuits to protect or enforce its patents, or litigate against third-party claims, which would be expensive, and Sema4 loses, it may lose some of its intellectual property rights. Furthermore, these lawsuits may divert the attention of its management and technical personnel.</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expects to rely substantially upon trade secrets and proprietary know-how protection for its confidential and proprietary information, and Sema4 has taken security measures to protect this information. These measures, however, may not provide adequate protection for its trade secrets, know-how or other confidential information. Among other things, Sema4 seeks to protect its trade secrets and confidential information by entering into confidentiality agreements with employees and consultants. There can be no assurance that any confidentiality agreements that Sema4 has with its employees and consultants will provide meaningful protection for its trade secrets and confidential information or will provide adequate remedies in the event of unauthorized use or disclosure of such information. Accordingly, there also can be no assurance that Sema4’s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Sema4. If any of Sema4’s confidential or proprietary information, such as its trade secrets, were to be disclosed or misappropriated, or if any such information was independently developed by a competitor, Sema4’s competitive position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Sema4’s proprietary technologies under certain jurisdictions and legal regimes could harm its competitive position.</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success and ability to compete in certain jurisdictions and under certain legal regimes depend to a large extent on its ability to develop proprietary products and technologies and to maintain adequate protection of its intellectual property in the United States and other countries; this becomes increasingly important as Sema4 expands its operations and enters into strategic collaborations with partners to develop and commercialize products. The laws of some foreign countries do not protect proprietary rights to the same extent as the laws of the United States, and Sema4 may encounter difficulties in establishing and enforcing its proprietary rights outside of the United States. In addition, the proprietary positions of companies developing and commercializing tools for molecular diagnostics, including Sema4’s, generally are uncertain and involve complex legal and factual questions. This uncertainty may materially affect Sema4’s ability to defend or obtain patents or to address the patents and patent applications owned or controlled by its collaborators and licensors.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Sema4’s ability to obtain commercially relevant or competitively advantageous patent protection for its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Sema4’s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its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Alice Corporation Pty. Ltd. v. CLS Bank International, </w:t>
      </w:r>
      <w:r>
        <w:rPr>
          <w:rFonts w:ascii="Arial" w:cs="Arial" w:eastAsia="Arial" w:hAnsi="Arial"/>
          <w:sz w:val="16"/>
          <w:szCs w:val="16"/>
          <w:color w:val="auto"/>
        </w:rPr>
        <w:t>and others. The guidance indicates that claims directed to a law of nature, a natural phenomenon,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Sema4 cannot assure you that its intellectual property strategy or patent portfolio will not be negatively impacted by the decisions described above, rulings in other cases or changes in guidance or procedures issued by the USPTO.</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Sema4’s ability to obtain, enforce or defend its patents. Accordingly, it is not clear what, if any, impact these substantive changes will ultimately have on the cost of prosecuting Sema4’s patent applications, its ability to obtain patents based on its discoveries and its ability to enforce or defend its issued patents, all of which could have a material adverse effect on its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is not able to adequately protect its trade secrets and other proprietary information, including the databases it manages and to which it has access, the value of its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relies on trade secret and proprietary know-how protection for its confidential and proprietary information and have taken security measures to protect this information. These measures, however, may not provide adequate protection. For example, Sema4 has a policy of requiring its consultants, advisors and collaborators, including, for example, its strategic collaborators with whom Sema4 seek to develop and commercialize products, to enter into confidentiality agreements and its employees to enter into invention, non-disclosure and in certain cases non-compete agreements. However, breaches of Sema4’s physical or electronic security systems, or breaches caused by its employees who failing to abide by their confidentiality obligations during or upon termination of their employment with it, could compromise these protection efforts. Any action Sema4 take to enforce its rights may be time-consuming, expensive, and possibly unsuccessful. Even if successful, the resulting remedy may not adequately compensate Sema4 for the harm caused by the breach. These risks are heightened in countries where laws or law enforcement practices may not protect proprietary rights as fully as in the United States or Europe. Any unauthorized use or disclosure of, or access to, Sema4’s trade secrets, know-how or other proprietary information, whether accidentally or through willful misconduct, could have a material adverse effect on its programs and its strategy, and on its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Sema4’s trademarks and trade names are not adequately protected, it may not be able to build name recognition in its markets of interest, and its business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Failure to maintain Sema4’s trademark registrations, or to obtain new trademark registrations in the future, could limit its ability to protect its trademarks and impede its marketing efforts in the countries in which Sema4 operates. Sema4 may not be able to protect its rights to trademarks and trade names which Sema4 may need to build name recognition with potential partners or customers in its markets of interest. As a means to enforce Sema4’s trademark rights and prevent infringement, Sema4 may be required to file trademark claims against third parties or initiate trademark opposition proceedings. This can be expensive and time-consuming, and possibly unsuccessful. Sema4’s registered or unregistered trademarks or trade names may be challenged, infringed, circumvented, declared generic or determined to infringe on other marks.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pending trademark applications in the United States and in other foreign jurisdictions where Sema4 may file may not be successful. Even if these applications result in registered trademarks, third parties may challenge these trademarks in the future. Over the long term, if Sema4 is unable to establish name recognition based on its trademarks and trade names, then it may not be able to compete effectively, and its business may be adversely affected.</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Sema4’s technology, could be costly, time-consuming, and could limit its ability to commercialize its products or services.</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Sema4’s success depends in part on its non-infringement of the patents or intellectual property rights of third parties, and its ability to successfully prevent third parties from infringing its intellectual property. Sema4 operates in a crowded technology area in which there has been substantial litigation and other proceedings regarding patent and other intellectual property rights in the genetic diagnostics industry. Third parties, including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have asserted and may in the future assert that Sema4 is infringing their intellectual property rights. Sema4 may also become subject to and/or initiate future intellectual property litigation as its product portfolio and the level of competition in its industry grow.</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Sema4 has no way of knowing if others may have filed patent applications covering technologies used by it or its partners. Additionally, there may be third-party patents, patent applications and other intellectual property relevant to Sema4’s technologies that may block or compete with its technologies. From time-to-time Sema4 has received correspondence from third parties alleging to hold intellectual property rights that could block its development or commercialization of products. While none of these inquiries to date have had any material effect on it, Sema4 may receive inquiries in the future that could have a material effect on its business. Even if third-party claims are without merit, defending a lawsuit may result in substantial expense to Sema4 and may divert the attention of management and key personnel. In addition, Sema4 cannot provide assurance that it would prevail in any such suits to the extent necessary to conduct its business according to its strategic plan or that the damages or other remedies, if any, awarded against it would not be substantial. Claims of intellectual property infringement may require that Sema4, or its strategic partners, enter into unsustainably high royalty or license agreements with third parties that may only be available on unacceptable terms, if at all. In addition, Sema4 could experience delays in product introductions or sales growth while Sema4 attempts to develop non-infringing alternatives. These claims could also result in injunctions against the further development and commercial sale of services or products containing Sema4’s technologies, which would have a material adverse effect on its business, financial condition and results of operations.</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patents and patent applications owned by Sema4 may become the subject of interference proceedings in the USPTO to determine priority of invention, which could result in substantial cost to Sema4 as well as a possible adverse decision as to the priority of invention of the patent or patent application involved. An adverse decision in an interference proceeding may result in the loss of rights under a patent or patent application subject to such a proceeding. Sema4 cannot predict whether, or offer any assurance that, the patent infringement claims may initiate in the future will be successful. Sema4 is and may become subject to counterclaims by patent infringement defendants. Sema4’s patents may be declared invalid or unenforceable, or narrowed in scope. Even if Sema4 prevails in an infringement action, Sema4 cannot assure you that it would be adequately compensated for the harm to its business. If Sema4 is unable to enjoin third-party infringement, its revenues may be adversely impacted and it may lose market share; and such third-party product may continue to exist in the market, but fail to meet its regulatory or safety standards, thereby causing irreparable harm to Sema4’s reputation as a provider of quality products, which in turn could result in loss of market share and have a material adverse effect on its business, financial condition and its results of operations.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Sema4’s agreements with some of its customers, suppliers, and other entities with whom Sema4 does business require it to defend or indemnify these parties to the extent they become involved in patent infringement claims, including the types of claims described in this risk factor. Sema4 has agreed, and may in the future agree, to defend or indemnify third parties if Sema4 determines it to be in the best interests of its business relationships. If Sema4 is required or agree to defend or indemnify third parties in connection with any infringement claims, Sema4 could incur significant costs and expenses that could adversely affect its business, financial condition and results of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use of open-source software could subject it to possible litigation or cause Sema4 to subject its platform to unwanted open-source license conditions that could negatively impact its sales.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limited but meaningful portion of Sema4’s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Sema4’s business is unknown and may result in unanticipated obligations regarding its products and technologies. If an author or other third party that distributes such open-source software were to allege that Sema4 had not complied with the conditions of one or more of these licenses, Sema4 could be required to incur significant legal expenses defending against such allegations. In addition, if Sema4 combines its proprietary software with open-source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in a certain manner, under some open-source licenses, Sema4 could be required to release the source code of its proprietary software, which could substantially help its competitors develop products that are similar to or better than Sema4’s products.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strategic collaborative and licensing arrangements with third parties to develop critical intellectual property. Sema4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Sema4’s products and services rely, directly or indirectly, upon strategic collaborations and licensing agreements with third parties. Such arrangements provide Sema4 with intellectual property and other business rights crucial to its product development and commercialization. Sema4 has incorporated licensed technology into its tests. Sema4’s dependence on licensing, collaboration and other similar agreements with third parties may subject it to a number of risks. There can be no assurance that any current contractual arrangements between Sema4 and third parties or between its strategic partners and other third parties will be continued on materially similar terms and will not be breached or terminated early. Any failure to obtain or retain the rights to necessary technologies on acceptable commercial terms could require Sema4 to re-configure its products and services, which could negatively impact their commercial sale or increase the associated costs, either of which could materially harm its business and adversely affect its future revenues and ability to achieve sustained profitability.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expects to continue and expand its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Sema4 agrees to work exclusively with one collaborator in a given area, its opportunities to collaborate with other entities could be limited. Potential collaborators or licensors may reject collaborations with it based upon their assessment of Sema4’s financial, regulatory or intellectual property position or other factors. Even if Sema4 successfully establishes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Sema4’s collaborators will continue to be successful and, as a result, Sema4 may expend considerable time and resources developing products or services that will not ultimately be commercialized.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Sema4’s information technology and communications systems could hurt its ability to effectively provide its products and services, which could harm its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Sema4’s products and services and fulfillment of its customer contracts depend on the continuing operation of Sema4’s information technology and communications systems. Sema4’s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Sema4’s systems. Some of Sema4’s data centers are located in areas with a high risk of major earthquakes or other natural disasters. Sema4’s data centers are also subject to break-ins, sabotage, and intentional acts of vandalism, and, in some cases, to potential disruptions resulting from problems experienced by facility operators. Some of Sema4’s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Sema4’s data centers could result in lengthy interruptions in its service. In addition, Sema4’s products and services are highly technical and complex and may contain errors or vulnerabilities, which could result in interruptions in or failure of its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Sema4’s business, could prevent it from accessing critical information, and could expose it to regulatory liability, which could adversely affect its business.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ordinary course of its business, Sema4 collects and stores sensitive data, including protected health information, or PHI, personally identifiable information, genetic information, credit card information, intellectual property and proprietary business information owned or controlled by Sema4 or its customers, payers and other parties. Sema4 manages and maintains its applications and data utilizing a combination of on-site systems, managed data center systems and cloud-based systems. Sema4 also communicates PHI and other sensitive patient data through its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Sema4 faces a number of risks relative to protecting this critical information, including loss of access risk, inappropriate disclosure, inappropriate modification, and the risk of its being unable to adequately monitor and modify its controls over its critical information. Any technical problems that may arise in connection with the data that Sema4 accesses and Sema4’s systems, including those that are hosted by third-party providers, could result in interruptions to its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Sema4’s business and operations.</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Sema4’s operations and business strategy, and it devotes significant resources to protecting such information. Although Sema4 takes what it believes to be reasonable and appropriate measures, including a formal, dedicated enterprise security program, to protect sensitive information from various compromises (including unauthorized access, disclosure, or modification or lack of availability), Sema4’s information technology and infrastructure may be vulnerable to attacks by hackers or viruses or breached due to employee error, malfeasance or other disruptions. Any such breach or interruption could compromise Sema4’s networks and the information stored therein could be accessed by unauthorized parties, altered, publicly disclosed, lost or stolen.</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Sema4’s some of customer tools and platforms are currently accessible through a portal and there is no guarantee that Sema4 can protect its portal them from a security breach. Unauthorized access, loss or dissemination could also disrupt Sema4’s operations (including its ability to conduct its analyses, provide test results, bill payers or patients, process claims and appeals, provide customer assistance, conduct research and development activities, collect, process and prepare company financial information, provide information about its tests and other patient and physician education and outreach efforts through its website, and manage the administrative aspects of its business) and damage its reputation, any of which could adversely affect Sema4’s business. In addition to data security risks, Sema4 also face privacy risks. Should Sema4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Sema4 collects.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Sema4’s potential liability and adversely affect its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Sema4’s practices. If so, this could result in government-imposed fines or orders requiring that Sema4 change its practices, which could adversely affect its business. In addition, these privacy laws and regulations may differ from country to country and state to state, and Sema4’s obligations under these laws and regulations vary based on the nature of its activities in the particular jurisdiction, such as whether Sema4 collects samples from individuals in the local jurisdiction, performs testing in the local jurisdiction, or processes personal information regarding employees or other individuals in the local jurisdiction. Complying with these various laws and regulations could cause Sema4 to incur substantial costs or require it to change its business practices and compliance procedures in a manner adverse to its business. Sema4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Sema4’s reputation, any of which could have a material adverse effect on its business.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Sema4’s technology and its practices could damage its reputation, subject it to significant legal and financial exposure, and deter current and potential users or customers from using its products and services. Software bugs or defects, security breaches, and attacks on Sema4’s systems could result in the improper disclosure and use of user data and interference with its users and customers’ ability to use its products and services, harming its business operations and reputation.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Sema4’s practices with regard to the collection, use, disclosure, or security of personal information or other data-privacy-related matters, even if unfounded, could harm its reputation, financial condition, and operating results. Sema4’s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involve the storage and transmission of protected health information and other personal information, proprietary information, and bugs, theft, misuse, defects, vulnerabilities in its products and services, and security breaches expose it to a risk of loss of this information, improper use and disclosure of such information, litigation, and other potential liability. Systems and control failures, security breaches, failure to comply with Sema4’s privacy policies, and/or inadvertent disclosure of user data could result in government and legal exposure, seriously harm its reputation and brand and, therefore, its business, and impair its ability to attract and retain users or customers. Sema4 expects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experiences cyber-attacks and other attempts to gain unauthorized access to its systems on a regular basis. Sema4 may experience future security issues, whether due to employee error or malfeasance or system errors or vulnerabilities in its or other parties’ systems, which could result in significant legal and financial exposure. Government inquiries and enforcement actions, litigation, and adverse press coverage could harm its business. Sema4 may be unable to anticipate or detect attacks or vulnerabilities or implement adequate preventative measures. Attacks and security issues could also compromise trade secrets and other sensitive information, harming its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Sema4 has dedicated significant resources to privacy and security incident response capabilities, including dedicated worldwide incident response teams, its response process may not be adequate, may fail to accurately assess the severity of an incident, may not respond quickly enough, or may fail to sufficiently remediate an incident. As a result, Sema4 may suffer significant legal, reputational, or financial exposure, which could harm its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depends on its scientific computing and information technology and management systems and any failure of these systems could harm its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depends on scientific computing and information technology and management systems, including third-party cloud computing infrastructure, operating systems and artificial intelligence platforms, for significant elements of its operations, including its laboratory information management system, clinical database, analytical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workflow tools, customer and collaborator reporting and related functions. Sema4 also depends on its proprietary workflow software to support new product and service launches and regulatory compliance.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uses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has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Sema4 has installed, and intends to extend, the capabilities of both its preventative and detective security controls by augmenting the monitoring and alerting functions, the network design and the automatic countermeasure operations of its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Sema4’s third-party billing and collections provider depends upon technology and telecommunications systems provided by outside vendors.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its servers are potentially vulnerable to physical or electronic break-ins, computer viruses and similar disruptive problems. Despite the precautionary measures Sema4 has taken to prevent unanticipated problems that could affect its information technology and telecommunications systems, failures or significant downtime of these systems or those used by its collaborators or subcontractors could prevent it from conducting its comprehensive screening analysis, clinical diagnostics and drug discovery, preparing and providing reports to researchers, clinicians and its collaborators, billing payers, handling physician inquiries, conducting research and development activities and managing the administrative aspects of its business. Any disruption or loss of information technology or telecommunications systems on which critical aspects of Sema4’s operations depend could have an adverse effect on its business and its reputation, and Sema4 may be unable to regain or repair its reputation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will incur increased costs and demands on management as a result of compliance with laws and regulations applicable to public companies, which could harm its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never been a public company. Following the Business Combination, the post-combination company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post-combination company’s compliance. In addition, the Dodd-Frank Wall Street Reform and Consumer Protection Act, or the Dodd-Frank Act, enacted in 2010, includes significant corporate governance and executive-compensation-related provisions. The post-combination company’s management and other personnel will need to devote a substantial amount of time to these compliance and disclosure obligations. If these requirements divert the attention of the post-combination company’s management and personnel from other aspects of its business concerns, they could have a material adverse effect on its business, financial condition and results of operations. Moreover, these rules and regulations applicable to public companies substantially could increase the post-combination company’s legal, accounting and financial compliance costs, require that the post-combination company hire additional personnel and make some activities more time consuming and costly. It may also be more expensive for the post-combination company to obtain director and officer liability insurance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 and the Business Combination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have agreed to vote in favor of the Business Combination and the other proposals described in this proxy statement, regardless of how our public stockholders vote.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Unlike many other blank check companies in which the founders agree to vote their Founder Shares in accordance with the majority of the votes cast by the holders of public stock in connection with an initial business combination, our Initial Stockholders have agreed to vote any shares of common stock owned by them in favor of the Business Combination Proposal and the other proposals described in this proxy statement. As of the date hereof, our Initial Stockholders own shares equal to 20% of our issued and outstanding shares of common stock. Accordingly, it is more likely that the necessary stockholder approval will be received for the Business Combination than would be the case if our Initial Stockholders agreed to vote any shares of common stock owned by them in accordance with the majority of the votes cast by our public stockholders.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Sponsor, certain members of our Board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considering our Board’s recommendation that our stockholders vote in favor of the approval of the Business Combination Proposal, our stockholders should be aware that the directors and officers of the Company have interests in the Business Combination that may be different from, or in addition to, the interests of our stockholders. These interests include:</w:t>
      </w:r>
    </w:p>
    <w:p>
      <w:pPr>
        <w:spacing w:after="0" w:line="130" w:lineRule="exact"/>
        <w:rPr>
          <w:sz w:val="20"/>
          <w:szCs w:val="20"/>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Founder Shares and now holds 10,993,750 Founder Shares, which will convert into 10,993,750 shares of Class A common stock in accordance with the terms of the Merger Agreement; such shares will have a significantly higher value at the time of the Business Combination, which if unrestricted and freely tradable would have an aggregate market value of approximately $130,605,750 based upon the closing price of $11.88 per public share on Nasdaq on June 7, 2021, but, given the restrictions on such shares, we believe such shares have less value;</w:t>
      </w:r>
    </w:p>
    <w:p>
      <w:pPr>
        <w:spacing w:after="0" w:line="133"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fact that (i) Munib Islam, one of our directors, owns 25,000 Founder Shares, (ii) Emily Leproust, one of our directors, owns 25,000 Founder Shares, and (iii) Nat Turner, one of our directors, owns 25,000 Founder Shares, which will convert into 25,000, 25,000 and 25,000 shares of Class A common stock, respectively, in accordance with the terms of the Merger Agreement, such shares if unrestricted and freely tradable would have a value at the time of the Business Combination of $297,000 to each of the aforementioned directors, based upon the closing price of $11.88 per public share on Nasdaq on June 7, 2021, but, given the restrictions on the shares, we believe such shares have less value;</w:t>
      </w:r>
    </w:p>
    <w:p>
      <w:pPr>
        <w:spacing w:after="0" w:line="107"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own 7,236,667 private placement warrants, which were purchased at a purchase price of $1.50 per private placement warrant; 6,736,669 of which are held by our Sponsor and 499,998 of which are held in the aggregate by Mr. Islam, Dr. Leproust and Mr. Turner;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that the Initial Stockholders could make a substantial profit after the consummation of the Business Combination even if public investors experience substantial losses;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3" w:lineRule="exact"/>
        <w:rPr>
          <w:sz w:val="20"/>
          <w:szCs w:val="20"/>
          <w:color w:val="auto"/>
        </w:rPr>
      </w:pPr>
    </w:p>
    <w:p>
      <w:pPr>
        <w:ind w:left="66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Initial Stockholders, including our Sponsor and our independent directors, hold a significant number of shares of our common stock. The aggregate average investment made by our Initial Stockholders for their investments in the Founder Shares was approximately $0.002 per share, or approximately $24,850 for our Sponsor and approximately $50 for each of Mr. Munib Islam, Dr. Emily Leproust and Mr. Nat Turner. The aggregate average investment made by our Initial Stockholders for their investments in the private placement warrants was $1.50 per private placement warrant, or approximately $10.1 million for our Sponsor and approximately $250,000 for each of Mr. Islam, Dr. Leproust and Mr. Turner. They will lose their entire investment in us if a business combination is not completed. There are no outstanding loans, fees due, or out-of-pocket expenses for which the Sponsor or its affiliates or our directors are awaiting reimbursement.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Initial Stockholders hold in the aggregate 11,068,750 Founder Shares, representing 20% of the total shares outstanding as of the date of this proxy.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Founder Shares will be worthless if we do not complete a business combination by the applicable deadline.</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Founder’s Shares are identical to the shares of common stock included in the public units, except that: (i) the Founder Shares are subject to certain transfer restrictions; (ii) our Initial Stockholders, officers and directors have entered into a letter agreement with us, pursuant to which they have agreed: (a) to waive their redemption rights with respect to their shares of common stock in connection with the completion of our Business Combination; (b) waive their redemption rights with respect to their shares of common stock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IPO or to provide for redemption in connection with a business combination; and (c) to waive their rights to liquidating distributions from the Trust Account with respect to their Founder Shares if we fail to complete our initial business combination by the applicable deadline (although they will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liquidating distributions from the Trust Account with respect to any public shares they hold if we fail to complete our initial business combination by the applicable deadline.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personal and financial interests of our officers and directors may have influenced their motivation in identifying and selecting Sema4, completing a business combination with Sema4 and may influence their operation of the post-combination company following the Business Combination. This risk may become more acute as the deadline for completing an initial business combination nears.</w:t>
      </w:r>
    </w:p>
    <w:p>
      <w:pPr>
        <w:spacing w:after="0" w:line="1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Sponsor, directors or officers or their affiliates may elect to purchase shares or warrants from public stockholders, which may influence a vote on a proposed Business Combination and the other proposals described in this proxy statement and reduce the public “float” of our common stock.</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Sponsor, directors or officers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closing conditions in the Merger Agreement regarding required amounts in the Trust Account and the proceeds from the PIPE Investment equaling or exceeding certain thresholds where it appears that such requirements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Business Combination that may not otherwise have been possible. Any such purchases will be reported pursuant to Section 13 and Section 16 of the Exchange Act to the extent such purchasers are subject to such reporting requirements.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and the number of beneficial holders of our securities may be reduced, possibly making it difficult to obtain or maintain the quotation, listing or trading of our securities on the NYSE or another national securities exchange or reducing the liquidity of the trading market for our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public stockholders will experience dilution as a consequence of, among other transactions, the issuance of common stock as consideration in the Business Combination and the PIPE Investment. Having a minority share position may reduce the influence that our current stockholders have on the management of the post-combination company.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issuance of the common stock in the Business Combination and in the PIPE Investment will dilute the equity interest of our existing stockholders and may adversely affect prevailing market prices for our public shares and/or public warrants.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in the aggregate 35,000,000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stock, for approximately $350,000,000 of gross proceeds, in the PIPE Investment. The ownership percentage with respect to the post-combination company following the Business Combination does not take into account (i) warrants to purchase common stock that will remain outstanding immediately following the Business Combination, (ii) the issuance of Earn-Out Shares to the Sema4 equity holders should the earn-out conditions in the Merger Agreement be satisfied or (iii)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 Impact of the Business Combination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6 — ESPP Proposal.</w:t>
      </w:r>
      <w:r>
        <w:rPr>
          <w:rFonts w:ascii="Arial" w:cs="Arial" w:eastAsia="Arial" w:hAnsi="Arial"/>
          <w:sz w:val="17"/>
          <w:szCs w:val="17"/>
          <w:color w:val="auto"/>
        </w:rPr>
        <w: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not list the post-combination company’s securities on its exchange, which could limit investors’ ability to make transactions in our securities and subject us to additional trading restrictions.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Business Combination, in order to obtain the listing of the post-combination company’s securities on Nasdaq, we will be required to demonstrate compliance with Nasdaq’s initial listing requirements, which are more rigorous than the NYSE’s continued listing requirements. We will seek to have the post-combination company’s securities listed on Nasdaq upon consummation of the Business Combination. We cannot assure you that we will be able to meet all initial listing requirements. Even if the post-combination company’s securities are listed on Nasdaq, we may be unable to maintain the listing of its securities in the future.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meet the initial listing requirements and Nasdaq does not list the post-combination company’s securities on its exchange, Sema4 would not be required to consummate the Business Combination. In the event that Sema4 elected to waive this condition, and the Business Combination was consummated without the post-combination company’s securities being listed on Nasdaq or on another national securities exchange, we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If the post-combination company’s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Resales of the shares of common stock included in the stock consideration could depress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the shares of common stock included in the stock consideration could depress the market price of our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will have approximately 238,266,485 million shares of common stock outstanding immediately following the Business Combination, and there may be a large number of shares of common stock sold in the market following the completion of the Business Combination or shortly thereafter. The shares held by the Company’s public stockholders are freely tradable, and the shares of common stock held by the PIPE Investors will be freely tradable following effectiveness of the registration statement that we have agreed to file in connection with the Business Combination covering the resales of such shares. In addition, the Company will be obligated to register the resale of shares of common stock issued as merger consideration, which shares will become available for resale following the expiration of any applicable lockup period. We also expect that Rule 144 will become available for the resale of shares of our common stock that are not registered for resale once one year has elapsed from the date that we file the Current Report on Form 8-K following the Closing that includes the required Form 10 information that reflects we are no longer a shell company. Such sales of shares of common stock or the perception of such sales may depress the market price of our common stock.</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process of taking a company public by means of a business combination with a special purpose acquisition company is different from taking a company public through an IPO and may create risks for our unaffiliated investors.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IPO involves a company engaging underwriters to purchase its shares and resell them to the public. An underwritten offering imposes statutory liability on the underwriters for material misstatements or omissions contained in the registration statement unless they are able to sustain the burden of providing that they did not know and could not reasonably have discovered such material misstatements or omissions. This is referred to as a “due diligence” defense and results in the underwriters undertaking a detailed review of IPO company’s business, financial condition and results of operations. Going public via a business combination with a SPAC does not involve any underwriters and may therefore result in less careful review of information that is presented to the public.</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going public via a business combination with a SPAC does not involve a book-building process as is the case in an IPO. In any IPO, the initial value of a company is set by investors who indicate the price at which they are prepare to purchase shares from the underwriters. In the case of a SPAC transaction, the value of the company is established by means of negotiations between the target company, the SPAC and, in some cases, “PIPE” investors who agree to purchase shares at the time of the business combination. The process of establishing the value of a company in a SPAC business combination may be less effective than an IPO bookbuilding process and also does not reflect events that may have occurred between the date of the business combination agreement and the closing of the transaction. In addition, IPOs are frequently oversubscribed resulting in additional potential demand for shares in the aftermarket following the IPO. There is no such book of demand built up in connection with SPAC transaction which may result in the share price being harder to sustain after the transaction.</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the applicable deadline. If we are unable to effect an initial business combination by the applicable deadline, we will be forced to liquidate and our warrants will expire worthless.</w:t>
      </w:r>
    </w:p>
    <w:p>
      <w:pPr>
        <w:spacing w:after="0" w:line="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the applicable deadline. Unless we amend our current certificate of incorporation to extend the life of the Company and certain other agreements into which we have entered, if we do not complete an initial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the DGCL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public unit in the IPO. In addition, if we fail to complete an initial business combination by the applicable deadline, there will be no redemption rights or liquidating distributions with respect to our public warrants or the private placement warrants, which will expire worthless. We expect to consummate the Business Combination and do not intend to take any action to extend the life of the Company beyond the applicable deadline if we are unable to effect an initial business combination by that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consummate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our key personnel, including the key personnel of Sema4. The loss of key personnel could negatively impact the operations and profitability of our post-combination business and its financial condition could suffer as a result.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successfully effect our Business Combination is dependent upon the efforts of our key personnel, including the key personnel of Sema4. Although some of our key personnel are expected to remain with the post-combination company as members of the board of directors or in advisory positions following our Business Combination, it is possible that we will lose some key personnel, the loss of which could negatively impact the operations and profitability of our post-combination business. We anticipate that the executive officers of Sema4 will serve the post-combination company in their respective roles immediately following the Closing.</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success depends to a significant degree upon the continued contributions of senior management, certain of whom would be difficult to replace. Departure by certain of Sema4’s officers could have a material adverse effect on Sema4’s business, financial condition, or operating results. The services of such personnel may not continue to be available to the post-combination company following the Closing. See “Risk Factors—Risks Related to Sema4’s Business Model—</w:t>
      </w:r>
      <w:r>
        <w:rPr>
          <w:rFonts w:ascii="Arial" w:cs="Arial" w:eastAsia="Arial" w:hAnsi="Arial"/>
          <w:sz w:val="16"/>
          <w:szCs w:val="16"/>
          <w:i w:val="1"/>
          <w:iCs w:val="1"/>
          <w:color w:val="auto"/>
        </w:rPr>
        <w:t>The loss of any member or change in structure of Sema4’s senior management team could adversely affect its business.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and Sema4 will be subject to business uncertainties and contractual restrictions while the Business Combination is pending.</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the Company and Sema4. These uncertainties may impair our or Sema4’s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Sema4’s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agree to waive, in whole or in part, one or more of the conditions to our obligations to complete the Business Combination, to the extent permitted by our current certificate of incorporation and bylaws and applicable laws. We may not waive the condition that our stockholders approve the Business Combination. Please see the section entitled “</w:t>
      </w:r>
      <w:r>
        <w:rPr>
          <w:rFonts w:ascii="Arial" w:cs="Arial" w:eastAsia="Arial" w:hAnsi="Arial"/>
          <w:sz w:val="18"/>
          <w:szCs w:val="18"/>
          <w:i w:val="1"/>
          <w:iCs w:val="1"/>
          <w:color w:val="auto"/>
        </w:rPr>
        <w:t>Proposal No. 1 — Approval of the Business Combination — The Merger Agreement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require the Company to agree to amend the Merger Agreement, to consent to certain actions or to waive rights that we are entitled to under those agreements. Such events could arise because of changes in the course of Sema4’s business, a request by Sema4 to undertake actions that would otherwise be prohibited by the terms of the Merger Agreement or the occurrence of other events that would have a material adverse effect on Sema4’s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stockholder approval of the Business Combination has been obtained at the Special Meeting. While certain changes could be made without further stockholder approval, if there is a change to the terms of the Business Combination that would have a material impact on the stockholders, we will be required to circulate a new or amended proxy statement relating to the Business Combination or supplement thereto and resolicit the vote of our stockholders with respect to the Business Combination Proposal thereto.</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Shareholders may not know immediately after the special meeting whether we have satisfied the closing condition that the Trust Account and the proceeds from the PIPE Investment equal or exceed $300,000,000.</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 This process could take a number of days, and there may be a period of time after the special meeting and before the Closing when stockholders do not know whether we have satisfied this closing condition. Furthermore, the Subscription Agreements for the PIPE Investment are subject to certain conditions and there can be no guarantee that all the PIPE Investors will purchase their shares of common stock pursuant to the PIPE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Sema4 will incur significant transaction and transition costs in connection with the Business Combination.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Sema4 have both incurred and expect to incur significant, non-recurring costs in connection with consummating the Business Combination and operating as a public company following the consummation of the Business Combination. We and Sema4 may also incur additional costs to retain key employees. All expenses incurred in connection with the Merger Agreement and the transactions contemplated thereby (including the Business Combination), including all legal, accounting, consulting, investment banking and other fees, expenses and costs, will be for the account of the party incurring such fees, expenses and costs or paid by the Company following the Closing.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transaction expenses as a result of the Business Combination are expected to be approximately $35 million. The per-share amount we will distribute to stockholders who properly exercise their redemption rights will not be reduced by the transaction expenses and after such redemptions, the per-share value of shares held by non-redeeming stockholders will reflect our obligation to pay the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our Sponsor is unable to indemnify), and our warrants will expire worthless.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complete an initial business combination by the applicable deadline, our public stockholders may receive only approximately $10.00 per share on the liquidation of the Trust Account (or less than $10.00 per share in certain circumstances where a third-party brings a claim against us that our Sponsor is unable to indemnify (as described herein)) and our warrants will expire worthless.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or other entities with which we do business execute agreements with us waiving any right, title, interest or claim of any kind in or to any funds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funds held in the Trust Account, our management will perform an analysis of the alternatives available to it and will only enter into an agreement with a third-party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stockholders could be less than the $10.00 per share initially held in the Trust Account, due to claims of such creditors.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IPO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business combination and redemptions could be reduced to less than $10.00 per public share. In such event, we may not be able to complete our business combination, and you would receive such lesser amount per share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connection with any redemption of your public shares. None of our officers or directors will indemnify us for claims by third parties including, without limitation, claims by vendors and prospective target businesses.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only significant asset will be our ownership interest in Sema4 and such ownership may not be sufficient to pay dividends or make distributions or loans to enable us to pay any dividends on our common stock or satisfy our other financial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the consummation of the Business Combination, we will have no direct operations and no significant assets other than our ownership of Sema4. The Sema4 equity holders, and directors and officers of Sema4 will become stockholders of the post-combination company at that time. We will depend on Sema4 for distributions, loans and other payments to generate the funds necessary to meet our financial obligations, including our expenses as a publicly traded company and to pay any dividends with respect to our common stock. The financial condition and operating requirements of Sema4 may limit our ability to obtain cash from Sema4. The earnings from, or other available assets of, Sema4 may not be sufficient to pay dividends or make distributions or loans to enable us to pay any dividends on our common stock or satisfy our other financial obligations.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ability of Sema4 to make distributions, loans and other payments to us for the purposes described above and for any other purpose may be limited by credit agreements to which Sema4 is party from time to time, and will be subject to any negative covenants set forth therein. Any loans or other extensions of credit to us from Sema4 will be permitted only to the extent there is an applicable exception to the investment covenants under these credit agreements. Similarly, any dividends, distributions or similar payments to us from Sema4 will be permitted only to the extent there is an applicable exception to the dividends and distributions covenants under these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have conducted due diligence on Sema4, we cannot assure you that this diligence will surface all material issues that may be present in Sema4’s business, that it would be possible to uncover all material issues through a customary amount of due diligence, or that factors outside of Sema4’s business and outside of our and Sema4’s control will not later arise. As a result of these factors, we may be forced to later write down or write off assets, restructure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post-combination company or its securities. Accordingly, any of our stockholders who choose to remain stockholders following our Business Combination could suffer a reduction in the value of their shares. Such stockholders are unlikely to have a remedy for such reduction in value.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operating or financial history and our results of operations and those of the post-combination company may differ significantly from the unaudited pro forma financial data included in this proxy statement.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and we have no operating history and no revenues. This proxy statement includes unaudited pro forma condensed combined financial statements for the post-combination company. The unaudited pro forma condensed combined statement of operations of the post-combination company combines the historical audited results of operations of the Company for the year ended December 31, 2020, with the historical audited results of operations of Sema4 for the year ended December 31, 2020, and gives pro forma effect to the Business Combination as if it had been consummated on January 1, 2021. The unaudited pro forma condensed combined balance sheet of the post-combination company combines the historical balance sheets of the Company as of December 31, 2020 and of Sema4 as of December 31, 2020 and gives pro forma effect to the Business Combination as if it had been consummated on January 1, 2021.</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and the acquisitions by Sema4 been consummated on the dates indicated above, or the future consolidated results of operations or financial position of the post-combination company. Accordingly, the post-combination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will be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2"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660" w:right="2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the Company’s securities prior to the Closing may decline. The market values of our securities at the time of the Business Combination may vary significantly from their prices on the date the Merger Agreement was executed, the date of this proxy statement, or the date on which our stockholders vote on the Business Combination.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Sema4’s stock and trading in the shares of our common stock has not been active. Accordingly, the valuation ascribed to Sema4 and our common stock in the Business Combination may not be indicative of the price of the post-combination company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the post-combination company’s securities following the Business Combination may include:</w:t>
      </w:r>
    </w:p>
    <w:p>
      <w:pPr>
        <w:spacing w:after="0" w:line="171"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the post-combination company or the market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changes in the post-combination company’s capital structure, such as future issuances of securities or the incurrence of additional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the post-combination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following the Business Combination, securities or industry analysts do not publish or cease publishing research or reports about the post-combination company, its business, or its market, or if they change their recommendations regarding our common stock adversely, then the price and trading volume of our common could decline.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research on the Company or the post-combination company.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or industry analysts commence coverage of the post-combination company, our stock price and trading volume would likely be negatively impacted. If any of the analysts who may cover the post-combination company change their recommendation regarding our stock adversely, or provide more favorable relative recommendations about our competitors, the price of our common stock would likely decline. If any analyst who may cover the Company were to cease coverage of the post-combination company or fail to regularly publish reports on it, we could lose visibility in the financial markets, which could cause our stock price or trading volume to decline.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common stock issuable upon exercise of the public warrants under the Securities Act or any state securities laws at this time, and such registration may not be in place when an investor desires to exercise public warrants, thus precluding such investor from being able to exercise its public warrants except on a cashless basis and potentially causing such public warrants to expire worthless.</w:t>
      </w:r>
    </w:p>
    <w:p>
      <w:pPr>
        <w:spacing w:after="0" w:line="9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have not registered the shares of common stock issuable upon exercise of the public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warrants and thereafter will use our best efforts to cause the same to become effective within 60 business days following our initial business combination and to maintain a current prospectus relating to the common stock issuable upon exercise of the public warrants, until the expiration of the public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public warrants are not registered under the Securities Act, we will be required to permit holders to exercise their public warrants on a cashless basis. However,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no event will we be required to net cash settle any public warrant, or issue securities or other compensation in exchange for the public warrants in the event that we are unable to register or qualify the shares underlying the public warrants under applicable state securities laws and there is no exemption available. If the issuance of the shares upon exercise of the public warrants is not so registered or qualified or exempt from registration or qualification, the holder of such public warrant shall not be entitled to exercise such public warrant and such public warrant may have no value and expire worthless. In such event, holders who acquired their public warrants as part of a purchase of public units will have paid the full unit purchase price solely for the shares of common stock included in the public units.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the warrants were offered by us in the IPO. However, there may be instances in which holders of our public warrants may be unable to exercise such public warrants but holders of our private warrants may be able to exercise such private warrants.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price for our public warrants is higher than in many similar blank check company offerings in the past, and, accordingly, the public warrants are more likely to expire worthless.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our public warrants is higher than is typical with many similar blank check companies in the past. Historically, with regard to units offered by blank check companies, the exercise price of a public warrant was generally a fraction of the purchase price of the units in the initial public offering. The exercise price for our public warrants is $11.50 per share, subject to adjustment as provided herein. As a result, the public warrants are less likely to ever be in the money and more likely to expire worthless.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our Sponsor or its permitted transferees. 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6"/>
          <w:szCs w:val="16"/>
          <w:i w:val="1"/>
          <w:iCs w:val="1"/>
          <w:color w:val="auto"/>
        </w:rPr>
        <w:t>The Business Combination Proposal — Related Agreements — Forfeiture Agreement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warrants are exercisable for 14,758,333 shares of common stock as part of our IPO at $11.50 per share. Our private warrants are exercisable for 7,236,667 shares of common stock as part of our IPO at $11.50 per share. We expect to issue 35,000,000 shares of our common stock to the PIPE Investors in the PIPE Investment upon consummation of the Business Combination. The shares of common stock issued in the PIPE Investment and additional shares of our common stock issued upon exercise of our warrants will result in dilution to the then existing holders of common stock of the Company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Trust Account distributed to our public stockholders upon the redemption of our public shares in the event we do not complete an initial business combination by the applicable deadline may be considered a liquidating distribution under Delaware law. If a corporation complies with certain procedures set forth in Section 280 of the DGCL intended to ensure that it makes reasonable provision for all claims against it, including a 60- 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applicable deadline in the event we do not complete an initial business combination and, therefore, we do not intend to comply with the foregoing procedures.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an initial business combination by the applicable deadline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Assuming the post-combination company’s Amended and Restated Certificate of Incorporation is approved at the Special Meeting, it will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4"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a majority of the board, the chairman of the board or the chief executive officer of the post-combination company and may not be called by any other person, which may delay the ability of our stockholders to force consideration of a proposal or to take action, including the removal of directors;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the common stock of the post-combination company;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prior June 30th, and (ii) the date on which we have issued more than $1.0 billion in non-convertible debt during the prior three-year period.</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the post-combination company will be required to provide management’s assessment on internal controls commencing with the annual report for fiscal year ended December 31, 2020, and we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Sema4 as a privately-held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post-combination company are documented, designed or operating.</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post-combination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this issuance of the SEC Statement, on April 12, 2021, after consultation with our independent registered public accounting firm, our management and our audit committee concluded that, in light of the SEC Statement, it was appropriate to restate our previously issued audited financial statements as of and for the period ended December 31, 2020 (the “Restatement”). See “</w:t>
      </w:r>
      <w:r>
        <w:rPr>
          <w:rFonts w:ascii="Arial" w:cs="Arial" w:eastAsia="Arial" w:hAnsi="Arial"/>
          <w:sz w:val="18"/>
          <w:szCs w:val="18"/>
          <w:i w:val="1"/>
          <w:iCs w:val="1"/>
          <w:color w:val="auto"/>
        </w:rPr>
        <w:t>—Our warrants are accounted for as liabilities and the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our warrants could have a material effect on our financial results</w:t>
      </w:r>
      <w:r>
        <w:rPr>
          <w:rFonts w:ascii="Arial" w:cs="Arial" w:eastAsia="Arial" w:hAnsi="Arial"/>
          <w:sz w:val="18"/>
          <w:szCs w:val="18"/>
          <w:color w:val="auto"/>
        </w:rPr>
        <w:t>.” As part of such process, we identified a material weakness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the post-business combination company, may face litigation and other risks as a result of the material weakness in our internal control over financial reporting.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as of December 31, 2020 and for the period from July 10, 2020 (inception) through December 31, 2020. See section entitled “—</w:t>
      </w:r>
      <w:r>
        <w:rPr>
          <w:rFonts w:ascii="Arial" w:cs="Arial" w:eastAsia="Arial" w:hAnsi="Arial"/>
          <w:sz w:val="18"/>
          <w:szCs w:val="18"/>
          <w:i w:val="1"/>
          <w:iCs w:val="1"/>
          <w:color w:val="auto"/>
        </w:rPr>
        <w:t>Our warrants are accounted for as liabilities and the changes in value of 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could have a material effect on our financial results</w:t>
      </w:r>
      <w:r>
        <w:rPr>
          <w:rFonts w:ascii="Arial" w:cs="Arial" w:eastAsia="Arial" w:hAnsi="Arial"/>
          <w:sz w:val="18"/>
          <w:szCs w:val="18"/>
          <w:color w:val="auto"/>
        </w:rPr>
        <w:t>.” As part of the Restatement, we identified a material weakness in our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obtain a favorable judicial forum for disputes with the post-combination company or its directors, officers or employees.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bring an action or proceeding in an alternative judicial forum that a stockholder may prefer for disputes with the post-combination company or its directors, officers or employees.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proposed Amended and Restated Certificate of Incorporation provides that, subject to limited exceptions,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and federal court within the State of Delaware will be exclusive forums for any:</w:t>
      </w:r>
    </w:p>
    <w:p>
      <w:pPr>
        <w:spacing w:after="0" w:line="157"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under the Exchange Act or any other claim for which federal courts have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the Company’s exclusive forum provision in the restated bylaws and the choice of forum provision in the proposed Amended and Restated Certificate of Incorporation.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the post-combination company or any of its directors, officers, or other employees, which may discourage lawsuits with respect to such claims. Alternatively, if a court were to find the choice of forum provisions contained in the post-combination company’s restated certificate of incorporation to be inapplicable or unenforceable in an action, it may incur additional costs associated with resolving such action in other jurisdictions, which could harm its business, results of operations and financial condition.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stockholders will not be deemed to have waived the post-combination company’s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the post-combination company’s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the post-combination company or its directors, officers, or other employees, which may discourage lawsuits against us and our directors, officers, and other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current certificate of incorporation does not provide a specified maximum redemption threshold, except that we will not redeem our public shares in an amount that would cause the Company’s net tangible assets to be less than $5,000,001 upon consummation of our initial business combination (such that we are not subject to the SEC’s “penny stock” rules). However, the Merger Agreement provides that our obligation to consummate the Business Combination is conditioned on the amount in the Trust Account and the proceeds from the PIPE Investment equaling or exceeding $300,000,000, and the obligation of Sema4 to consummate the Business Combination is conditioned on the amount in the Trust Account and the proceeds from the PIPE Investment equaling or exceeding $300,000,000, in each case after the payment of redemptions and satisfaction of Company and Sema4 transaction expenses. As a result, we may be able to complete our Business Combination even though a substantial portion of our public stockholders do not agree with the transaction and have redeemed their shares or have entered into privately negotiated agreements to sell their shares to our Sponsor, directors or officers or their affiliates. Based on the amount of approximately $442,763,951 million in our Trust Account as of December 31, 2021, and taking into account the anticipated gross proceeds of approximately $350,000,000 from the PIPE Investment, all of our shares of common stock may be redeemed and still enable us to have sufficient cash to satisfy the cash closing conditions in the Merger Agreement. As of the date of this proxy statement, no agreements with respect to the private purchase of public shares by the Company or the persons described above have been entered into with any such investor or holder. We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 at the Special Meeting.</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the Company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 A stockholder should consult the stockholder’s own tax and/or financial advisor for assistance on how this may affect his, her or its individual situation.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Stockholders of the Company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this proxy statement, they will not be entitled to redeem their shares of our common stock for a pro rata portion of the funds held in our Trust Account.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 Meeting.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which we refer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Special Meeting of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 Redemption Rights</w:t>
      </w:r>
      <w:r>
        <w:rPr>
          <w:rFonts w:ascii="Arial" w:cs="Arial" w:eastAsia="Arial" w:hAnsi="Arial"/>
          <w:sz w:val="17"/>
          <w:szCs w:val="17"/>
          <w:color w:val="auto"/>
        </w:rPr>
        <w:t>” for additional information on how to exercise your redemption rights.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Business Combination, or fails to comply with the procedures for tendering its shares, such shares may not be redeemed.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despite our compliance with the proxy rules, a stockholder fails to receive our proxy materials, such stockholder may not become aware of the opportunity to redeem its shares. In addition, the proxy materials that we are furnishing to holders of our public shares in connection with our Business Combination describes the various procedures that must be complied with in order to validly redeem public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Adjournment Proposal is not approved, the Business Combination would not be completed.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or any other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PARTIES TO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CMLS is a blank check company whose business purpose is to effect a merger, capital stock exchange, asset acquisition, stock purchase, reorganization or similar business combination with one or more businesses. For more information regarding Fusion, see the section entitled “Information About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Merger Sub is a wholly-owned subsidiary of the Company formed solely for the purpose of effecting the Business Combination. Merger Sub was incorporated under the DGCL on February 9, 2021. Merger Sub owns no material assets and does not operate any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its efforts both to deliver better outcomes for patients and to transform the practice of medicine, including how diseases are diagnosed, treated, and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provided to aid you in your analysis of the financial aspects of the Business Combination and the PIPE Investment.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March 31, 2021 combines the historical balance sheet of CMLS as of March 31, 2021 with the historical balance sheet of Sema4 as of March 31, 2021, giving effect to the Business Combination and the PIPE Investment as if they had been consummated as of that date.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three months ended March 31, 2021 and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sections entitled “Management’s Discussion and Analysis of Financial Condition and Results of Operations of CMLS,” “Management’s Discussion and Analysis of Financial Condition and Results of Operation of Sema4,” and other financial information relating to CMLS and 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531"/>
              <w:spacing w:after="0"/>
              <w:rPr>
                <w:sz w:val="20"/>
                <w:szCs w:val="20"/>
                <w:color w:val="auto"/>
              </w:rPr>
            </w:pPr>
            <w:r>
              <w:rPr>
                <w:rFonts w:ascii="Arial" w:cs="Arial" w:eastAsia="Arial" w:hAnsi="Arial"/>
                <w:sz w:val="14"/>
                <w:szCs w:val="14"/>
                <w:b w:val="1"/>
                <w:bCs w:val="1"/>
                <w:color w:val="auto"/>
              </w:rPr>
              <w:t>Historical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Scenario 1 Assuming No</w:t>
            </w:r>
          </w:p>
        </w:tc>
        <w:tc>
          <w:tcPr>
            <w:tcW w:w="100" w:type="dxa"/>
            <w:vAlign w:val="bottom"/>
          </w:tcPr>
          <w:p>
            <w:pPr>
              <w:spacing w:after="0"/>
              <w:rPr>
                <w:sz w:val="14"/>
                <w:szCs w:val="14"/>
                <w:color w:val="auto"/>
              </w:rPr>
            </w:pPr>
          </w:p>
        </w:tc>
        <w:tc>
          <w:tcPr>
            <w:tcW w:w="20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2"/>
              </w:rPr>
              <w:t>Scenario 2 Assuming Maximum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4"/>
                <w:szCs w:val="14"/>
                <w:b w:val="1"/>
                <w:bCs w:val="1"/>
                <w:color w:val="auto"/>
                <w:w w:val="92"/>
              </w:rPr>
              <w:t>Redemptions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5(A)</w:t>
            </w: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5(B)</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1"/>
                <w:szCs w:val="11"/>
                <w:color w:val="auto"/>
              </w:rPr>
            </w:pP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1"/>
                <w:szCs w:val="11"/>
                <w:color w:val="auto"/>
              </w:rPr>
            </w:pPr>
          </w:p>
        </w:tc>
        <w:tc>
          <w:tcPr>
            <w:tcW w:w="1300" w:type="dxa"/>
            <w:vAlign w:val="bottom"/>
            <w:gridSpan w:val="3"/>
          </w:tcPr>
          <w:p>
            <w:pPr>
              <w:jc w:val="right"/>
              <w:ind w:right="500"/>
              <w:spacing w:after="0" w:line="130" w:lineRule="exact"/>
              <w:rPr>
                <w:sz w:val="20"/>
                <w:szCs w:val="20"/>
                <w:color w:val="auto"/>
              </w:rPr>
            </w:pPr>
            <w:r>
              <w:rPr>
                <w:rFonts w:ascii="Arial" w:cs="Arial" w:eastAsia="Arial" w:hAnsi="Arial"/>
                <w:sz w:val="14"/>
                <w:szCs w:val="14"/>
                <w:b w:val="1"/>
                <w:bCs w:val="1"/>
                <w:color w:val="auto"/>
                <w:w w:val="98"/>
              </w:rPr>
              <w:t>Transaction</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Balance</w:t>
            </w:r>
          </w:p>
        </w:tc>
        <w:tc>
          <w:tcPr>
            <w:tcW w:w="1300" w:type="dxa"/>
            <w:vAlign w:val="bottom"/>
            <w:gridSpan w:val="3"/>
          </w:tcPr>
          <w:p>
            <w:pPr>
              <w:jc w:val="right"/>
              <w:ind w:right="520"/>
              <w:spacing w:after="0" w:line="135" w:lineRule="exact"/>
              <w:rPr>
                <w:sz w:val="20"/>
                <w:szCs w:val="20"/>
                <w:color w:val="auto"/>
              </w:rPr>
            </w:pPr>
            <w:r>
              <w:rPr>
                <w:rFonts w:ascii="Arial" w:cs="Arial" w:eastAsia="Arial" w:hAnsi="Arial"/>
                <w:sz w:val="14"/>
                <w:szCs w:val="14"/>
                <w:b w:val="1"/>
                <w:bCs w:val="1"/>
                <w:color w:val="auto"/>
                <w:w w:val="98"/>
              </w:rPr>
              <w:t>Accounting</w:t>
            </w:r>
          </w:p>
        </w:tc>
        <w:tc>
          <w:tcPr>
            <w:tcW w:w="200" w:type="dxa"/>
            <w:vAlign w:val="bottom"/>
          </w:tcPr>
          <w:p>
            <w:pPr>
              <w:spacing w:after="0"/>
              <w:rPr>
                <w:sz w:val="11"/>
                <w:szCs w:val="11"/>
                <w:color w:val="auto"/>
              </w:rPr>
            </w:pPr>
          </w:p>
        </w:tc>
        <w:tc>
          <w:tcPr>
            <w:tcW w:w="680" w:type="dxa"/>
            <w:vAlign w:val="bottom"/>
          </w:tcPr>
          <w:p>
            <w:pPr>
              <w:jc w:val="center"/>
              <w:ind w:right="111"/>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CMLS</w:t>
            </w:r>
          </w:p>
        </w:tc>
        <w:tc>
          <w:tcPr>
            <w:tcW w:w="1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Sema4</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680" w:type="dxa"/>
            <w:vAlign w:val="bottom"/>
          </w:tcPr>
          <w:p>
            <w:pPr>
              <w:jc w:val="center"/>
              <w:ind w:right="111"/>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533,907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(50,933) 5(i)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482,974</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23"/>
        </w:trPr>
        <w:tc>
          <w:tcPr>
            <w:tcW w:w="486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140,530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616,079</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565,146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442,775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(442,775) 5(b)</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443,696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695,135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644,202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contract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(1,846)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(10,752)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296,952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296,952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296,952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199,962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126,960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126,960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(15,496) 5(e)</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143,948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406,191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171,868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722,007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722,007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8"/>
              </w:rPr>
              <w:t>Sema4 Series A-1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40"/>
              <w:spacing w:after="0" w:line="176" w:lineRule="exact"/>
              <w:rPr>
                <w:sz w:val="20"/>
                <w:szCs w:val="20"/>
                <w:color w:val="auto"/>
              </w:rPr>
            </w:pPr>
            <w:r>
              <w:rPr>
                <w:rFonts w:ascii="Arial" w:cs="Arial" w:eastAsia="Arial" w:hAnsi="Arial"/>
                <w:sz w:val="18"/>
                <w:szCs w:val="18"/>
                <w:color w:val="auto"/>
                <w:w w:val="98"/>
              </w:rPr>
              <w:t>Sema4 Series A-2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Sema4 Series B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(118,824)</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60"/>
              <w:spacing w:after="0" w:line="176" w:lineRule="exact"/>
              <w:rPr>
                <w:sz w:val="20"/>
                <w:szCs w:val="20"/>
                <w:color w:val="auto"/>
              </w:rPr>
            </w:pPr>
            <w:r>
              <w:rPr>
                <w:rFonts w:ascii="Arial" w:cs="Arial" w:eastAsia="Arial" w:hAnsi="Arial"/>
                <w:sz w:val="18"/>
                <w:szCs w:val="18"/>
                <w:color w:val="auto"/>
              </w:rPr>
              <w:t>Sema4 Series C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0"/>
              </w:rPr>
              <w:t>(117,324)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(334,439)</w:t>
            </w:r>
          </w:p>
        </w:tc>
        <w:tc>
          <w:tcPr>
            <w:tcW w:w="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8"/>
              </w:rPr>
              <w:t>CMLS Class A Common stock subject to possible redemption</w:t>
            </w:r>
          </w:p>
        </w:tc>
        <w:tc>
          <w:tcPr>
            <w:tcW w:w="880" w:type="dxa"/>
            <w:vAlign w:val="bottom"/>
          </w:tcPr>
          <w:p>
            <w:pPr>
              <w:jc w:val="right"/>
              <w:spacing w:after="0"/>
              <w:rPr>
                <w:sz w:val="20"/>
                <w:szCs w:val="20"/>
                <w:color w:val="auto"/>
              </w:rPr>
            </w:pPr>
            <w:r>
              <w:rPr>
                <w:rFonts w:ascii="Arial" w:cs="Arial" w:eastAsia="Arial" w:hAnsi="Arial"/>
                <w:sz w:val="18"/>
                <w:szCs w:val="18"/>
                <w:color w:val="auto"/>
              </w:rPr>
              <w:t>294,748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(294,748)</w:t>
            </w:r>
          </w:p>
        </w:tc>
        <w:tc>
          <w:tcPr>
            <w:tcW w:w="440" w:type="dxa"/>
            <w:vAlign w:val="bottom"/>
          </w:tcPr>
          <w:p>
            <w:pPr>
              <w:ind w:left="20"/>
              <w:spacing w:after="0"/>
              <w:rPr>
                <w:sz w:val="20"/>
                <w:szCs w:val="20"/>
                <w:color w:val="auto"/>
              </w:rPr>
            </w:pPr>
            <w:r>
              <w:rPr>
                <w:rFonts w:ascii="Arial" w:cs="Arial" w:eastAsia="Arial" w:hAnsi="Arial"/>
                <w:sz w:val="18"/>
                <w:szCs w:val="18"/>
                <w:color w:val="auto"/>
              </w:rPr>
              <w:t>5(g)</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6"/>
              </w:rPr>
              <w:t>Sema4 Class B convertible common stock, $0.00001 par value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 5(i)</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103,378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399,267</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502,645</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(50,932) 5(i)</w:t>
            </w:r>
          </w:p>
        </w:tc>
        <w:tc>
          <w:tcPr>
            <w:tcW w:w="880" w:type="dxa"/>
            <w:vAlign w:val="bottom"/>
          </w:tcPr>
          <w:p>
            <w:pPr>
              <w:jc w:val="right"/>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89,883</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489,172</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5(h)</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(50,933)</w:t>
            </w: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2"/>
              </w:rPr>
              <w:t>5(i)</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(77,805)</w:t>
            </w: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7"/>
              </w:rPr>
              <w:t>Total liabilities, redeemable convertible preferred stock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$ 443,696</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$ 219,586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$ 695,135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  (50,933)</w:t>
            </w:r>
          </w:p>
        </w:tc>
        <w:tc>
          <w:tcPr>
            <w:tcW w:w="4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$ 644,202</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stockholders' deficit</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Scenario 1</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0"/>
              </w:rPr>
              <w:t>Scenario 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4"/>
          </w:tcPr>
          <w:p>
            <w:pPr>
              <w:jc w:val="right"/>
              <w:ind w:right="832"/>
              <w:spacing w:after="0" w:line="135" w:lineRule="exact"/>
              <w:rPr>
                <w:sz w:val="20"/>
                <w:szCs w:val="20"/>
                <w:color w:val="auto"/>
              </w:rPr>
            </w:pPr>
            <w:r>
              <w:rPr>
                <w:rFonts w:ascii="Arial" w:cs="Arial" w:eastAsia="Arial" w:hAnsi="Arial"/>
                <w:sz w:val="14"/>
                <w:szCs w:val="14"/>
                <w:b w:val="1"/>
                <w:bCs w:val="1"/>
                <w:color w:val="auto"/>
              </w:rPr>
              <w:t>Assuming No</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4"/>
          </w:tcPr>
          <w:p>
            <w:pPr>
              <w:jc w:val="center"/>
              <w:ind w:right="72"/>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Redemptions</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2"/>
              </w:rPr>
              <w:t>Redemptions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6(A)</w:t>
            </w:r>
          </w:p>
        </w:tc>
        <w:tc>
          <w:tcPr>
            <w:tcW w:w="260" w:type="dxa"/>
            <w:vAlign w:val="bottom"/>
          </w:tcPr>
          <w:p>
            <w:pPr>
              <w:spacing w:after="0"/>
              <w:rPr>
                <w:sz w:val="12"/>
                <w:szCs w:val="12"/>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rPr>
              <w:t>6(B)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2"/>
                <w:szCs w:val="12"/>
                <w:color w:val="auto"/>
              </w:rPr>
            </w:pPr>
          </w:p>
        </w:tc>
        <w:tc>
          <w:tcPr>
            <w:tcW w:w="980" w:type="dxa"/>
            <w:vAlign w:val="bottom"/>
          </w:tcPr>
          <w:p>
            <w:pPr>
              <w:jc w:val="center"/>
              <w:ind w:right="52"/>
              <w:spacing w:after="0" w:line="143"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2"/>
                <w:szCs w:val="12"/>
                <w:color w:val="auto"/>
              </w:rPr>
            </w:pPr>
          </w:p>
        </w:tc>
        <w:tc>
          <w:tcPr>
            <w:tcW w:w="1000" w:type="dxa"/>
            <w:vAlign w:val="bottom"/>
          </w:tcPr>
          <w:p>
            <w:pPr>
              <w:jc w:val="center"/>
              <w:ind w:right="32"/>
              <w:spacing w:after="0" w:line="143" w:lineRule="exact"/>
              <w:rPr>
                <w:sz w:val="20"/>
                <w:szCs w:val="20"/>
                <w:color w:val="auto"/>
              </w:rPr>
            </w:pPr>
            <w:r>
              <w:rPr>
                <w:rFonts w:ascii="Arial" w:cs="Arial" w:eastAsia="Arial" w:hAnsi="Arial"/>
                <w:sz w:val="14"/>
                <w:szCs w:val="14"/>
                <w:b w:val="1"/>
                <w:bCs w:val="1"/>
                <w:color w:val="auto"/>
                <w:w w:val="97"/>
              </w:rPr>
              <w:t>Pro Forma</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8"/>
                <w:szCs w:val="8"/>
                <w:color w:val="auto"/>
              </w:rPr>
            </w:pPr>
          </w:p>
        </w:tc>
        <w:tc>
          <w:tcPr>
            <w:tcW w:w="980" w:type="dxa"/>
            <w:vAlign w:val="bottom"/>
            <w:vMerge w:val="restart"/>
          </w:tcPr>
          <w:p>
            <w:pPr>
              <w:jc w:val="center"/>
              <w:ind w:right="3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Accounting</w:t>
            </w:r>
          </w:p>
        </w:tc>
        <w:tc>
          <w:tcPr>
            <w:tcW w:w="140" w:type="dxa"/>
            <w:vAlign w:val="bottom"/>
          </w:tcPr>
          <w:p>
            <w:pPr>
              <w:spacing w:after="0"/>
              <w:rPr>
                <w:sz w:val="8"/>
                <w:szCs w:val="8"/>
                <w:color w:val="auto"/>
              </w:rPr>
            </w:pPr>
          </w:p>
        </w:tc>
        <w:tc>
          <w:tcPr>
            <w:tcW w:w="1000" w:type="dxa"/>
            <w:vAlign w:val="bottom"/>
            <w:vMerge w:val="restart"/>
          </w:tcPr>
          <w:p>
            <w:pPr>
              <w:jc w:val="center"/>
              <w:ind w:right="5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CMLS</w:t>
            </w:r>
          </w:p>
        </w:tc>
        <w:tc>
          <w:tcPr>
            <w:tcW w:w="260" w:type="dxa"/>
            <w:vAlign w:val="bottom"/>
          </w:tcPr>
          <w:p>
            <w:pPr>
              <w:spacing w:after="0"/>
              <w:rPr>
                <w:sz w:val="3"/>
                <w:szCs w:val="3"/>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6"/>
                <w:szCs w:val="16"/>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Operations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62,760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62,760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103,762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181,414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40"/>
              <w:spacing w:after="0" w:line="176" w:lineRule="exact"/>
              <w:rPr>
                <w:sz w:val="20"/>
                <w:szCs w:val="20"/>
                <w:color w:val="auto"/>
              </w:rPr>
            </w:pPr>
            <w:r>
              <w:rPr>
                <w:rFonts w:ascii="Arial" w:cs="Arial" w:eastAsia="Arial" w:hAnsi="Arial"/>
                <w:sz w:val="18"/>
                <w:szCs w:val="18"/>
                <w:color w:val="auto"/>
              </w:rPr>
              <w:t>Interest earned on marketable</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ind w:left="660"/>
              <w:spacing w:after="0"/>
              <w:rPr>
                <w:sz w:val="20"/>
                <w:szCs w:val="20"/>
                <w:color w:val="auto"/>
              </w:rPr>
            </w:pPr>
            <w:r>
              <w:rPr>
                <w:rFonts w:ascii="Arial" w:cs="Arial" w:eastAsia="Arial" w:hAnsi="Arial"/>
                <w:sz w:val="18"/>
                <w:szCs w:val="18"/>
                <w:color w:val="auto"/>
              </w:rPr>
              <w:t>(11) 6(c)</w:t>
            </w: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400"/>
              <w:spacing w:after="0"/>
              <w:rPr>
                <w:sz w:val="20"/>
                <w:szCs w:val="20"/>
                <w:color w:val="auto"/>
              </w:rPr>
            </w:pPr>
            <w:r>
              <w:rPr>
                <w:rFonts w:ascii="Arial" w:cs="Arial" w:eastAsia="Arial" w:hAnsi="Arial"/>
                <w:sz w:val="18"/>
                <w:szCs w:val="18"/>
                <w:color w:val="auto"/>
              </w:rPr>
              <w:t>securities held in Trust Account</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Change in fair value of warrant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Net loss before income taxes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5"/>
              </w:rPr>
              <w:t>11,068,750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238,266,485</w:t>
            </w:r>
          </w:p>
        </w:tc>
        <w:tc>
          <w:tcPr>
            <w:tcW w:w="5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w w:val="96"/>
              </w:rPr>
              <w:t>6(c)</w:t>
            </w:r>
          </w:p>
        </w:tc>
        <w:tc>
          <w:tcPr>
            <w:tcW w:w="106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230,733,726</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vMerge w:val="restart"/>
          </w:tcPr>
          <w:p>
            <w:pPr>
              <w:jc w:val="right"/>
              <w:ind w:right="156"/>
              <w:spacing w:after="0"/>
              <w:rPr>
                <w:sz w:val="20"/>
                <w:szCs w:val="20"/>
                <w:color w:val="auto"/>
              </w:rPr>
            </w:pPr>
            <w:r>
              <w:rPr>
                <w:rFonts w:ascii="Arial" w:cs="Arial" w:eastAsia="Arial" w:hAnsi="Arial"/>
                <w:sz w:val="14"/>
                <w:szCs w:val="14"/>
                <w:b w:val="1"/>
                <w:bCs w:val="1"/>
                <w:color w:val="auto"/>
                <w:w w:val="94"/>
              </w:rPr>
              <w:t>Scenario 1 Assuming No Redemptions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92"/>
              </w:rPr>
              <w:t>Scenario 2 Assuming Maximum</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0"/>
              </w:rPr>
              <w:t>Redemptions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6(A)</w:t>
            </w:r>
          </w:p>
        </w:tc>
        <w:tc>
          <w:tcPr>
            <w:tcW w:w="280" w:type="dxa"/>
            <w:vAlign w:val="bottom"/>
          </w:tcPr>
          <w:p>
            <w:pPr>
              <w:spacing w:after="0"/>
              <w:rPr>
                <w:sz w:val="11"/>
                <w:szCs w:val="11"/>
                <w:color w:val="auto"/>
              </w:rPr>
            </w:pPr>
          </w:p>
        </w:tc>
        <w:tc>
          <w:tcPr>
            <w:tcW w:w="8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5"/>
              </w:rPr>
              <w:t>6(B)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7"/>
              <w:spacing w:after="0" w:line="130" w:lineRule="exact"/>
              <w:rPr>
                <w:sz w:val="20"/>
                <w:szCs w:val="20"/>
                <w:color w:val="auto"/>
              </w:rPr>
            </w:pPr>
            <w:r>
              <w:rPr>
                <w:rFonts w:ascii="Arial" w:cs="Arial" w:eastAsia="Arial" w:hAnsi="Arial"/>
                <w:sz w:val="14"/>
                <w:szCs w:val="14"/>
                <w:b w:val="1"/>
                <w:bCs w:val="1"/>
                <w:color w:val="auto"/>
                <w:w w:val="90"/>
              </w:rPr>
              <w:t>Transaction</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0"/>
              </w:rPr>
              <w:t>Transaction</w:t>
            </w:r>
          </w:p>
        </w:tc>
        <w:tc>
          <w:tcPr>
            <w:tcW w:w="180" w:type="dxa"/>
            <w:vAlign w:val="bottom"/>
          </w:tcPr>
          <w:p>
            <w:pPr>
              <w:spacing w:after="0"/>
              <w:rPr>
                <w:sz w:val="11"/>
                <w:szCs w:val="11"/>
                <w:color w:val="auto"/>
              </w:rPr>
            </w:pPr>
          </w:p>
        </w:tc>
        <w:tc>
          <w:tcPr>
            <w:tcW w:w="112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8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CMLS</w:t>
            </w:r>
          </w:p>
        </w:tc>
        <w:tc>
          <w:tcPr>
            <w:tcW w:w="280" w:type="dxa"/>
            <w:vAlign w:val="bottom"/>
          </w:tcPr>
          <w:p>
            <w:pPr>
              <w:spacing w:after="0"/>
              <w:rPr>
                <w:sz w:val="16"/>
                <w:szCs w:val="16"/>
                <w:color w:val="auto"/>
              </w:rPr>
            </w:pPr>
          </w:p>
        </w:tc>
        <w:tc>
          <w:tcPr>
            <w:tcW w:w="84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Operations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175,351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175,351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175,351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gross profit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8,175</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6(a)</w:t>
            </w:r>
          </w:p>
        </w:tc>
        <w:tc>
          <w:tcPr>
            <w:tcW w:w="110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expenses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236,668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8,175</w:t>
            </w:r>
          </w:p>
        </w:tc>
        <w:tc>
          <w:tcPr>
            <w:tcW w:w="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6(b)</w:t>
            </w:r>
          </w:p>
        </w:tc>
        <w:tc>
          <w:tcPr>
            <w:tcW w:w="110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net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line="162" w:lineRule="exact"/>
              <w:rPr>
                <w:sz w:val="20"/>
                <w:szCs w:val="20"/>
                <w:color w:val="auto"/>
              </w:rPr>
            </w:pPr>
            <w:r>
              <w:rPr>
                <w:rFonts w:ascii="Arial" w:cs="Arial" w:eastAsia="Arial" w:hAnsi="Arial"/>
                <w:sz w:val="17"/>
                <w:szCs w:val="17"/>
                <w:color w:val="auto"/>
              </w:rPr>
              <w:t>Interest earned on marketable</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6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6(c)</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400"/>
              <w:spacing w:after="0"/>
              <w:rPr>
                <w:sz w:val="20"/>
                <w:szCs w:val="20"/>
                <w:color w:val="auto"/>
              </w:rPr>
            </w:pPr>
            <w:r>
              <w:rPr>
                <w:rFonts w:ascii="Arial" w:cs="Arial" w:eastAsia="Arial" w:hAnsi="Arial"/>
                <w:sz w:val="17"/>
                <w:szCs w:val="17"/>
                <w:color w:val="auto"/>
                <w:w w:val="94"/>
              </w:rPr>
              <w:t>securities held in Trust Account</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Change in fair value of warrant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liability</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Transaction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(39,702)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w w:val="99"/>
              </w:rPr>
              <w:t>Net loss before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 average shares outstanding,</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10,633,062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238,266,485</w:t>
            </w:r>
          </w:p>
        </w:tc>
        <w:tc>
          <w:tcPr>
            <w:tcW w:w="540" w:type="dxa"/>
            <w:vAlign w:val="bottom"/>
            <w:gridSpan w:val="2"/>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6(d)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230,733,726</w:t>
            </w:r>
          </w:p>
        </w:tc>
        <w:tc>
          <w:tcPr>
            <w:tcW w:w="4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Pr>
          <w:p>
            <w:pPr>
              <w:ind w:left="20"/>
              <w:spacing w:after="0" w:line="190" w:lineRule="exact"/>
              <w:rPr>
                <w:sz w:val="20"/>
                <w:szCs w:val="20"/>
                <w:color w:val="auto"/>
              </w:rPr>
            </w:pPr>
            <w:r>
              <w:rPr>
                <w:rFonts w:ascii="Arial" w:cs="Arial" w:eastAsia="Arial" w:hAnsi="Arial"/>
                <w:sz w:val="17"/>
                <w:szCs w:val="17"/>
                <w:color w:val="auto"/>
                <w:w w:val="97"/>
              </w:rPr>
              <w:t>Basic and diluted net loss per share</w:t>
            </w:r>
          </w:p>
        </w:tc>
        <w:tc>
          <w:tcPr>
            <w:tcW w:w="1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(3.75)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91"/>
              </w:rPr>
              <w:t>(5,824,000)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(1.22)</w:t>
            </w:r>
          </w:p>
        </w:tc>
        <w:tc>
          <w:tcPr>
            <w:tcW w:w="540" w:type="dxa"/>
            <w:vAlign w:val="bottom"/>
            <w:gridSpan w:val="2"/>
          </w:tcPr>
          <w:p>
            <w:pPr>
              <w:jc w:val="right"/>
              <w:ind w:right="55"/>
              <w:spacing w:after="0" w:line="190" w:lineRule="exact"/>
              <w:rPr>
                <w:sz w:val="20"/>
                <w:szCs w:val="20"/>
                <w:color w:val="auto"/>
              </w:rPr>
            </w:pPr>
            <w:r>
              <w:rPr>
                <w:rFonts w:ascii="Arial" w:cs="Arial" w:eastAsia="Arial" w:hAnsi="Arial"/>
                <w:sz w:val="17"/>
                <w:szCs w:val="17"/>
                <w:color w:val="auto"/>
              </w:rPr>
              <w:t>6(d)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spacing w:after="0" w:line="190"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(1.26)</w:t>
            </w:r>
          </w:p>
        </w:tc>
        <w:tc>
          <w:tcPr>
            <w:tcW w:w="420" w:type="dxa"/>
            <w:vAlign w:val="bottom"/>
          </w:tcPr>
          <w:p>
            <w:pPr>
              <w:ind w:left="120"/>
              <w:spacing w:after="0" w:line="190" w:lineRule="exact"/>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its wholly owned subsidiary, S-IV Sub, Inc. (“</w:t>
      </w:r>
      <w:r>
        <w:rPr>
          <w:rFonts w:ascii="Arial" w:cs="Arial" w:eastAsia="Arial" w:hAnsi="Arial"/>
          <w:sz w:val="17"/>
          <w:szCs w:val="17"/>
          <w:i w:val="1"/>
          <w:iCs w:val="1"/>
          <w:color w:val="auto"/>
        </w:rPr>
        <w:t>Merger Sub</w:t>
      </w:r>
      <w:r>
        <w:rPr>
          <w:rFonts w:ascii="Arial" w:cs="Arial" w:eastAsia="Arial" w:hAnsi="Arial"/>
          <w:sz w:val="17"/>
          <w:szCs w:val="17"/>
          <w:color w:val="auto"/>
        </w:rPr>
        <w:t>”), entered into an Agreement and Plan of Merger with Mount Sinai Genomics, Inc. d/b/a Sema4 (“</w:t>
      </w:r>
      <w:r>
        <w:rPr>
          <w:rFonts w:ascii="Arial" w:cs="Arial" w:eastAsia="Arial" w:hAnsi="Arial"/>
          <w:sz w:val="17"/>
          <w:szCs w:val="17"/>
          <w:i w:val="1"/>
          <w:iCs w:val="1"/>
          <w:color w:val="auto"/>
        </w:rPr>
        <w:t>Sema4</w:t>
      </w:r>
      <w:r>
        <w:rPr>
          <w:rFonts w:ascii="Arial" w:cs="Arial" w:eastAsia="Arial" w:hAnsi="Arial"/>
          <w:sz w:val="17"/>
          <w:szCs w:val="17"/>
          <w:color w:val="auto"/>
        </w:rPr>
        <w:t>”) (the “</w:t>
      </w:r>
      <w:r>
        <w:rPr>
          <w:rFonts w:ascii="Arial" w:cs="Arial" w:eastAsia="Arial" w:hAnsi="Arial"/>
          <w:sz w:val="17"/>
          <w:szCs w:val="17"/>
          <w:i w:val="1"/>
          <w:iCs w:val="1"/>
          <w:color w:val="auto"/>
        </w:rPr>
        <w:t>Merger Agreement</w:t>
      </w:r>
      <w:r>
        <w:rPr>
          <w:rFonts w:ascii="Arial" w:cs="Arial" w:eastAsia="Arial" w:hAnsi="Arial"/>
          <w:sz w:val="17"/>
          <w:szCs w:val="17"/>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the Company will change its name to Sema4 Holdings Corp.</w:t>
      </w:r>
    </w:p>
    <w:p>
      <w:pPr>
        <w:spacing w:after="0" w:line="12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Common Stock for an aggregate purchase price equal to $350,000,000 (the “PIPE Investment”). The PIPE Investment will be consummated immediately prior to the closing of the Business Combination.</w:t>
      </w:r>
    </w:p>
    <w:p>
      <w:pPr>
        <w:spacing w:after="0" w:line="113"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CMLS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CMLS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do not give effect to any anticipated synergies, operating efficiencies, tax savings, or cost savings that may be associated with the Business Combination. CMLS and Sema4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Assuming no Redemptions: </w:t>
      </w:r>
      <w:r>
        <w:rPr>
          <w:rFonts w:ascii="Arial" w:cs="Arial" w:eastAsia="Arial" w:hAnsi="Arial"/>
          <w:sz w:val="17"/>
          <w:szCs w:val="17"/>
          <w:color w:val="auto"/>
        </w:rPr>
        <w:t>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for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 Additionally, 2,439,452 shares of Class B common stock would be forfeited by the Sponsor as a result of the maximum redemptions in accordance with the Forfeiture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194"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sections entitled </w:t>
      </w:r>
      <w:r>
        <w:rPr>
          <w:rFonts w:ascii="Arial" w:cs="Arial" w:eastAsia="Arial" w:hAnsi="Arial"/>
          <w:sz w:val="18"/>
          <w:szCs w:val="18"/>
          <w:i w:val="1"/>
          <w:iCs w:val="1"/>
          <w:color w:val="auto"/>
        </w:rPr>
        <w:t>“Management’s Discussion and Analysis of Financial Condition and Results of Operations of CMLS,”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 of Sema4,” </w:t>
      </w:r>
      <w:r>
        <w:rPr>
          <w:rFonts w:ascii="Arial" w:cs="Arial" w:eastAsia="Arial" w:hAnsi="Arial"/>
          <w:sz w:val="18"/>
          <w:szCs w:val="18"/>
          <w:color w:val="auto"/>
        </w:rPr>
        <w:t>and other financial information relating to CMLS and</w:t>
      </w:r>
      <w:r>
        <w:rPr>
          <w:rFonts w:ascii="Arial" w:cs="Arial" w:eastAsia="Arial" w:hAnsi="Arial"/>
          <w:sz w:val="18"/>
          <w:szCs w:val="18"/>
          <w:i w:val="1"/>
          <w:iCs w:val="1"/>
          <w:color w:val="auto"/>
        </w:rPr>
        <w:t xml:space="preserve"> </w:t>
      </w:r>
      <w:r>
        <w:rPr>
          <w:rFonts w:ascii="Arial" w:cs="Arial" w:eastAsia="Arial" w:hAnsi="Arial"/>
          <w:sz w:val="18"/>
          <w:szCs w:val="18"/>
          <w:color w:val="auto"/>
        </w:rPr>
        <w:t>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10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 under both the no and maximum Redemption scenarios:</w:t>
      </w:r>
    </w:p>
    <w:p>
      <w:pPr>
        <w:spacing w:after="0" w:line="116"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the combined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hanging="328"/>
        <w:spacing w:after="0"/>
        <w:tabs>
          <w:tab w:leader="none" w:pos="7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operations of the combined company will represent the operations of Sema4;</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combined company will assume Sema4’s name and headquarters.</w:t>
      </w:r>
    </w:p>
    <w:p>
      <w:pPr>
        <w:spacing w:after="0" w:line="167" w:lineRule="exact"/>
        <w:rPr>
          <w:rFonts w:ascii="Arial" w:cs="Arial" w:eastAsia="Arial" w:hAnsi="Arial"/>
          <w:sz w:val="18"/>
          <w:szCs w:val="18"/>
          <w:color w:val="auto"/>
        </w:rPr>
      </w:pPr>
    </w:p>
    <w:p>
      <w:pPr>
        <w:ind w:left="760" w:hanging="652"/>
        <w:spacing w:after="0"/>
        <w:tabs>
          <w:tab w:leader="none" w:pos="7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10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CMLS following the Business Combination and PIPE Investment under both the no redemption and maximum redemption scenarios: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40" w:type="dxa"/>
            <w:vAlign w:val="bottom"/>
            <w:gridSpan w:val="3"/>
          </w:tcPr>
          <w:p>
            <w:pPr>
              <w:ind w:left="980"/>
              <w:spacing w:after="0"/>
              <w:rPr>
                <w:sz w:val="20"/>
                <w:szCs w:val="20"/>
                <w:color w:val="auto"/>
              </w:rPr>
            </w:pPr>
            <w:r>
              <w:rPr>
                <w:rFonts w:ascii="Arial" w:cs="Arial" w:eastAsia="Arial" w:hAnsi="Arial"/>
                <w:sz w:val="14"/>
                <w:szCs w:val="14"/>
                <w:b w:val="1"/>
                <w:bCs w:val="1"/>
                <w:color w:val="auto"/>
              </w:rPr>
              <w:t>Scenario 1</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ind w:left="1000"/>
              <w:spacing w:after="0"/>
              <w:rPr>
                <w:sz w:val="20"/>
                <w:szCs w:val="20"/>
                <w:color w:val="auto"/>
              </w:rPr>
            </w:pPr>
            <w:r>
              <w:rPr>
                <w:rFonts w:ascii="Arial" w:cs="Arial" w:eastAsia="Arial" w:hAnsi="Arial"/>
                <w:sz w:val="14"/>
                <w:szCs w:val="14"/>
                <w:b w:val="1"/>
                <w:bCs w:val="1"/>
                <w:color w:val="auto"/>
              </w:rPr>
              <w:t>Scenario 2</w:t>
            </w:r>
          </w:p>
        </w:tc>
        <w:tc>
          <w:tcPr>
            <w:tcW w:w="126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Assuming No Redemptions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Assuming Maximum Redemptions</w:t>
            </w:r>
          </w:p>
        </w:tc>
      </w:tr>
      <w:tr>
        <w:trPr>
          <w:trHeight w:val="183"/>
        </w:trPr>
        <w:tc>
          <w:tcPr>
            <w:tcW w:w="4620" w:type="dxa"/>
            <w:vAlign w:val="bottom"/>
          </w:tcPr>
          <w:p>
            <w:pPr>
              <w:spacing w:after="0"/>
              <w:rPr>
                <w:sz w:val="20"/>
                <w:szCs w:val="20"/>
                <w:color w:val="auto"/>
              </w:rPr>
            </w:pPr>
            <w:r>
              <w:rPr>
                <w:rFonts w:ascii="Arial" w:cs="Arial" w:eastAsia="Arial" w:hAnsi="Arial"/>
                <w:sz w:val="14"/>
                <w:szCs w:val="14"/>
                <w:b w:val="1"/>
                <w:bCs w:val="1"/>
                <w:color w:val="auto"/>
              </w:rPr>
              <w:t>ty Capitalization Summary</w:t>
            </w: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813"/>
              <w:spacing w:after="0"/>
              <w:rPr>
                <w:sz w:val="20"/>
                <w:szCs w:val="20"/>
                <w:color w:val="auto"/>
              </w:rPr>
            </w:pPr>
            <w:r>
              <w:rPr>
                <w:rFonts w:ascii="Arial" w:cs="Arial" w:eastAsia="Arial" w:hAnsi="Arial"/>
                <w:sz w:val="14"/>
                <w:szCs w:val="14"/>
                <w:b w:val="1"/>
                <w:bCs w:val="1"/>
                <w:color w:val="auto"/>
              </w:rPr>
              <w:t>%</w:t>
            </w:r>
          </w:p>
        </w:tc>
      </w:tr>
      <w:tr>
        <w:trPr>
          <w:trHeight w:val="226"/>
        </w:trPr>
        <w:tc>
          <w:tcPr>
            <w:tcW w:w="4620" w:type="dxa"/>
            <w:vAlign w:val="bottom"/>
          </w:tcPr>
          <w:p>
            <w:pPr>
              <w:spacing w:after="0" w:line="225" w:lineRule="exact"/>
              <w:rPr>
                <w:sz w:val="20"/>
                <w:szCs w:val="20"/>
                <w:color w:val="auto"/>
              </w:rPr>
            </w:pPr>
            <w:r>
              <w:rPr>
                <w:rFonts w:ascii="Arial" w:cs="Arial" w:eastAsia="Arial" w:hAnsi="Arial"/>
                <w:sz w:val="18"/>
                <w:szCs w:val="18"/>
                <w:color w:val="auto"/>
              </w:rPr>
              <w:t>a4 Equity Holders</w:t>
            </w:r>
            <w:r>
              <w:rPr>
                <w:rFonts w:ascii="Arial" w:cs="Arial" w:eastAsia="Arial" w:hAnsi="Arial"/>
                <w:sz w:val="23"/>
                <w:szCs w:val="23"/>
                <w:color w:val="auto"/>
                <w:vertAlign w:val="superscript"/>
              </w:rPr>
              <w:t>(1)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153,922,735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178,304,223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Public Stockholders</w:t>
            </w:r>
            <w:r>
              <w:rPr>
                <w:rFonts w:ascii="Arial" w:cs="Arial" w:eastAsia="Arial" w:hAnsi="Arial"/>
                <w:sz w:val="23"/>
                <w:szCs w:val="23"/>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44,275,000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14,800,205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Sponsor</w:t>
            </w:r>
            <w:r>
              <w:rPr>
                <w:rFonts w:ascii="Arial" w:cs="Arial" w:eastAsia="Arial" w:hAnsi="Arial"/>
                <w:sz w:val="23"/>
                <w:szCs w:val="23"/>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8,629,298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PIPE Investors</w:t>
            </w:r>
            <w:r>
              <w:rPr>
                <w:rFonts w:ascii="Arial" w:cs="Arial" w:eastAsia="Arial" w:hAnsi="Arial"/>
                <w:sz w:val="23"/>
                <w:szCs w:val="23"/>
                <w:color w:val="auto"/>
                <w:vertAlign w:val="superscript"/>
              </w:rPr>
              <w:t>(4)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otal Class A common stock</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238,266,485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230,733,726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-779145</wp:posOffset>
            </wp:positionV>
            <wp:extent cx="684911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911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84911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11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84911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40" w:right="40" w:hanging="332"/>
        <w:spacing w:after="0" w:line="260" w:lineRule="auto"/>
        <w:tabs>
          <w:tab w:leader="none" w:pos="43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Under Scenario 1, assumes Stock Consideration of 147,922,735 shares of Class A common stock and cash consideration of $243.8 million, as well as 6,000,000 shares of Class A common stock purchased by existing Sema4 equity holders in connection with the PIPE Investment. Under Scenario 2, assumes Stock Consideration of 172,304,223 shares of Class A common stock and no cash consideration, as well as 6,000,000 shares of Class A common stock purchased by existing Sema4 equity holders in connection with the PIPE Investment.</w:t>
      </w:r>
    </w:p>
    <w:p>
      <w:pPr>
        <w:ind w:left="440" w:right="80" w:hanging="332"/>
        <w:spacing w:after="0" w:line="241" w:lineRule="auto"/>
        <w:tabs>
          <w:tab w:leader="none" w:pos="432" w:val="left"/>
        </w:tabs>
        <w:numPr>
          <w:ilvl w:val="0"/>
          <w:numId w:val="130"/>
        </w:numPr>
        <w:rPr>
          <w:rFonts w:ascii="Arial" w:cs="Arial" w:eastAsia="Arial" w:hAnsi="Arial"/>
          <w:sz w:val="14"/>
          <w:szCs w:val="14"/>
          <w:color w:val="auto"/>
        </w:rPr>
      </w:pPr>
      <w:r>
        <w:rPr>
          <w:rFonts w:ascii="Arial" w:cs="Arial" w:eastAsia="Arial" w:hAnsi="Arial"/>
          <w:sz w:val="14"/>
          <w:szCs w:val="14"/>
          <w:color w:val="auto"/>
        </w:rPr>
        <w:t>Under Scenario 2, assumes redemptions of 29,474,795 shares of Class A common stock of CMLS for aggregate Redemption payments of $294.7 million using a per-share redemption price of $10.00.</w:t>
      </w:r>
    </w:p>
    <w:p>
      <w:pPr>
        <w:ind w:left="440" w:right="40" w:hanging="332"/>
        <w:spacing w:after="0" w:line="241" w:lineRule="auto"/>
        <w:tabs>
          <w:tab w:leader="none" w:pos="432" w:val="left"/>
        </w:tabs>
        <w:numPr>
          <w:ilvl w:val="0"/>
          <w:numId w:val="130"/>
        </w:numPr>
        <w:rPr>
          <w:rFonts w:ascii="Arial" w:cs="Arial" w:eastAsia="Arial" w:hAnsi="Arial"/>
          <w:sz w:val="14"/>
          <w:szCs w:val="14"/>
          <w:color w:val="auto"/>
        </w:rPr>
      </w:pPr>
      <w:r>
        <w:rPr>
          <w:rFonts w:ascii="Arial" w:cs="Arial" w:eastAsia="Arial" w:hAnsi="Arial"/>
          <w:sz w:val="14"/>
          <w:szCs w:val="14"/>
          <w:color w:val="auto"/>
        </w:rPr>
        <w:t>Under Scenario 2, assumes 2,439,452 Sponsor Class B Shares are forfeited pursuant to the Sponsor Forfeiture Agreement as a result of redemptions by CMLS public stockholders and, thus, are not converted into Class A common stock at Closing.</w:t>
      </w:r>
    </w:p>
    <w:p>
      <w:pPr>
        <w:jc w:val="both"/>
        <w:ind w:left="440" w:right="240" w:hanging="332"/>
        <w:spacing w:after="0" w:line="276" w:lineRule="auto"/>
        <w:tabs>
          <w:tab w:leader="none" w:pos="43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Under Scenario 1 and Scenario 2, assumes the PIPE Investment is consummated in accordance with its terms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4" w:lineRule="exact"/>
        <w:rPr>
          <w:sz w:val="20"/>
          <w:szCs w:val="20"/>
          <w:color w:val="auto"/>
        </w:rPr>
      </w:pPr>
    </w:p>
    <w:p>
      <w:pPr>
        <w:ind w:left="760" w:hanging="652"/>
        <w:spacing w:after="0"/>
        <w:tabs>
          <w:tab w:leader="none" w:pos="7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Balance Sheet as of March 31, 2021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740" w:hanging="308"/>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20" w:top="121" w:right="3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860" w:hanging="420"/>
        <w:spacing w:after="0"/>
        <w:tabs>
          <w:tab w:leader="none" w:pos="8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reflect the net cash proceeds from the Business Combination and the PIPE Investment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442,775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5(b)</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5(h)</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(42,116)</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5(e)</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Sema4 long-term debt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5(c)</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5(h)</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860" w:hanging="420"/>
        <w:spacing w:after="0"/>
        <w:tabs>
          <w:tab w:leader="none" w:pos="8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reflect the release of $442.8 million from the Trust Account (see Note 5(a)).</w:t>
      </w:r>
    </w:p>
    <w:p>
      <w:pPr>
        <w:spacing w:after="0" w:line="171"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reflect the repayment of $12.6 million of Sema4’s long-term debt, including $1.8 million classified as current and $10.8 million classified as non-current (see Note 5(a)).</w:t>
      </w:r>
    </w:p>
    <w:p>
      <w:pPr>
        <w:spacing w:after="0" w:line="116" w:lineRule="exact"/>
        <w:rPr>
          <w:rFonts w:ascii="Arial" w:cs="Arial" w:eastAsia="Arial" w:hAnsi="Arial"/>
          <w:sz w:val="18"/>
          <w:szCs w:val="18"/>
          <w:color w:val="auto"/>
        </w:rPr>
      </w:pPr>
    </w:p>
    <w:p>
      <w:pPr>
        <w:ind w:left="860" w:hanging="420"/>
        <w:spacing w:after="0" w:line="277" w:lineRule="auto"/>
        <w:tabs>
          <w:tab w:leader="none" w:pos="8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record contingent consideration for the estimated fair value of the Earn-Out Shares to be issued to Sema4 equity holders upon the achievement of the Triggering Events, assuming no Earn-Out Forfeitures by Earn-Out Service Providers (see Note 5(h)).</w:t>
      </w:r>
    </w:p>
    <w:p>
      <w:pPr>
        <w:spacing w:after="0" w:line="116"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860" w:right="20" w:hanging="420"/>
        <w:spacing w:after="0" w:line="277" w:lineRule="auto"/>
        <w:tabs>
          <w:tab w:leader="none" w:pos="8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5(h)).</w:t>
      </w:r>
    </w:p>
    <w:p>
      <w:pPr>
        <w:spacing w:after="0" w:line="116" w:lineRule="exact"/>
        <w:rPr>
          <w:rFonts w:ascii="Arial" w:cs="Arial" w:eastAsia="Arial" w:hAnsi="Arial"/>
          <w:sz w:val="18"/>
          <w:szCs w:val="18"/>
          <w:color w:val="auto"/>
        </w:rPr>
      </w:pPr>
    </w:p>
    <w:p>
      <w:pPr>
        <w:ind w:left="860" w:hanging="420"/>
        <w:spacing w:after="0" w:line="308" w:lineRule="auto"/>
        <w:tabs>
          <w:tab w:leader="none" w:pos="85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Scenario 1, which assumes no CMLS Public Shares are redeemed, the CMLS ordinary shares subject to possible redemption of $294.7 million would be reclassified to permanent equity immediately prior to the consummation of the Business Combination (see Note 5(h)).</w:t>
      </w:r>
    </w:p>
    <w:p>
      <w:pPr>
        <w:spacing w:after="0" w:line="92" w:lineRule="exact"/>
        <w:rPr>
          <w:rFonts w:ascii="Arial" w:cs="Arial" w:eastAsia="Arial" w:hAnsi="Arial"/>
          <w:sz w:val="17"/>
          <w:szCs w:val="17"/>
          <w:color w:val="auto"/>
        </w:rPr>
      </w:pPr>
    </w:p>
    <w:p>
      <w:pPr>
        <w:ind w:left="860" w:hanging="424"/>
        <w:spacing w:after="0" w:line="277" w:lineRule="auto"/>
        <w:tabs>
          <w:tab w:leader="none" w:pos="8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all of the outstanding share capital of Sema4 for Class A common stock of CMLS and the following equity transactions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5(f)</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294,748</w:t>
            </w:r>
          </w:p>
        </w:tc>
        <w:tc>
          <w:tcPr>
            <w:tcW w:w="620" w:type="dxa"/>
            <w:vAlign w:val="bottom"/>
          </w:tcPr>
          <w:p>
            <w:pPr>
              <w:ind w:left="100"/>
              <w:spacing w:after="0"/>
              <w:rPr>
                <w:sz w:val="20"/>
                <w:szCs w:val="20"/>
                <w:color w:val="auto"/>
              </w:rPr>
            </w:pPr>
            <w:r>
              <w:rPr>
                <w:rFonts w:ascii="Arial" w:cs="Arial" w:eastAsia="Arial" w:hAnsi="Arial"/>
                <w:sz w:val="18"/>
                <w:szCs w:val="18"/>
                <w:color w:val="auto"/>
              </w:rPr>
              <w:t>5(g)</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(243,815)</w:t>
            </w:r>
          </w:p>
        </w:tc>
        <w:tc>
          <w:tcPr>
            <w:tcW w:w="62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(199,962)</w:t>
            </w:r>
          </w:p>
        </w:tc>
        <w:tc>
          <w:tcPr>
            <w:tcW w:w="620" w:type="dxa"/>
            <w:vAlign w:val="bottom"/>
          </w:tcPr>
          <w:p>
            <w:pPr>
              <w:ind w:left="100"/>
              <w:spacing w:after="0"/>
              <w:rPr>
                <w:sz w:val="20"/>
                <w:szCs w:val="20"/>
                <w:color w:val="auto"/>
              </w:rPr>
            </w:pPr>
            <w:r>
              <w:rPr>
                <w:rFonts w:ascii="Arial" w:cs="Arial" w:eastAsia="Arial" w:hAnsi="Arial"/>
                <w:sz w:val="18"/>
                <w:szCs w:val="18"/>
                <w:color w:val="auto"/>
              </w:rPr>
              <w:t>5(d)</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5(a)</w:t>
            </w:r>
          </w:p>
        </w:tc>
      </w:tr>
      <w:tr>
        <w:trPr>
          <w:trHeight w:val="248"/>
        </w:trPr>
        <w:tc>
          <w:tcPr>
            <w:tcW w:w="7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489,172</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left="860" w:hanging="420"/>
        <w:spacing w:after="0" w:line="259" w:lineRule="auto"/>
        <w:tabs>
          <w:tab w:leader="none" w:pos="8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Scenario 2, which assumes the maximum number of shares are redeemed for cash by the CMLS Public Shareholders, $294.7 million would be paid out in cash. The $294.7 million or 29,474,795 shares of CMLS Class A common stock represents the maximum redemption amount after which the closing conditions of the Merger Agreement are still achieved. Additionally, no cash consideration would be paid to Sema4 equity holders, resulting in an offsetting adjustment of $243.8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34" w:name="page135"/>
    <w:bookmarkEnd w:id="134"/>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8"/>
        <w:spacing w:after="0" w:line="282" w:lineRule="auto"/>
        <w:tabs>
          <w:tab w:leader="none" w:pos="648"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40" w:hanging="308"/>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77" w:lineRule="auto"/>
        <w:tabs>
          <w:tab w:leader="none" w:pos="6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reflect an accrual of $4.4 million for additional transaction costs which do not qualify for capitalization and the recognition of $3.8 million of unrecognized compensation expense related to the settlement of Sema4 stock appreciation rights.</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jc w:val="both"/>
        <w:ind w:left="660" w:right="20" w:hanging="328"/>
        <w:spacing w:after="0" w:line="301" w:lineRule="auto"/>
        <w:tabs>
          <w:tab w:leader="none" w:pos="6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CMLS shares outstanding at the closing of the Business Combination and PIPE Investment, assuming the Business Combination and PIPE Investment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1" w:right="339" w:bottom="1440" w:gutter="0" w:footer="0" w:header="0"/>
        </w:sectPr>
      </w:pPr>
    </w:p>
    <w:bookmarkStart w:id="135" w:name="page136"/>
    <w:bookmarkEnd w:id="13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historical comparative per share information of CMLS and Sema4, each on a stand-alone basis, and the unaudited pro forma condensed combined per share information after giving effect to the Business Combination and the PIPE Investment, assuming no redemptions and maximum redemptions, respectively.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information should be read in conjunction with the information in the sections entitled “</w:t>
      </w:r>
      <w:r>
        <w:rPr>
          <w:rFonts w:ascii="Arial" w:cs="Arial" w:eastAsia="Arial" w:hAnsi="Arial"/>
          <w:sz w:val="16"/>
          <w:szCs w:val="16"/>
          <w:i w:val="1"/>
          <w:iCs w:val="1"/>
          <w:color w:val="auto"/>
        </w:rPr>
        <w:t>Selected Historical Financial Information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and “</w:t>
      </w:r>
      <w:r>
        <w:rPr>
          <w:rFonts w:ascii="Arial" w:cs="Arial" w:eastAsia="Arial" w:hAnsi="Arial"/>
          <w:sz w:val="16"/>
          <w:szCs w:val="16"/>
          <w:i w:val="1"/>
          <w:iCs w:val="1"/>
          <w:color w:val="auto"/>
        </w:rPr>
        <w:t>Selected Historical Financial Information of Sema4</w:t>
      </w:r>
      <w:r>
        <w:rPr>
          <w:rFonts w:ascii="Arial" w:cs="Arial" w:eastAsia="Arial" w:hAnsi="Arial"/>
          <w:sz w:val="16"/>
          <w:szCs w:val="16"/>
          <w:color w:val="auto"/>
        </w:rPr>
        <w:t>” and the historical financial statements of CMLS and Sema4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The unaudited pro forma condensed combined per share information is derived from, and should be read in conjunction with, the information contained in the section of this proxy statement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per share information does not purport to represent what the actual results of operations of the Company would have been had the Business Combination been completed or project CMLS’s and Sema4’s results of operations that may be achieved after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Historical</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March 31, 2021</w:t>
            </w:r>
          </w:p>
        </w:tc>
        <w:tc>
          <w:tcPr>
            <w:tcW w:w="8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CMLS</w:t>
            </w:r>
          </w:p>
        </w:tc>
        <w:tc>
          <w:tcPr>
            <w:tcW w:w="10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Sema4</w:t>
            </w:r>
          </w:p>
        </w:tc>
        <w:tc>
          <w:tcPr>
            <w:tcW w:w="100" w:type="dxa"/>
            <w:vAlign w:val="bottom"/>
            <w:vMerge w:val="restart"/>
          </w:tcPr>
          <w:p>
            <w:pPr>
              <w:spacing w:after="0"/>
              <w:rPr>
                <w:sz w:val="11"/>
                <w:szCs w:val="11"/>
                <w:color w:val="auto"/>
              </w:rPr>
            </w:pPr>
          </w:p>
        </w:tc>
        <w:tc>
          <w:tcPr>
            <w:tcW w:w="16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Scenario 1 Assuming No</w:t>
            </w:r>
          </w:p>
        </w:tc>
        <w:tc>
          <w:tcPr>
            <w:tcW w:w="120" w:type="dxa"/>
            <w:vAlign w:val="bottom"/>
          </w:tcPr>
          <w:p>
            <w:pPr>
              <w:spacing w:after="0"/>
              <w:rPr>
                <w:sz w:val="11"/>
                <w:szCs w:val="11"/>
                <w:color w:val="auto"/>
              </w:rPr>
            </w:pPr>
          </w:p>
        </w:tc>
        <w:tc>
          <w:tcPr>
            <w:tcW w:w="1440" w:type="dxa"/>
            <w:vAlign w:val="bottom"/>
          </w:tcPr>
          <w:p>
            <w:pPr>
              <w:jc w:val="right"/>
              <w:ind w:right="60"/>
              <w:spacing w:after="0" w:line="135" w:lineRule="exact"/>
              <w:rPr>
                <w:sz w:val="20"/>
                <w:szCs w:val="20"/>
                <w:color w:val="auto"/>
              </w:rPr>
            </w:pPr>
            <w:r>
              <w:rPr>
                <w:rFonts w:ascii="Arial" w:cs="Arial" w:eastAsia="Arial" w:hAnsi="Arial"/>
                <w:sz w:val="14"/>
                <w:szCs w:val="14"/>
                <w:b w:val="1"/>
                <w:bCs w:val="1"/>
                <w:color w:val="auto"/>
                <w:w w:val="89"/>
              </w:rPr>
              <w:t>Scenario 2 Assuming</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Maximum Redemptions</w:t>
            </w:r>
          </w:p>
        </w:tc>
        <w:tc>
          <w:tcPr>
            <w:tcW w:w="0" w:type="dxa"/>
            <w:vAlign w:val="bottom"/>
          </w:tcPr>
          <w:p>
            <w:pPr>
              <w:spacing w:after="0"/>
              <w:rPr>
                <w:sz w:val="1"/>
                <w:szCs w:val="1"/>
                <w:color w:val="auto"/>
              </w:rPr>
            </w:pP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11,068,750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(5,824,000.00)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proxy statement is being provided to Company stockholders as part of a solicitation of proxies by the Board for use at the Special Meeting of Stockholders to be held on July 21, 2021,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proxy statement is being first mailed on or about July 7, 2021 to all stockholders of record of the Company as of June 21, 2021, the record date for the Special Meeting. Stockholders of record who owned Company common stock at the close of business on the record date are entitled to receive notice of, attend and vote at the Special Meeting. On the record date, there were 55,343,750 shares of Company common stock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July 21, 2021 at 10:00 a.m. Eastern time in virtual format,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stockholder wishing to attend the virtual meeting should register for the meeting by 5:00 p.m. Eastern time on June 19, 2021. To register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please follow these instructions as applicable to the nature of your ownership of our common stock:</w:t>
      </w:r>
    </w:p>
    <w:p>
      <w:pPr>
        <w:spacing w:after="0" w:line="157" w:lineRule="exact"/>
        <w:rPr>
          <w:sz w:val="20"/>
          <w:szCs w:val="20"/>
          <w:color w:val="auto"/>
        </w:rPr>
      </w:pPr>
    </w:p>
    <w:p>
      <w:pPr>
        <w:jc w:val="both"/>
        <w:ind w:left="660" w:right="20" w:hanging="328"/>
        <w:spacing w:after="0" w:line="279"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common stock at the close of business on June 21,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of which 44,275,000 are public shares and 11,068,750 are Founder Shares held by our Initial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jc w:val="both"/>
        <w:ind w:left="660" w:hanging="328"/>
        <w:spacing w:after="0" w:line="261"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holders of Sema4 capital stock as merger consideration;</w:t>
      </w:r>
    </w:p>
    <w:p>
      <w:pPr>
        <w:spacing w:after="0" w:line="125"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Nasdaq Stock Issuance Proposal </w:t>
      </w:r>
      <w:r>
        <w:rPr>
          <w:rFonts w:ascii="Arial" w:cs="Arial" w:eastAsia="Arial" w:hAnsi="Arial"/>
          <w:sz w:val="16"/>
          <w:szCs w:val="16"/>
          <w:color w:val="auto"/>
        </w:rPr>
        <w:t>— To approve, for purposes of complying with applicable listing rules of Nasdaq,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more than 20% of the Company’s outstanding common stock in connection with the Business Combination and the Subscription Agreements, including up to 35,000,000 shares of our common stock to the PIPE Investors, which includes affiliates of our Sponsor that subscribed for 9,500,000 shares of common stock, and up to 6,000,000 shares of our common stock to holders of Sema4 capital stock;</w:t>
      </w:r>
    </w:p>
    <w:p>
      <w:pPr>
        <w:spacing w:after="0" w:line="96"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Charter Approval Proposal </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Governance Proposal </w:t>
      </w:r>
      <w:r>
        <w:rPr>
          <w:rFonts w:ascii="Arial" w:cs="Arial" w:eastAsia="Arial" w:hAnsi="Arial"/>
          <w:sz w:val="18"/>
          <w:szCs w:val="18"/>
          <w:color w:val="auto"/>
        </w:rPr>
        <w:t>— To approve, on a non-binding advisory basis, a separate proposal with respect to certain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ESPP, including the authorization of the initial share reserve under the ESPP;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Director Election Proposal; and</w:t>
      </w:r>
    </w:p>
    <w:p>
      <w:pPr>
        <w:spacing w:after="0" w:line="171" w:lineRule="exact"/>
        <w:rPr>
          <w:rFonts w:ascii="Arial" w:cs="Arial" w:eastAsia="Arial" w:hAnsi="Arial"/>
          <w:sz w:val="18"/>
          <w:szCs w:val="18"/>
          <w:color w:val="auto"/>
        </w:rPr>
      </w:pPr>
    </w:p>
    <w:p>
      <w:pPr>
        <w:jc w:val="both"/>
        <w:ind w:left="660" w:hanging="328"/>
        <w:spacing w:after="0" w:line="298"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The ratification of Withum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of the Company’s Sponsor, Directors and Officers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IPO, we entered into agreements with our Initial Stockholders, other current directors and officers, pursuant to which each agreed to vote any shares of common stock owned by them in favor of an initial business combination. These agreements apply to our Initial Stockholders, including our Sponsor, as it relates to the Founder Shares and the requirement to vote all of the Founder Shares in favor of the Business Combination Proposal and for all other proposals to be presented to our stockholders at the Special Meeting and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Initial Stockholders, other current directors and officers have waived any redemption rights, including with respect to shares of common stock purchased in our IPO or in the aftermarket, in connection with Business Combination. The Founder Shares held by our Initial Stockholders have no redemption rights upon our liquidation and will be worthless if no business combination is effected by us by the applicable deadline. However, our Initial Stockholders are entitled to redemption rights upon our liquidation with respect to any public shares they may own.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Election Proposal, the Auditor Ratification Proposal and the Adjournment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these voting standards, a failure to vote or an abstention will have no effect on the Business Combination Proposal, the Governance Proposal, and the Adjournment Proposal. However,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w:t>
      </w:r>
    </w:p>
    <w:p>
      <w:pPr>
        <w:spacing w:after="0" w:line="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 and the other condition precedent proposals.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the ESPP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Business Combination Proposal, the Nasdaq Stock Issuance Proposal, the Charter Approval Proposal, the Governance Proposal, the Incentive Plan Proposal, the ESPP Proposal, the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117" w:lineRule="exact"/>
        <w:rPr>
          <w:sz w:val="20"/>
          <w:szCs w:val="20"/>
          <w:color w:val="auto"/>
        </w:rPr>
      </w:pPr>
    </w:p>
    <w:p>
      <w:pPr>
        <w:ind w:left="660" w:right="20" w:hanging="328"/>
        <w:spacing w:after="0" w:line="277"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left="660" w:right="2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Abstentions are considered present for the purposes of establishing a quorum.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 but will have no effect on the Business Combination Proposal, the Nasdaq Stock Issuance Proposal, the Governance Proposal, the Incentive Plan Proposal, the ESPP Proposal, the Director Election Proposal, the Auditor Ratification Proposal and the Adjournment Proposal.</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As such, without your voting instructions, your</w:t>
      </w:r>
      <w:r>
        <w:rPr>
          <w:rFonts w:ascii="Arial" w:cs="Arial" w:eastAsia="Arial" w:hAnsi="Arial"/>
          <w:sz w:val="18"/>
          <w:szCs w:val="18"/>
          <w:color w:val="auto"/>
        </w:rPr>
        <w:t xml:space="preserve"> </w:t>
      </w:r>
      <w:r>
        <w:rPr>
          <w:rFonts w:ascii="Arial" w:cs="Arial" w:eastAsia="Arial" w:hAnsi="Arial"/>
          <w:sz w:val="18"/>
          <w:szCs w:val="18"/>
          <w:b w:val="1"/>
          <w:bCs w:val="1"/>
          <w:color w:val="auto"/>
        </w:rPr>
        <w:t>brokerage firm cannot vote your shares on any proposal to be voted on at the Special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or at the Special Meeting. Each share of our common stock that you own in your name entitles you to one vote on each of the proposals for the Special Meeting. Your one or more proxy cards show the number of shares of our common stock that you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 xml:space="preserve">Voting by Mail </w:t>
      </w:r>
      <w:r>
        <w:rPr>
          <w:rFonts w:ascii="Arial" w:cs="Arial" w:eastAsia="Arial" w:hAnsi="Arial"/>
          <w:sz w:val="18"/>
          <w:szCs w:val="18"/>
          <w:color w:val="auto"/>
        </w:rPr>
        <w:t>— You can vote your shares by completing, signing, dating and returning the enclosed proxy card in the postage-paid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w:t>
      </w:r>
      <w:r>
        <w:rPr>
          <w:rFonts w:ascii="Arial" w:cs="Arial" w:eastAsia="Arial" w:hAnsi="Arial"/>
          <w:sz w:val="18"/>
          <w:szCs w:val="18"/>
          <w:b w:val="1"/>
          <w:bCs w:val="1"/>
          <w:color w:val="auto"/>
        </w:rPr>
        <w:t>FOR</w:t>
      </w:r>
      <w:r>
        <w:rPr>
          <w:rFonts w:ascii="Arial" w:cs="Arial" w:eastAsia="Arial" w:hAnsi="Arial"/>
          <w:sz w:val="18"/>
          <w:szCs w:val="18"/>
          <w:color w:val="auto"/>
        </w:rPr>
        <w:t>” the Nasdaq Stock Issuance Proposal, “</w:t>
      </w:r>
      <w:r>
        <w:rPr>
          <w:rFonts w:ascii="Arial" w:cs="Arial" w:eastAsia="Arial" w:hAnsi="Arial"/>
          <w:sz w:val="18"/>
          <w:szCs w:val="18"/>
          <w:b w:val="1"/>
          <w:bCs w:val="1"/>
          <w:color w:val="auto"/>
        </w:rPr>
        <w:t>FOR</w:t>
      </w:r>
      <w:r>
        <w:rPr>
          <w:rFonts w:ascii="Arial" w:cs="Arial" w:eastAsia="Arial" w:hAnsi="Arial"/>
          <w:sz w:val="18"/>
          <w:szCs w:val="18"/>
          <w:color w:val="auto"/>
        </w:rPr>
        <w:t>” the Charter Approval Proposal, “</w:t>
      </w:r>
      <w:r>
        <w:rPr>
          <w:rFonts w:ascii="Arial" w:cs="Arial" w:eastAsia="Arial" w:hAnsi="Arial"/>
          <w:sz w:val="18"/>
          <w:szCs w:val="18"/>
          <w:b w:val="1"/>
          <w:bCs w:val="1"/>
          <w:color w:val="auto"/>
        </w:rPr>
        <w:t>FOR</w:t>
      </w:r>
      <w:r>
        <w:rPr>
          <w:rFonts w:ascii="Arial" w:cs="Arial" w:eastAsia="Arial" w:hAnsi="Arial"/>
          <w:sz w:val="18"/>
          <w:szCs w:val="18"/>
          <w:color w:val="auto"/>
        </w:rPr>
        <w:t>” the Governance Proposal, “</w:t>
      </w:r>
      <w:r>
        <w:rPr>
          <w:rFonts w:ascii="Arial" w:cs="Arial" w:eastAsia="Arial" w:hAnsi="Arial"/>
          <w:sz w:val="18"/>
          <w:szCs w:val="18"/>
          <w:b w:val="1"/>
          <w:bCs w:val="1"/>
          <w:color w:val="auto"/>
        </w:rPr>
        <w:t>FOR</w:t>
      </w:r>
      <w:r>
        <w:rPr>
          <w:rFonts w:ascii="Arial" w:cs="Arial" w:eastAsia="Arial" w:hAnsi="Arial"/>
          <w:sz w:val="18"/>
          <w:szCs w:val="18"/>
          <w:color w:val="auto"/>
        </w:rPr>
        <w:t>” the Incentive Plan Proposal, “</w:t>
      </w:r>
      <w:r>
        <w:rPr>
          <w:rFonts w:ascii="Arial" w:cs="Arial" w:eastAsia="Arial" w:hAnsi="Arial"/>
          <w:sz w:val="18"/>
          <w:szCs w:val="18"/>
          <w:b w:val="1"/>
          <w:bCs w:val="1"/>
          <w:color w:val="auto"/>
        </w:rPr>
        <w:t>FOR</w:t>
      </w:r>
      <w:r>
        <w:rPr>
          <w:rFonts w:ascii="Arial" w:cs="Arial" w:eastAsia="Arial" w:hAnsi="Arial"/>
          <w:sz w:val="18"/>
          <w:szCs w:val="18"/>
          <w:color w:val="auto"/>
        </w:rPr>
        <w:t>” the ESPP Proposal, “</w:t>
      </w:r>
      <w:r>
        <w:rPr>
          <w:rFonts w:ascii="Arial" w:cs="Arial" w:eastAsia="Arial" w:hAnsi="Arial"/>
          <w:sz w:val="18"/>
          <w:szCs w:val="18"/>
          <w:b w:val="1"/>
          <w:bCs w:val="1"/>
          <w:color w:val="auto"/>
        </w:rPr>
        <w:t>FOR</w:t>
      </w:r>
      <w:r>
        <w:rPr>
          <w:rFonts w:ascii="Arial" w:cs="Arial" w:eastAsia="Arial" w:hAnsi="Arial"/>
          <w:sz w:val="18"/>
          <w:szCs w:val="18"/>
          <w:color w:val="auto"/>
        </w:rPr>
        <w:t>” the Director Election Proposal,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and “</w:t>
      </w:r>
      <w:r>
        <w:rPr>
          <w:rFonts w:ascii="Arial" w:cs="Arial" w:eastAsia="Arial" w:hAnsi="Arial"/>
          <w:sz w:val="18"/>
          <w:szCs w:val="18"/>
          <w:b w:val="1"/>
          <w:bCs w:val="1"/>
          <w:color w:val="auto"/>
        </w:rPr>
        <w:t>FOR</w:t>
      </w:r>
      <w:r>
        <w:rPr>
          <w:rFonts w:ascii="Arial" w:cs="Arial" w:eastAsia="Arial" w:hAnsi="Arial"/>
          <w:sz w:val="18"/>
          <w:szCs w:val="18"/>
          <w:color w:val="auto"/>
        </w:rPr>
        <w:t>” the Auditor Ratification Proposal. Votes submitted by mail must be received by 5:00 pm Eastern time on July 19, 2021.</w:t>
      </w:r>
    </w:p>
    <w:p>
      <w:pPr>
        <w:spacing w:after="0" w:line="140"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https://www.cstproxy.com/cmls/sm2021, in which case any votes that you previously submitted will be superseded by the vote that you cast at the Special Meeting. See “— Registering for the Special Meeting” above for further details on how to attend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 Registering for the Special Meeting”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Nasdaq Stock Issuance Proposal, the Charter Approval Proposal, the Governance Proposal, the Incentive Plan Proposal, the ESPP Proposal, the Director Election Proposal, the Auditor Ratification Proposal and the Adjournment Proposal. Under our bylaws, other than procedural matters incident to the conduct of the Special Meeting,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matters may be considered at the Special Meeting if they are not included in this proxy statement, which serves as the notice of the Special Meeting. </w:t>
      </w:r>
      <w:r>
        <w:rPr>
          <w:rFonts w:ascii="Arial" w:cs="Arial" w:eastAsia="Arial" w:hAnsi="Arial"/>
          <w:sz w:val="18"/>
          <w:szCs w:val="18"/>
          <w:b w:val="1"/>
          <w:bCs w:val="1"/>
          <w:color w:val="auto"/>
        </w:rPr>
        <w:t>Who Can Answer Your Questions About Voting</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unites into the underlying public shares and public warrants prior to exercising your redemption rights with respect to the public shares; and (ii) prior to 5:00 p.m. Eastern time on July 19, 2021 (two business days before the Special Meeting)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with our consent, until the Closing.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DTC’s DWAC system, at such stockholder’s option. </w:t>
      </w:r>
      <w:r>
        <w:rPr>
          <w:rFonts w:ascii="Arial" w:cs="Arial" w:eastAsia="Arial" w:hAnsi="Arial"/>
          <w:sz w:val="17"/>
          <w:szCs w:val="17"/>
          <w:b w:val="1"/>
          <w:bCs w:val="1"/>
          <w:i w:val="1"/>
          <w:iCs w:val="1"/>
          <w:color w:val="auto"/>
        </w:rPr>
        <w:t>The requirement for physical or electronic delivery prior to the Special Meeting ensures that a redeeming stockholder’s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election to redeem is irrevocable once the Business Combination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with our consent, until the Closing.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Continental Stock Transfer &amp; Trust Company,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our Transfer Agent. Such written instructions must include the number of units to be split and the nominee holding such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with our consent, until the Closing.</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after the payment of redemptions and satisfaction of Company and Sema4 transaction expenses.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exercising redemption rights, stockholders should verify the market price of our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our common stock in the open market, even if the market price per share is higher than the redemption price stated above, as there may not be sufficient liquidity in our common stock when you wish to sell your shares.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Business Combination is not approved and we do not consummate an initial business combination by the applicable deadline, we will be required to dissolve and liquidate our Trust Account by returning the then remaining funds in such account to the public stockholders and our warrants will expire worthless.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common stock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$25,000,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APPROVAL OF THE BUSINESS COMBINATION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asking our stockholders to adopt the Merger Agreement and approve the transactions contemplated thereby, including the Business Combination. 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below, for additional information and a summary of certain terms of the Merger Agreement. You are urged to carefully read the Merger Agreement in its entirety before voting on this proposal.</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common stock represented in person or by proxy and entitled to vote at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or Sema4. Such information can be found elsewhere in this proxy statement.</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decision.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Merger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Merger Sub will merge with and into Sema4 with Sema4 surviving the merger as a direct, wholly owned subsidiary of the Company. The certificate of incorporation and bylaws of the surviving company will be amended to read the same as the certificate of incorporation and bylaws of Merger Sub as in effect immediately prior to the Business Combination will be the certificate of incorporation and bylaws (respectively) of the surviving company.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Merger Agreement provides that prior to the Closing, subject to obtaining the stockholder approval of the Company stockholders contemplated by the Business Combination Proposal, the Company will adopt the Amended and Restated Certificate of Incorporation in the form attached to this proxy as Annex A. See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description of the Amended and Restated Certificate of Incorporation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numbers of shares of Company common stock that Sema4 Stockholders are entitled to receive as a result of the Merger is based upon the number of shares of Company common stock, and as otherwise contemplated by the Merger Agreement shall be adjusted to appropriately reflect the effect of any stock split, split-up, reverse stock split, stock dividend or distribution (including any dividend or distribution of securities convertible into Company common stock), extraordinary cash dividend, reorganization, recapitalization, reclassification, combination, exchange of shares or other like change with respect to Company common stock occurring on or after the date hereof and prior to the Closing.</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number of Earn-Out Shares equal to more than 11% of the Earn-Out Total Outstanding Shares. Earn-Out Shares will be issued from the Forfeiture Pool only if the applicable Triggering event occurs.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fractional shares of common stock will be issued. In lieu of the issuance of any such fractional shares and pursuant to the Merger Agreement, fractional shares that would otherwise be issued will be rounded down to the nearest whole share of Company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Merger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Unless the parties otherwise mutually agree, the Closing will take place on the date which is three (3) business days after the date on which all of the closing conditions have been satisfied or waived (other than those conditions that by their terms are to be satisfied at the Closing) (such date,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See “</w:t>
      </w:r>
      <w:r>
        <w:rPr>
          <w:rFonts w:ascii="Arial" w:cs="Arial" w:eastAsia="Arial" w:hAnsi="Arial"/>
          <w:sz w:val="16"/>
          <w:szCs w:val="16"/>
          <w:i w:val="1"/>
          <w:iCs w:val="1"/>
          <w:color w:val="auto"/>
        </w:rPr>
        <w:t>The Merger Agreement — Conditions to the Merger</w:t>
      </w:r>
      <w:r>
        <w:rPr>
          <w:rFonts w:ascii="Arial" w:cs="Arial" w:eastAsia="Arial" w:hAnsi="Arial"/>
          <w:sz w:val="16"/>
          <w:szCs w:val="16"/>
          <w:color w:val="auto"/>
        </w:rPr>
        <w:t>” for a more complete description of the conditions that must be satisfied prior to closing.</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closing date, the Company and Sema4 will effect the merger by filing a certificate of merger with the Secretary of State of the State of Delaware, and the merger will become effective at the time the certificate of merger has been duly filed. The time at which the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merger will be effective during the third quarter of 2021. However, there can be no assurance as to when or if the merger will occur.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merger is not completed by November 9, 2021 (the “</w:t>
      </w:r>
      <w:r>
        <w:rPr>
          <w:rFonts w:ascii="Arial" w:cs="Arial" w:eastAsia="Arial" w:hAnsi="Arial"/>
          <w:sz w:val="18"/>
          <w:szCs w:val="18"/>
          <w:i w:val="1"/>
          <w:iCs w:val="1"/>
          <w:color w:val="auto"/>
        </w:rPr>
        <w:t>termination date</w:t>
      </w:r>
      <w:r>
        <w:rPr>
          <w:rFonts w:ascii="Arial" w:cs="Arial" w:eastAsia="Arial" w:hAnsi="Arial"/>
          <w:sz w:val="18"/>
          <w:szCs w:val="18"/>
          <w:color w:val="auto"/>
        </w:rPr>
        <w:t>”), the Merger Agreement may be terminated by either the Company or Sema4. A party may not terminate the Merger Agreement pursuant to the provision described in this paragraph if the failure of the Closing to occur by the termination date is due primarily to the failure of the party seeking to terminate the Merger Agreement to fulfill any obligations of such party set forth in the Merger Agreement. See “</w:t>
      </w:r>
      <w:r>
        <w:rPr>
          <w:rFonts w:ascii="Arial" w:cs="Arial" w:eastAsia="Arial" w:hAnsi="Arial"/>
          <w:sz w:val="18"/>
          <w:szCs w:val="18"/>
          <w:i w:val="1"/>
          <w:iCs w:val="1"/>
          <w:color w:val="auto"/>
        </w:rPr>
        <w:t>The Merger Agreement — Termination</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171" w:lineRule="exact"/>
        <w:rPr>
          <w:sz w:val="20"/>
          <w:szCs w:val="20"/>
          <w:color w:val="auto"/>
        </w:rPr>
      </w:pPr>
    </w:p>
    <w:p>
      <w:pPr>
        <w:jc w:val="both"/>
        <w:ind w:firstLine="656"/>
        <w:spacing w:after="0" w:line="288" w:lineRule="auto"/>
        <w:tabs>
          <w:tab w:leader="none" w:pos="129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Sema4 Option that is outstanding as of immediately prior to the Effective Time shall be assumed by the Company and converted into an option to purchase shares of Company Class A common stock upon substantially the same terms and conditions as are in effect with respect to such Sema4 Option immediately prior to the Effective Time, including with respect to vesting, exercisability and termination-related provisions (each, a “</w:t>
      </w:r>
      <w:r>
        <w:rPr>
          <w:rFonts w:ascii="Arial" w:cs="Arial" w:eastAsia="Arial" w:hAnsi="Arial"/>
          <w:sz w:val="16"/>
          <w:szCs w:val="16"/>
          <w:i w:val="1"/>
          <w:iCs w:val="1"/>
          <w:color w:val="auto"/>
        </w:rPr>
        <w:t>Company Option</w:t>
      </w:r>
      <w:r>
        <w:rPr>
          <w:rFonts w:ascii="Arial" w:cs="Arial" w:eastAsia="Arial" w:hAnsi="Arial"/>
          <w:sz w:val="16"/>
          <w:szCs w:val="16"/>
          <w:color w:val="auto"/>
        </w:rPr>
        <w:t>”) except that (a) such Company Option shall provide the right to purchase that whole number of shares of Company Class A common stock (rounded down to the nearest whole share) equal to the number of shares of Sema4 Common Stock subject to such Sema4 Option as of immediately prior to the Effective Time, multiplied by the Option Exchange Ratio applicable to such Sema4 Option, and (b) the exercise price per share for each such Company Option shall be equal to the exercise price per share of such Sema4 Option in effect immediately prior to the Effective Time, divided by the Option Exchange Ratio applicable to such Sema4 Option (the exercise price per share, as so determined, being rounded up to the nearest full cent); provided, however, that the conversion of the Sema4 Options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Options for purposes of Section 409A or Section 424 of the Code.</w:t>
      </w:r>
    </w:p>
    <w:p>
      <w:pPr>
        <w:spacing w:after="0" w:line="114" w:lineRule="exact"/>
        <w:rPr>
          <w:rFonts w:ascii="Arial" w:cs="Arial" w:eastAsia="Arial" w:hAnsi="Arial"/>
          <w:sz w:val="16"/>
          <w:szCs w:val="16"/>
          <w:color w:val="auto"/>
        </w:rPr>
      </w:pPr>
    </w:p>
    <w:p>
      <w:pPr>
        <w:jc w:val="both"/>
        <w:ind w:firstLine="656"/>
        <w:spacing w:after="0" w:line="291" w:lineRule="auto"/>
        <w:tabs>
          <w:tab w:leader="none" w:pos="129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Sema4 RSU that is outstanding as of immediately prior to the Effective Time shall be assumed by Company and converted into a restricted stock unit representing the opportunity to be issued shares of Company Class A common stock upon substantially the same terms and conditions as are in effect with respect to such Sema4 RSU immediately prior to the Effective Time, including with respect to vesting and termination-related provisions (each, a “</w:t>
      </w:r>
      <w:r>
        <w:rPr>
          <w:rFonts w:ascii="Arial" w:cs="Arial" w:eastAsia="Arial" w:hAnsi="Arial"/>
          <w:sz w:val="16"/>
          <w:szCs w:val="16"/>
          <w:i w:val="1"/>
          <w:iCs w:val="1"/>
          <w:color w:val="auto"/>
        </w:rPr>
        <w:t>Company RSU</w:t>
      </w:r>
      <w:r>
        <w:rPr>
          <w:rFonts w:ascii="Arial" w:cs="Arial" w:eastAsia="Arial" w:hAnsi="Arial"/>
          <w:sz w:val="16"/>
          <w:szCs w:val="16"/>
          <w:color w:val="auto"/>
        </w:rPr>
        <w:t>”) except that such Company RSU shall provide opportunity to be issued that whole number of shares of Company Class A common stock (rounded to the nearest whole share) equal to the number of Shares of Sema4 Common Stock subject to such Sema4 RSU as of immediately prior to the Effective Time, multiplied by the RSU Exchange Ratio; provided, however, that the conversion of the Sema4 RSUs will be made in a manner consistent with the requirements of Section 409A of the Code and the applicable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ind w:firstLine="656"/>
        <w:spacing w:after="0" w:line="287" w:lineRule="auto"/>
        <w:tabs>
          <w:tab w:leader="none" w:pos="129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as otherwise set forth in the Merger Agreement, each Sema4 SAR that is outstanding as of immediately prior to the Effective Time shall be assumed by the Company and converted into a stock appreciation right with respect to shares of Company Class A common stock upon substantially the same terms and conditions as are in effect with respect to such Sema4 SAR immediately prior to the Effective Time, including with respect to vesting, exercisability, payment terms and termination-related provisions (each, a “</w:t>
      </w:r>
      <w:r>
        <w:rPr>
          <w:rFonts w:ascii="Arial" w:cs="Arial" w:eastAsia="Arial" w:hAnsi="Arial"/>
          <w:sz w:val="16"/>
          <w:szCs w:val="16"/>
          <w:i w:val="1"/>
          <w:iCs w:val="1"/>
          <w:color w:val="auto"/>
        </w:rPr>
        <w:t>Company SAR</w:t>
      </w:r>
      <w:r>
        <w:rPr>
          <w:rFonts w:ascii="Arial" w:cs="Arial" w:eastAsia="Arial" w:hAnsi="Arial"/>
          <w:sz w:val="16"/>
          <w:szCs w:val="16"/>
          <w:color w:val="auto"/>
        </w:rPr>
        <w:t>”) except that (i) such Company SAR shall be based on that whole number of shares of Company Class A common stock (rounded down to the nearest whole share) equal to the number of shares of Sema4 Common Stock subject to such Sema4 SAR as of immediately prior to the Effective Time, multiplied by the SAR Exchange Ratio, and (ii) the base amount per share for each such Company SAR shall be equal to the base amount per share of such Sema4 SAR in effect immediately prior to the Effective Time, divided by the SAR Exchange Ratio (the base amount per share, as so determined, being rounded up to the nearest full cent); provided, however, that the conversion of the Sema4 SARs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SARs for purposes of Section 409A or Section 424 of the Code. For the avoidance of doubt, the foregoing shall not apply to any Sema4 SAR that is deemed by Sema4 to be exercised in connection with the Closing.</w:t>
      </w:r>
    </w:p>
    <w:p>
      <w:pPr>
        <w:spacing w:after="0" w:line="117" w:lineRule="exact"/>
        <w:rPr>
          <w:rFonts w:ascii="Arial" w:cs="Arial" w:eastAsia="Arial" w:hAnsi="Arial"/>
          <w:sz w:val="16"/>
          <w:szCs w:val="16"/>
          <w:color w:val="auto"/>
        </w:rPr>
      </w:pPr>
    </w:p>
    <w:p>
      <w:pPr>
        <w:jc w:val="both"/>
        <w:ind w:firstLine="656"/>
        <w:spacing w:after="0" w:line="288" w:lineRule="auto"/>
        <w:tabs>
          <w:tab w:leader="none" w:pos="129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Sema4 shall take all necessary actions to effect the treatment of Sema4 Options, Sema4 RSUs and Sema4 SARs pursuant to the Merger Agreement in accordance with the Sema4 Incentive Plan and the applicable award agreements and to ensure that no Company Option may be exercised prior to the effective date of an applicable Form S-8 (or other applicable form, including Form S-1 or Form S-3) of the Company. The board of directors of Sema4 shall amend the Sema4 Incentive Plan and take all other necessary actions, effective as of immediately prior to the Closing, in order to (i) provide that the unallocated share reserve remaining under the Sema4 Incentive Plan as of the Closing Date (including any shares subsequently returned to such share reserve as a result of the termination of awards issued under the Company Stock Plan) shall be included in the share reserve under the long term incentive plan, in accordance with the terms thereof, and (ii) provide that no new Sema4 Options, Sema4 RSUs or Sema4 SARs will be granted under the Sema4 Incentive Plan following the Closing. Prior to the Effective Time, Sema4 shall deliver to each holder of a Sema4 Option, Sema4 RSU or Sema4 SAR a notice, in a form reasonably acceptable to the Company, setting forth the effect of the Merger on such holder’s Sema4 Options, Sema4 RSUs and Sema4 SARs and describing the treatment of such Sema4 Options, Sema4 RSUs and Sema4 RSUs in accordance with the Merger Agreement.</w:t>
      </w:r>
    </w:p>
    <w:p>
      <w:pPr>
        <w:spacing w:after="0" w:line="114" w:lineRule="exact"/>
        <w:rPr>
          <w:rFonts w:ascii="Arial" w:cs="Arial" w:eastAsia="Arial" w:hAnsi="Arial"/>
          <w:sz w:val="16"/>
          <w:szCs w:val="16"/>
          <w:color w:val="auto"/>
        </w:rPr>
      </w:pPr>
    </w:p>
    <w:p>
      <w:pPr>
        <w:jc w:val="both"/>
        <w:ind w:firstLine="656"/>
        <w:spacing w:after="0" w:line="254" w:lineRule="auto"/>
        <w:tabs>
          <w:tab w:leader="none" w:pos="129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shall take all actions that are necessary for the assumption and conversion of Sema4 Options, Sema4 RSUs and Sema4 SARs pursuant to the Merger Agreement. If registration of the Company Options, Company RSUs or Company SARs is required under the Securities Act, the Company shall file, as promptly as practicable after the date that is sixty (60) days after the Form 8-K announcing the Closing is filed (or any such earlier date permitted by applicable law), a registration statement on Form S-8 with respect to such Company Options, Company RSUs and Company SARs, and shall use its commercially reasonable efforts to maintain the effectiveness of such registration statement for so long as the applicable Company Options, Company RSUs and Company SARs remain outstanding and such registration of the shares of Company Class A common stock issuable thereunder continues to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Merger</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Subject to certain exceptions set forth in the Schedules, Sema4 has agreed that, prior to the Closing or earlier valid termination of the Merger Agreement, it will, and cause its subsidiaries to use commercially reasonable efforts to conduct and operate their respective businesses in the ordinary course except (i) to the extent that the Company otherwise consents in writing and such consent will not be unreasonably withheld, conditioned or delayed;</w:t>
      </w:r>
    </w:p>
    <w:p>
      <w:pPr>
        <w:spacing w:after="0" w:line="2" w:lineRule="exact"/>
        <w:rPr>
          <w:sz w:val="20"/>
          <w:szCs w:val="20"/>
          <w:color w:val="auto"/>
        </w:rPr>
      </w:pPr>
    </w:p>
    <w:p>
      <w:pPr>
        <w:jc w:val="both"/>
        <w:ind w:firstLine="8"/>
        <w:spacing w:after="0" w:line="253" w:lineRule="auto"/>
        <w:tabs>
          <w:tab w:leader="none" w:pos="2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expressly contemplated by the Merger Agreement or Sema4 disclosure letter; or (iii) as may be required by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 (“</w:t>
      </w:r>
      <w:r>
        <w:rPr>
          <w:rFonts w:ascii="Arial" w:cs="Arial" w:eastAsia="Arial" w:hAnsi="Arial"/>
          <w:sz w:val="18"/>
          <w:szCs w:val="18"/>
          <w:i w:val="1"/>
          <w:iCs w:val="1"/>
          <w:color w:val="auto"/>
        </w:rPr>
        <w:t>Applicable Legal Requirements</w:t>
      </w:r>
      <w:r>
        <w:rPr>
          <w:rFonts w:ascii="Arial" w:cs="Arial" w:eastAsia="Arial" w:hAnsi="Arial"/>
          <w:sz w:val="18"/>
          <w:szCs w:val="18"/>
          <w:color w:val="auto"/>
        </w:rPr>
        <w:t>”) (including measures required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general covenants above, Sema4 has agreed that prior to the Closing, subject to specified exceptions, it will not, and will cause its subsidiaries not to:</w:t>
      </w:r>
    </w:p>
    <w:p>
      <w:pPr>
        <w:spacing w:after="0" w:line="116" w:lineRule="exact"/>
        <w:rPr>
          <w:sz w:val="20"/>
          <w:szCs w:val="20"/>
          <w:color w:val="auto"/>
        </w:rPr>
      </w:pPr>
    </w:p>
    <w:p>
      <w:pPr>
        <w:jc w:val="both"/>
        <w:ind w:left="660" w:hanging="328"/>
        <w:spacing w:after="0" w:line="268" w:lineRule="auto"/>
        <w:tabs>
          <w:tab w:leader="none" w:pos="6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except as otherwise required in relation to Sema4 benefit plans, the Merger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Sema4 benefit plan or any employee benefit plan, policy, program, agreement, trust or arrangement that would have constituted an Sema4 benefit plan if it had been in effect on the date of the Merger Agreement (other than annual renewal of welfare plans in the ordinary course of business that does not result in a material increase in cost to Sema4 or its subsidiaries (the “</w:t>
      </w:r>
      <w:r>
        <w:rPr>
          <w:rFonts w:ascii="Arial" w:cs="Arial" w:eastAsia="Arial" w:hAnsi="Arial"/>
          <w:sz w:val="17"/>
          <w:szCs w:val="17"/>
          <w:i w:val="1"/>
          <w:iCs w:val="1"/>
          <w:color w:val="auto"/>
        </w:rPr>
        <w:t>Sema4 Companies</w:t>
      </w:r>
      <w:r>
        <w:rPr>
          <w:rFonts w:ascii="Arial" w:cs="Arial" w:eastAsia="Arial" w:hAnsi="Arial"/>
          <w:sz w:val="17"/>
          <w:szCs w:val="17"/>
          <w:color w:val="auto"/>
        </w:rPr>
        <w:t>”)); (iv) take any action to accelerate the vesting or payment of, or otherwise fund or secure the payment of, any compensation or benefits under any Sema4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Sema4 Companies;</w:t>
      </w:r>
    </w:p>
    <w:p>
      <w:pPr>
        <w:spacing w:after="0" w:line="132"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transfer, sell, assign, license, sublicense, encumber, impair, abandon, fail to diligently maintain, transfer or otherwise dispose of any right, title or interest of Sema4 in any owned Intellectual Property or licensed Intellectual Property, in each case, that is material to any of the businesses of Sema4 Companies; (ii) extend, amend, waive, cancel or modify any material rights in or to any owned Intellectual Property or licensed Intellectual Property, in each case, that is material to any business of Sema4 Companies; (iii) fail to diligently prosecute the patent applications owned by the Sema4 other than applications the Sema4, in the exercise of its good faith business judgment, has determined to abandon; or (iv) divulge, furnish to or make accessible any trade secrets constituting material owned Intellectual Property or any trade secrets of any person to whom any of the Sema4 Companies has a confidentiality obligation to any third party who is not subject to an enforceable written agreement to maintain the confidentiality of such trade secrets, other than, in each of (i) through (iv), in the ordinary course of business; provided, that in no event shall Sema4 license on an exclusive basis or sell any material owned Intellectual Property;</w:t>
      </w:r>
    </w:p>
    <w:p>
      <w:pPr>
        <w:spacing w:after="0" w:line="126" w:lineRule="exact"/>
        <w:rPr>
          <w:rFonts w:ascii="Arial" w:cs="Arial" w:eastAsia="Arial" w:hAnsi="Arial"/>
          <w:sz w:val="17"/>
          <w:szCs w:val="17"/>
          <w:color w:val="auto"/>
        </w:rPr>
      </w:pPr>
    </w:p>
    <w:p>
      <w:pPr>
        <w:jc w:val="both"/>
        <w:ind w:left="660" w:hanging="328"/>
        <w:spacing w:after="0" w:line="283" w:lineRule="auto"/>
        <w:tabs>
          <w:tab w:leader="none" w:pos="6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for transactions solely among Sema4 and its subsidiaries: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of the Sema4 Companies, other than pursuant to the terms of a Sema4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of the Sema4 Companies, other than the award of restricted stock units in respect of the Earn-Out Shares granted to the Earn-Out Service Providers pursuant to the Earn-Out award agreement (the “</w:t>
      </w:r>
      <w:r>
        <w:rPr>
          <w:rFonts w:ascii="Arial" w:cs="Arial" w:eastAsia="Arial" w:hAnsi="Arial"/>
          <w:sz w:val="16"/>
          <w:szCs w:val="16"/>
          <w:i w:val="1"/>
          <w:iCs w:val="1"/>
          <w:color w:val="auto"/>
        </w:rPr>
        <w:t>Earn-Out RSUs</w:t>
      </w:r>
      <w:r>
        <w:rPr>
          <w:rFonts w:ascii="Arial" w:cs="Arial" w:eastAsia="Arial" w:hAnsi="Arial"/>
          <w:sz w:val="16"/>
          <w:szCs w:val="16"/>
          <w:color w:val="auto"/>
        </w:rPr>
        <w:t>”) issued in accordance with the Merger Agreement; (iv) declare, set aside or pay any dividend or make any other distribution; or</w:t>
      </w:r>
    </w:p>
    <w:p>
      <w:pPr>
        <w:spacing w:after="0" w:line="5" w:lineRule="exact"/>
        <w:rPr>
          <w:rFonts w:ascii="Arial" w:cs="Arial" w:eastAsia="Arial" w:hAnsi="Arial"/>
          <w:sz w:val="16"/>
          <w:szCs w:val="16"/>
          <w:color w:val="auto"/>
        </w:rPr>
      </w:pPr>
    </w:p>
    <w:p>
      <w:pPr>
        <w:jc w:val="both"/>
        <w:ind w:left="660" w:hanging="4"/>
        <w:spacing w:after="0" w:line="252" w:lineRule="auto"/>
        <w:tabs>
          <w:tab w:leader="none" w:pos="93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left="328" w:hanging="328"/>
        <w:spacing w:after="0"/>
        <w:tabs>
          <w:tab w:leader="none" w:pos="32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any of the Sema4 Companies;</w:t>
      </w:r>
    </w:p>
    <w:p>
      <w:pPr>
        <w:spacing w:after="0" w:line="194" w:lineRule="exact"/>
        <w:rPr>
          <w:rFonts w:ascii="Arial" w:cs="Arial" w:eastAsia="Arial" w:hAnsi="Arial"/>
          <w:sz w:val="16"/>
          <w:szCs w:val="16"/>
          <w:color w:val="auto"/>
        </w:rPr>
      </w:pPr>
    </w:p>
    <w:p>
      <w:pPr>
        <w:jc w:val="both"/>
        <w:ind w:left="328" w:right="20" w:hanging="328"/>
        <w:spacing w:after="0" w:line="263" w:lineRule="auto"/>
        <w:tabs>
          <w:tab w:leader="none" w:pos="3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merge, consolidate or combine with any entity;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the Sema4 disclosure letter;</w:t>
      </w:r>
    </w:p>
    <w:p>
      <w:pPr>
        <w:spacing w:after="0" w:line="129" w:lineRule="exact"/>
        <w:rPr>
          <w:rFonts w:ascii="Arial" w:cs="Arial" w:eastAsia="Arial" w:hAnsi="Arial"/>
          <w:sz w:val="18"/>
          <w:szCs w:val="18"/>
          <w:color w:val="auto"/>
        </w:rPr>
      </w:pPr>
    </w:p>
    <w:p>
      <w:pPr>
        <w:jc w:val="both"/>
        <w:ind w:left="328" w:hanging="328"/>
        <w:spacing w:after="0" w:line="284" w:lineRule="auto"/>
        <w:tabs>
          <w:tab w:leader="none" w:pos="32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issue or sell any debt securities or rights to acquire any debt securities of any of the Sema4 Companies or guarantee any debt securities of another person; (ii) make, incur, create or assume any loans, advances or capital contributions to, or investments in, or guarantee any indebtedness of, any person other than any of the Sema4 Companies except for (A) loans, advances or capital contributions pursuant to and in accordance with the terms of agreements or legal obligations existing as of February 9, 2021, in each case set forth on the Sema4 disclosure letter; provided, that any such amounts do not exceed $250,000 in the aggregate and remain with Sema4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Sema4 Companies in connection with any indebtedness thereof (other than permitted liens as defined in the Merger Agreement); (iv) cancel or forgive any indebtedness owed to any of the Sema4 Companies; or</w:t>
      </w:r>
    </w:p>
    <w:p>
      <w:pPr>
        <w:ind w:left="328"/>
        <w:spacing w:after="0"/>
        <w:rPr>
          <w:rFonts w:ascii="Arial" w:cs="Arial" w:eastAsia="Arial" w:hAnsi="Arial"/>
          <w:sz w:val="16"/>
          <w:szCs w:val="16"/>
          <w:color w:val="auto"/>
        </w:rPr>
      </w:pPr>
      <w:r>
        <w:rPr>
          <w:rFonts w:ascii="Arial" w:cs="Arial" w:eastAsia="Arial" w:hAnsi="Arial"/>
          <w:sz w:val="18"/>
          <w:szCs w:val="18"/>
          <w:color w:val="auto"/>
        </w:rPr>
        <w:t>(v) make, incur or commit to make or incur any capital expenditures, other than in the ordinary course of business;</w:t>
      </w:r>
    </w:p>
    <w:p>
      <w:pPr>
        <w:spacing w:after="0" w:line="156" w:lineRule="exact"/>
        <w:rPr>
          <w:rFonts w:ascii="Arial" w:cs="Arial" w:eastAsia="Arial" w:hAnsi="Arial"/>
          <w:sz w:val="16"/>
          <w:szCs w:val="16"/>
          <w:color w:val="auto"/>
        </w:rPr>
      </w:pPr>
    </w:p>
    <w:p>
      <w:pPr>
        <w:ind w:left="328" w:hanging="328"/>
        <w:spacing w:after="0"/>
        <w:tabs>
          <w:tab w:leader="none" w:pos="3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Sema4 Companies, taken as a whole;</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except in the ordinary course of business: (i) enter into any material or governmental contract that would have been a (other than pursuant to offers, bids or proposals made by any Sema4 Companies on or prior to the date hereof that, if accepted, would result in a government contract) had it been entered into prior to February 9, 2021 or (ii) waive, delay the exercise of, release or assign any material rights or claims under any material or governmental contract;</w:t>
      </w:r>
    </w:p>
    <w:p>
      <w:pPr>
        <w:spacing w:after="0" w:line="132"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modify, amend or terminate in a manner that is materially adverse to the applicable Sema4 Companies, taken as a whole, any material contract (other than pursuant to (i) offers, bids or proposals made by any Sema4 Companies on or prior to the date hereof that, if accepted, would result in a government contract or (ii) requirements from any governmental entity to modify the scope of work under any government contract);</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incur or enter into a contract requiring the Sema4 to make any capital expenditures in excess of $250,000 in any 12-month period;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08"/>
          </w:cols>
          <w:pgMar w:left="652" w:top="1440" w:right="339" w:bottom="1440" w:gutter="0" w:footer="0" w:header="0"/>
        </w:sectPr>
      </w:pPr>
    </w:p>
    <w:bookmarkStart w:id="150" w:name="page151"/>
    <w:bookmarkEnd w:id="150"/>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action that would reasonably be expected to prevent, impair or impede the intended tax treatment; or (xi) authorize, recommend, propose or announce an intention to adopt a plan of complete or partial liquidation, restructuring, recapitalization, dissolution or winding-up of the Sema4 or any subsidiary of Sema4;</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for solely among the Sema4 Companies,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the Sema4 disclosure letter as existing on February 9, 2021;</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Notwithstanding anything to the contrary in the Merger Agreement, Sema4 may, in connection with COVID-19, take such actions in good faith as are reasonably necessary (x) to protect the health and safety of its employees and other individuals having business dealings with Sema4 or (y) to respond to third-party supply or service disruptions caused by COVID-19, including, but not limited to Pandemic Measures, and any such actions taken (or not taken) as a result of, in response to, or otherwise related to COVID-19 shall be deemed to be taken in the “</w:t>
      </w:r>
      <w:r>
        <w:rPr>
          <w:rFonts w:ascii="Arial" w:cs="Arial" w:eastAsia="Arial" w:hAnsi="Arial"/>
          <w:sz w:val="17"/>
          <w:szCs w:val="17"/>
          <w:i w:val="1"/>
          <w:iCs w:val="1"/>
          <w:color w:val="auto"/>
        </w:rPr>
        <w:t>ordinary course of business</w:t>
      </w:r>
      <w:r>
        <w:rPr>
          <w:rFonts w:ascii="Arial" w:cs="Arial" w:eastAsia="Arial" w:hAnsi="Arial"/>
          <w:sz w:val="17"/>
          <w:szCs w:val="17"/>
          <w:color w:val="auto"/>
        </w:rPr>
        <w:t>” and not be considered a breach of the covenants of the Merger Agreement; provided that, to the extent that Sema4 took any actions pursuant to the immediately preceding clause that caused deviations from its business being conducted in the ordinary course of business, Sema4 is to resume conducting its business in the ordinary course of business in all material respects as soon as reasonably practicable.</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contained in the Merger Agreement shall give the Company, directly or indirectly, any right to control or direct the operations of the Sema4 Companies prior to the Closing. Prior to the Closing, each of Sema4 and the Company shall exercise, consistent with the other terms and conditions of the Merger Agreement, complete control and supervision over their respective businesses.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agreed to certain restrictions on the business of CM Life and its subsidiaries prior to the Closing. Specifically, the Company has agreed that prior to the effective time, except as expressly contemplated or permitted by the Merger Agreement, as required to comply with Applicable Legal Requirements (including measures required by the COVID-19 pandemic) or subject to certain specified exceptions, it will not, and it will not permit its subsidiaries, without the written consent of Sema4 (which may not be unreasonably withheld, conditioned or delayed):</w:t>
      </w:r>
    </w:p>
    <w:p>
      <w:pPr>
        <w:spacing w:after="0" w:line="117" w:lineRule="exact"/>
        <w:rPr>
          <w:sz w:val="20"/>
          <w:szCs w:val="20"/>
          <w:color w:val="auto"/>
        </w:rPr>
      </w:pPr>
    </w:p>
    <w:p>
      <w:pPr>
        <w:jc w:val="both"/>
        <w:ind w:left="660" w:hanging="328"/>
        <w:spacing w:after="0" w:line="311" w:lineRule="auto"/>
        <w:tabs>
          <w:tab w:leader="none" w:pos="6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the Company or any of its subsidiaries;</w:t>
      </w:r>
    </w:p>
    <w:p>
      <w:pPr>
        <w:spacing w:after="0" w:line="171"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other than in connection with the Subscription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07" w:lineRule="exact"/>
        <w:rPr>
          <w:rFonts w:ascii="Arial" w:cs="Arial" w:eastAsia="Arial" w:hAnsi="Arial"/>
          <w:sz w:val="16"/>
          <w:szCs w:val="16"/>
          <w:color w:val="auto"/>
        </w:rPr>
      </w:pPr>
    </w:p>
    <w:p>
      <w:pPr>
        <w:ind w:left="660" w:hanging="328"/>
        <w:spacing w:after="0"/>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ind w:left="660" w:hanging="328"/>
        <w:spacing w:after="0" w:line="259"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any indebtedness or guarantee any such indebtedness of another person or persons, issue or sell any debt securities or options, warrants, calls or other rights to acquire any debt securities of the Company, as applicable, enter into any “</w:t>
      </w:r>
      <w:r>
        <w:rPr>
          <w:rFonts w:ascii="Arial" w:cs="Arial" w:eastAsia="Arial" w:hAnsi="Arial"/>
          <w:sz w:val="18"/>
          <w:szCs w:val="18"/>
          <w:i w:val="1"/>
          <w:iCs w:val="1"/>
          <w:color w:val="auto"/>
        </w:rPr>
        <w:t>keep well</w:t>
      </w:r>
      <w:r>
        <w:rPr>
          <w:rFonts w:ascii="Arial" w:cs="Arial" w:eastAsia="Arial" w:hAnsi="Arial"/>
          <w:sz w:val="18"/>
          <w:szCs w:val="18"/>
          <w:color w:val="auto"/>
        </w:rPr>
        <w:t>” or other agreement to maintain any financial statement condition or enter into any arrangement having the economic effect of any of the foregoing, in each case, except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create any material liens on any material property or assets of the Company or Merger Sub; (ix) incur any liability for taxes other than in the ordinary course of business; or (x) take any action or fail to take any action that would reasonably be expected to prevent, impair or impede the intended tax treatment;</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the Company or Merger Sub;</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a long term incentive plan or an employee stock purchase plan, or (ii) hire any employee or any other individual to provide services to the Company or its subsidiaries;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enter into any material or other contract that will not be terminable for convenience on or before Closing without requiring the payment of any amount or any post-Closing liability or obligation, (ii) modify, amend or terminate any material contract or (iii) waive, delay the exercise of, release or assign any material rights or claims under any material contract;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Account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agreed to make appropriate arrangements to cause the funds in the Trust Account to be disbursed in accordance with the Trust Agreement (as defined in the Merger Agreement) for the following: (a) the redemption of any shares of common stock in connection with the redemption offer in relation to the public shares; (b) the payment obligations of the Company with respect to certain expenses, as set forth in the Merger Agreement and</w:t>
      </w:r>
    </w:p>
    <w:p>
      <w:pPr>
        <w:spacing w:after="0" w:line="2" w:lineRule="exact"/>
        <w:rPr>
          <w:sz w:val="20"/>
          <w:szCs w:val="20"/>
          <w:color w:val="auto"/>
        </w:rPr>
      </w:pPr>
    </w:p>
    <w:p>
      <w:pPr>
        <w:ind w:left="260" w:hanging="252"/>
        <w:spacing w:after="0"/>
        <w:tabs>
          <w:tab w:leader="none" w:pos="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balance of the assets in the Trust Account, if any, after payment of the foregoing to be disbursed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and the Company have agreed to comply promptly but in no event later than ten business days after the date of the Merger Agreement with the notification and reporting requirements of the HSR Act. Sema4 and the Company have agreed to furnish to each other as promptly as reasonably practicable all information required for any application or other filing to be made by the other pursuant to any applicable law relating to antitrust.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and the Company have agreed to promptly furnish to the other copies of all substantive written communications received by, them or any of their respective affiliates and any governmental authority with respect to the transactions contemplated by the Merger Agreement, and Sema4 and the Company have agreed to permit counsel to the other an opportunity to review in advance any proposed substantive written communications by Sema4 and the Company (respectively) and/or its affiliates to any governmental authority concerning the transactions contemplated by the Merger Agreement and incorporate reasonable comments thereto. Sema4 and the Company have agreed to (a) give the other prompt written notice of the commencement of any legal proceeding with respect to the transactions contemplated by the Merger Agreement and (b) to the extent reasonably practicable, consult with the other party in advance of its participation in any substantive meeting or discussion with any governmental entity in respect of any filing, investigation or inquiry concerning the Merger Agreement or the transactions contemplated thereunder and, to the extent permitted by such governmental entity, give the other party the opportunity to also attend such meeting or discussion.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has agreed to promptly and in good faith respond to any information or document requests from the Antitrust Division of the U.S. Department of Justice and the FTC.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have agreed to pay 50% of all filing fees required by governmental entities payable to the Antitrust Division and FTC in connection with the transactions contemplated by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and Sema4 have agreed to, as promptly as practicable, (i) establish the record date for, duly call, give notice of, convene and hold, no later than 45 days after this proxy statement is mailed, the Special Meeting in accordance with the DGCL, (ii) cause this proxy statement to be disseminated to the Company’s stockholders in compliance with applicable law, and (iii) solicit proxies from the holders of common stock to vote in favor of each of the proposals contained in this proxy statement. The Company has agreed, through the Company’s board of directors, to recommend to its stockholders that they approve the proposals contained in this proxy statement (the “</w:t>
      </w:r>
      <w:r>
        <w:rPr>
          <w:rFonts w:ascii="Arial" w:cs="Arial" w:eastAsia="Arial" w:hAnsi="Arial"/>
          <w:sz w:val="16"/>
          <w:szCs w:val="16"/>
          <w:i w:val="1"/>
          <w:iCs w:val="1"/>
          <w:color w:val="auto"/>
        </w:rPr>
        <w:t>Company board recommendation</w:t>
      </w:r>
      <w:r>
        <w:rPr>
          <w:rFonts w:ascii="Arial" w:cs="Arial" w:eastAsia="Arial" w:hAnsi="Arial"/>
          <w:sz w:val="16"/>
          <w:szCs w:val="16"/>
          <w:color w:val="auto"/>
        </w:rPr>
        <w:t>”) and to include the Company board recommendation in this proxy statement, subject to the obligations described in this paragraph. Except as otherwise required by Applicable Legal Requirements, the Company board of directors will not (and no committee or subgroup thereof shall) change, withdraw, withhold, qualify or modify, or publicly propose to change, withdraw, withhold, qualify or modify, the Company board recommendation (a “</w:t>
      </w:r>
      <w:r>
        <w:rPr>
          <w:rFonts w:ascii="Arial" w:cs="Arial" w:eastAsia="Arial" w:hAnsi="Arial"/>
          <w:sz w:val="16"/>
          <w:szCs w:val="16"/>
          <w:i w:val="1"/>
          <w:iCs w:val="1"/>
          <w:color w:val="auto"/>
        </w:rPr>
        <w:t>Company change in recommendation</w:t>
      </w:r>
      <w:r>
        <w:rPr>
          <w:rFonts w:ascii="Arial" w:cs="Arial" w:eastAsia="Arial" w:hAnsi="Arial"/>
          <w:sz w:val="16"/>
          <w:szCs w:val="16"/>
          <w:color w:val="auto"/>
        </w:rPr>
        <w:t xml:space="preserve">”); provided, that the Company’s obligation to establish a record date for, duly call, give notice of, convene and hold the Special Meeting as contemplated by the foregoing shall not be affected by any Change in Recommendation. Notwithstanding the foregoing, if on a date for which the Special Meeting is scheduled, the Company has not received proxies representing a sufficient number of shares of common stock to obtain the stockholder approvals of the proposals contained in this proxy statement, whether or not a quorum is present, the Company shall have the right to make one or more successive postponements or adjournments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such postponement or adjournment, the Special Meeting shall be reconvened as promptly as practicable following such time as the reason for such postponement or adjournment has been resolved.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the date of this proxy statement, Sema4 has solicited the adoption of the Merger Agreement (the “</w:t>
      </w:r>
      <w:r>
        <w:rPr>
          <w:rFonts w:ascii="Arial" w:cs="Arial" w:eastAsia="Arial" w:hAnsi="Arial"/>
          <w:sz w:val="17"/>
          <w:szCs w:val="17"/>
          <w:i w:val="1"/>
          <w:iCs w:val="1"/>
          <w:color w:val="auto"/>
        </w:rPr>
        <w:t>Sema4 approval</w:t>
      </w:r>
      <w:r>
        <w:rPr>
          <w:rFonts w:ascii="Arial" w:cs="Arial" w:eastAsia="Arial" w:hAnsi="Arial"/>
          <w:sz w:val="17"/>
          <w:szCs w:val="17"/>
          <w:color w:val="auto"/>
        </w:rPr>
        <w:t>”) and received such Sema4 approval by unanimous written consent of the stockholders of Sema4capital stock (the “</w:t>
      </w:r>
      <w:r>
        <w:rPr>
          <w:rFonts w:ascii="Arial" w:cs="Arial" w:eastAsia="Arial" w:hAnsi="Arial"/>
          <w:sz w:val="17"/>
          <w:szCs w:val="17"/>
          <w:i w:val="1"/>
          <w:iCs w:val="1"/>
          <w:color w:val="auto"/>
        </w:rPr>
        <w:t>Sema4 stockholders</w:t>
      </w:r>
      <w:r>
        <w:rPr>
          <w:rFonts w:ascii="Arial" w:cs="Arial" w:eastAsia="Arial" w:hAnsi="Arial"/>
          <w:sz w:val="17"/>
          <w:szCs w:val="17"/>
          <w:color w:val="auto"/>
        </w:rPr>
        <w:t>”). Sema4, through the Sema4 board of directors, recommended to the Sema4 stockholders that they adopt the Merger Agreement (the “</w:t>
      </w:r>
      <w:r>
        <w:rPr>
          <w:rFonts w:ascii="Arial" w:cs="Arial" w:eastAsia="Arial" w:hAnsi="Arial"/>
          <w:sz w:val="17"/>
          <w:szCs w:val="17"/>
          <w:i w:val="1"/>
          <w:iCs w:val="1"/>
          <w:color w:val="auto"/>
        </w:rPr>
        <w:t>Sema4 board recommendation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period from the date of the Merger Agreement until the earlier of the termination of the Merger Agreement pursuant to its terms or the Closing , Sema4 has agreed not to, and shall cause its subsidiaries not to and shall use its reasonable best efforts to cause its and their respective representatives not to, directly or indirectly:</w:t>
      </w:r>
    </w:p>
    <w:p>
      <w:pPr>
        <w:spacing w:after="0" w:line="130" w:lineRule="exact"/>
        <w:rPr>
          <w:sz w:val="20"/>
          <w:szCs w:val="20"/>
          <w:color w:val="auto"/>
        </w:rPr>
      </w:pPr>
    </w:p>
    <w:p>
      <w:pPr>
        <w:jc w:val="both"/>
        <w:ind w:left="660" w:hanging="328"/>
        <w:spacing w:after="0" w:line="286" w:lineRule="auto"/>
        <w:tabs>
          <w:tab w:leader="none" w:pos="6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Sema4, recapitalization or similar transaction (each, a “</w:t>
      </w:r>
      <w:r>
        <w:rPr>
          <w:rFonts w:ascii="Arial" w:cs="Arial" w:eastAsia="Arial" w:hAnsi="Arial"/>
          <w:sz w:val="17"/>
          <w:szCs w:val="17"/>
          <w:i w:val="1"/>
          <w:iCs w:val="1"/>
          <w:color w:val="auto"/>
        </w:rPr>
        <w:t>Sema4 Business Combination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Sema4 Business Combination;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Sema4 shall, and shall cause its subsidiaries and the Sema4 Stockholders to, and shall cause their respective representatives to, immediately cease any and all existing discussions or negotiations with any person with respect to any Sema4 Business Combination.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period from the date of the Merger Agreement until the earlier of the termination of the Merger Agreement pursuant to its terms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the Company and Merger Sub shall not, and shall direct their respective representatives not to, directly or indirectly:</w:t>
      </w:r>
    </w:p>
    <w:p>
      <w:pPr>
        <w:spacing w:after="0" w:line="157" w:lineRule="exact"/>
        <w:rPr>
          <w:sz w:val="20"/>
          <w:szCs w:val="20"/>
          <w:color w:val="auto"/>
        </w:rPr>
      </w:pPr>
    </w:p>
    <w:p>
      <w:pPr>
        <w:jc w:val="both"/>
        <w:ind w:left="660" w:hanging="328"/>
        <w:spacing w:after="0" w:line="259"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solicit, initiate, enter into or continue discussions or transactions with, or encourage or respond to any inquiries or proposals by, or provide any information to, any person (other than Sema4, the Sema4 Stockholders and their respective representatives) concerning any merger, purchase of ownership interests or assets of the Company, recapitalization or similar business combination transaction (each, a “</w:t>
      </w:r>
      <w:r>
        <w:rPr>
          <w:rFonts w:ascii="Arial" w:cs="Arial" w:eastAsia="Arial" w:hAnsi="Arial"/>
          <w:sz w:val="18"/>
          <w:szCs w:val="18"/>
          <w:i w:val="1"/>
          <w:iCs w:val="1"/>
          <w:color w:val="auto"/>
        </w:rPr>
        <w:t>Company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Company Business Combination;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 The Company and Merger Sub shall, and shall cause their respective representatives to, immediately cease any and all existing discussions or negotiations with any person with respect to any Company Business Combination.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party to the Merger Agreement is to promptly (and in no event later than 24 hours after becoming aware of such inquiry, proposal, offer or submission) notify the other parties (and in the case of the Company’s receipt of a Company Business Combination Proposal, the Company shall also provide notice to Sema4) if it or, to its knowledge, any of its or its representatives receives any inquiry, proposal, offer or submission with respect to a Sema4 Business Combination or Company Business Combination, as applicable (including the identity of the person making such inquiry or submitting such proposal, offer or submission), after the execution and delivery of the Merger Agreement. If either party or its representatives receives an inquiry, proposal, offer or submission with respect to a Sema4 Business Combination or Company Business Combination, as applicable, such party must provide the other parties with a copy of such inquiry, proposal, offer or submission (and in the case of the Company’s receipt, the Company shall also provide copies to Sema4).</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used in the Merger Agreement: “</w:t>
      </w:r>
      <w:r>
        <w:rPr>
          <w:rFonts w:ascii="Arial" w:cs="Arial" w:eastAsia="Arial" w:hAnsi="Arial"/>
          <w:sz w:val="17"/>
          <w:szCs w:val="17"/>
          <w:i w:val="1"/>
          <w:iCs w:val="1"/>
          <w:color w:val="auto"/>
        </w:rPr>
        <w:t>Intellectual Property</w:t>
      </w:r>
      <w:r>
        <w:rPr>
          <w:rFonts w:ascii="Arial" w:cs="Arial" w:eastAsia="Arial" w:hAnsi="Arial"/>
          <w:sz w:val="17"/>
          <w:szCs w:val="17"/>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inventors’ certificates, or the like and any foreign equivalents of the foregoing (including certificates of invention and any applications therefor);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 all registered and unregistered copyrights and applications for registration of copyright;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w:t>
      </w:r>
    </w:p>
    <w:p>
      <w:pPr>
        <w:spacing w:after="0" w:line="2" w:lineRule="exact"/>
        <w:rPr>
          <w:sz w:val="20"/>
          <w:szCs w:val="20"/>
          <w:color w:val="auto"/>
        </w:rPr>
      </w:pPr>
    </w:p>
    <w:p>
      <w:pPr>
        <w:ind w:right="2160"/>
        <w:spacing w:after="0" w:line="429" w:lineRule="auto"/>
        <w:rPr>
          <w:sz w:val="20"/>
          <w:szCs w:val="20"/>
          <w:color w:val="auto"/>
        </w:rPr>
      </w:pPr>
      <w:r>
        <w:rPr>
          <w:rFonts w:ascii="Arial" w:cs="Arial" w:eastAsia="Arial" w:hAnsi="Arial"/>
          <w:sz w:val="18"/>
          <w:szCs w:val="18"/>
          <w:color w:val="auto"/>
        </w:rPr>
        <w:t xml:space="preserve">(f) databases; and (g) all other intellectual property, intellectual property rights, proprietary information and proprietary rights. </w:t>
      </w:r>
      <w:r>
        <w:rPr>
          <w:rFonts w:ascii="Arial" w:cs="Arial" w:eastAsia="Arial" w:hAnsi="Arial"/>
          <w:sz w:val="18"/>
          <w:szCs w:val="18"/>
          <w:i w:val="1"/>
          <w:iCs w:val="1"/>
          <w:color w:val="auto"/>
        </w:rPr>
        <w:t>Nasdaq Listing</w:t>
      </w:r>
    </w:p>
    <w:p>
      <w:pPr>
        <w:spacing w:after="0" w:line="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the Closing, the Company has agreed to use reasonable best efforts to ensure it remains listed as a public company on, and for shares of Company common stock to be listed on, the Nasdaq. The Company has agreed to use commercially reasonable efforts to cause the common stock to be issued in connection with the merger (including the common stock to be issued pursuant to payment of the earnout consideration) to be approved for listing on Nasdaq as promptly as practicable following the issuance thereof, subject to official notice of issuance, prior to the Closing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Closing, the Company shall use commercially reasonable efforts to: (a) continue the listing for trading of the Company common stock and Company Warrants on Nasdaq; and (b) in the event any Earn-Out Shares become issuable pursuant to the Merger Agreement, cause such Earn-Out Shares to be approved for listing on Nasdaq.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and Directors’ and Officers’ Insurance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and after the Closing, the Company has agreed that all rights to exculpation, indemnification and advancement of expenses now existing in favor of each present and former director and officer of the Sema4 Companies as provided in their respective certificates of incorporation (if applicable), bylaws and other organizational documents or in any indemnification agreement with respect to Sema4 Companies. Without limiting the foregoing, the Company has agreed to use reasonable best efforts to cause the Sema4 Companies to, (i) maintain for a period of not less than six years from the Closing the provisions in its certificate of incorporation (if applicable), bylaws and other organizational documents concerning the indemnification and exoneration (including provisions relating to expense advancement) of officers and directors and (ii) not amend, repeal or otherwise modify such provisions in any respect that would adversely affect the rights of those persons thereunder, in each case, except as required by law. The Company has agreed to assume, and be liable for, and shall use reasonable best efforts to cause the Sema4 Companies to honor, each of the covenants described in this paragraph.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Closing, Sema4 has agreed to use reasonable best efforts to, purchase a “</w:t>
      </w:r>
      <w:r>
        <w:rPr>
          <w:rFonts w:ascii="Arial" w:cs="Arial" w:eastAsia="Arial" w:hAnsi="Arial"/>
          <w:sz w:val="18"/>
          <w:szCs w:val="18"/>
          <w:i w:val="1"/>
          <w:iCs w:val="1"/>
          <w:color w:val="auto"/>
        </w:rPr>
        <w:t>tail</w:t>
      </w:r>
      <w:r>
        <w:rPr>
          <w:rFonts w:ascii="Arial" w:cs="Arial" w:eastAsia="Arial" w:hAnsi="Arial"/>
          <w:sz w:val="18"/>
          <w:szCs w:val="18"/>
          <w:color w:val="auto"/>
        </w:rPr>
        <w:t>” or “</w:t>
      </w:r>
      <w:r>
        <w:rPr>
          <w:rFonts w:ascii="Arial" w:cs="Arial" w:eastAsia="Arial" w:hAnsi="Arial"/>
          <w:sz w:val="18"/>
          <w:szCs w:val="18"/>
          <w:i w:val="1"/>
          <w:iCs w:val="1"/>
          <w:color w:val="auto"/>
        </w:rPr>
        <w:t>runoff</w:t>
      </w:r>
      <w:r>
        <w:rPr>
          <w:rFonts w:ascii="Arial" w:cs="Arial" w:eastAsia="Arial" w:hAnsi="Arial"/>
          <w:sz w:val="18"/>
          <w:szCs w:val="18"/>
          <w:color w:val="auto"/>
        </w:rPr>
        <w:t>” directors’ and officers’ liability insurance policy (the “</w:t>
      </w:r>
      <w:r>
        <w:rPr>
          <w:rFonts w:ascii="Arial" w:cs="Arial" w:eastAsia="Arial" w:hAnsi="Arial"/>
          <w:sz w:val="18"/>
          <w:szCs w:val="18"/>
          <w:i w:val="1"/>
          <w:iCs w:val="1"/>
          <w:color w:val="auto"/>
        </w:rPr>
        <w:t>D&amp;O Tail</w:t>
      </w:r>
      <w:r>
        <w:rPr>
          <w:rFonts w:ascii="Arial" w:cs="Arial" w:eastAsia="Arial" w:hAnsi="Arial"/>
          <w:sz w:val="18"/>
          <w:szCs w:val="18"/>
          <w:color w:val="auto"/>
        </w:rPr>
        <w:t>”) in respect of acts or omissions occurring prior to the Closing covering each such person that is a director or officer of the Company or any of its subsidiaries currently covered by directors’ and officers’ liability insurance policy of the Company or any of its subsidiaries on terms with respect to coverage, deductibles and amounts on less favorable than those of such policy in effect on the date of the Merger Agreement for the six year period following the Closing. The Company shall use reasonable best efforts to cause the Sema4 Companies to, maintain the D&amp;O Tail in full force and effect for its full term and cause all obligations thereunder to be honored by the Sema4 Companies, as applicable, and no other party shall have any further obligation to purchase or pay for such insurance.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agreed not to permit any amendment or modification to be made to, or any waiver of any provision or remedy under, or any replacement of, any of the Subscription Agreement, in each case, without the prior written consent of Sema4 (such consent not to be unreasonably withheld, conditioned or delayed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amendment, modification, waiver or replacement that is not and would not reasonably be expected to be materially adverse to Sema4 or the Sema4 Stockholders).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further agreed to use reasonable best efforts to take, or cause to be taken, all actions, and to do, or cause to be done, all things necessary proper and advisable to consummate the purchases contemplated by the subscription agreements on the terms and conditions described or contemplated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(on behalf of itself and Merger Sub) and Sema4 (on behalf of its stockholders) may (i) extend the time for performance of any of the obligations or other acts of the other party, (ii) waive any inaccuracies in the representations and warranties made to the other party contained in the Merger Agreement, and (iii) waive compliance with any of the agreements or conditions for the benefit of such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Closing, the Company and certain of the Sema4 Stockholders have agreed to enter into and comply with the terms of an amended and restated registration rights agreement in favor of any holder of Company common stock, treating shares of common stock held by such holder as registrable securities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Sema4 and the Company cooperating on the preparation and efforts to make effective this proxy statement;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Sema4 and the Company providing access, subject to certain specified restrictions and conditions, to the other party and its respective representatives reasonable access to Sema4's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Sema4 and its controlled affiliates, officers, directors and employees agreeing not to engage in transactions involving securities of the Company without the Company’s prior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Sema4 waiving claims to the Trust Account in the event that the merger does not consummate;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agreeing to take all actions necessary or appropriate to cause certain appointments to the board of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keeping current and timely filing all reports required to be filed or furnished with the SEC and otherwise complying in all material respects with its reporting obligations under applicable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taking steps to exempt the acquisition of common stock from Section 16(a) of the Exchange Act pursuant to Rule 16b-3 thereunder;</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cooperation and reasonable best efforts between Sema4 and the Company in obtaining any necessary third-party consents required to consummate the merger;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any event or development that would cause any closing conditions to not be satisfied or would require a supplement or amendment to the proxy statement;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agreeing to adopt a long-term incentive plan and employee stock purchase plan substantially in the form provided in the exhibits to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agreement relating to the intended tax treatment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confidentiality and publicity relating to the Merger Agreement and the transactions contemplated thereby; and</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on its own behalf and on behalf of its affiliates and representatives, has agreed to a release of certain claims against Sema4, each Sema4 Stockholders, its affiliates and its and their respective related parties, and the Sema4 Stockholders (solely in their capacity as a stockholder of Sema4), on its own behalf and on behalf of each of its affiliates and representatives, have agreed to a release of certain claims against the Company and the Sema4 Companies, in each case subject to certain exceptions as set forth in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Sema4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conflict; governmental consents and filings;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legal 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governmental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real property; tangible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brokers; third party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privacy &amp; cybersecurity; HIPAA Compliance;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agreements, contracts and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affiliate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certain provided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44"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absence of certain business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government grants and incentives;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Office of Inspector General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suppliers and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Sema4 means any change, event, or occurrence, that, individually or when aggregated with other changes, events, or occurrences has had a materially adverse effect on the business, assets, financial condition or results of operations of the Sema4 Companies, taken as a whole; provided, however, that no change, event, occurrence or effect arising out of or related to any of the following, alone or in combination, shall be taken into account in determining whether a material adverse effect has occurred: (i) acts of war, sabotage, civil unrest or terrorism, or any escalation or worsening of any such acts of war, sabotage, civil unrest or terrorism, or changes in global, national, regional, state or local political or social conditions;</w:t>
      </w:r>
    </w:p>
    <w:p>
      <w:pPr>
        <w:spacing w:after="0" w:line="4" w:lineRule="exact"/>
        <w:rPr>
          <w:sz w:val="20"/>
          <w:szCs w:val="20"/>
          <w:color w:val="auto"/>
        </w:rPr>
      </w:pPr>
    </w:p>
    <w:p>
      <w:pPr>
        <w:jc w:val="both"/>
        <w:ind w:firstLine="8"/>
        <w:spacing w:after="0" w:line="267" w:lineRule="auto"/>
        <w:tabs>
          <w:tab w:leader="none" w:pos="2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contemplated by the Merger Agreement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the Merger Agreement (including measures relating to the COVID-19 pandemic); (v) changes or proposed changes in GAAP (or any interpretation thereof) after the date of the Merger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Sema4 operates; (viii) any failure to meet any projections, forecasts, guidance, estimates, milestones, budgets or financial or operating predictions of revenue, earnings, cash flow or cash position, provided that this clause (viii) shall not prevent a determination that any change, event, or occurrence underlying such failure has resulted in a material adverse effect; or (ix) any actions required to be taken, or required not to be taken, pursuant to the terms of the Merger Agreement; provided, however, that if a change or effect related to clauses (iv) through (vii) disproportionately adversely affects the Sema4 Companies, taken as a whole, compared to other persons operating in the same industry as the Sema4 Companies, then such disproportionate impact may be taken into account in determining whether a material adverse effect has occurred.</w:t>
      </w:r>
    </w:p>
    <w:p>
      <w:pPr>
        <w:spacing w:after="0" w:line="12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Merger Agreement also contains representations and warranties made by the Company to Sema4 relating to a number of matters, including the following:</w:t>
      </w:r>
    </w:p>
    <w:p>
      <w:pPr>
        <w:spacing w:after="0" w:line="116"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company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authority;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conflict; required filings and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Company SEC reports and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business activities;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Company 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Company listing;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equity financing amount;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information supplied;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employees;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board approval; stockholder vote;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brokers;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representations and warranties in the Merger Agreement do not survive the effective time and, as described below under “</w:t>
      </w:r>
      <w:r>
        <w:rPr>
          <w:rFonts w:ascii="Arial" w:cs="Arial" w:eastAsia="Arial" w:hAnsi="Arial"/>
          <w:sz w:val="18"/>
          <w:szCs w:val="18"/>
          <w:i w:val="1"/>
          <w:iCs w:val="1"/>
          <w:color w:val="auto"/>
        </w:rPr>
        <w:t>— Termination</w:t>
      </w:r>
      <w:r>
        <w:rPr>
          <w:rFonts w:ascii="Arial" w:cs="Arial" w:eastAsia="Arial" w:hAnsi="Arial"/>
          <w:sz w:val="18"/>
          <w:szCs w:val="18"/>
          <w:color w:val="auto"/>
        </w:rPr>
        <w:t>”, if the Merger Agreement is validly terminated, there will be no liability under the representations and warranties of the parties, or otherwise under the Merger Agreement, unless a party willfully breached the Merger Agreement or committed intentional fraud in the making of the representations and warranties in the Merger Agreement.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Sema4,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Sema4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respective obligations of each of Sema4 and the Company to complete the merger are subject to the satisfaction of the following conditions:</w:t>
      </w:r>
    </w:p>
    <w:p>
      <w:pPr>
        <w:spacing w:after="0" w:line="183" w:lineRule="exact"/>
        <w:rPr>
          <w:sz w:val="20"/>
          <w:szCs w:val="20"/>
          <w:color w:val="auto"/>
        </w:rPr>
      </w:pPr>
    </w:p>
    <w:p>
      <w:pPr>
        <w:ind w:left="660" w:hanging="328"/>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determined in accordance with Rule 3a51-1(g)(i) of the Exchange Act) following the exercise by the holders of Company common stock issued in the Company’s IPO of securities and outstanding immediately before Closing of their right to convert their Company common stock into a pro rata share of the Trust Account in accordance with the Company’s organizational documents;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there must be no provision of any Applicable Legal Requirement prohibiting, enjoining or making illegal the consummation of the transactions contemplated by the Merger Agreement must be in effect and no temporary, preliminary or permanent restraining order prohibiting, enjoining or making illegal the consummation of such transactions may be in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obligation of the Company to complete the merger is also subject to the satisfaction, or waiver by the Company, of the following conditions:</w:t>
      </w:r>
    </w:p>
    <w:p>
      <w:pPr>
        <w:spacing w:after="0" w:line="183" w:lineRule="exact"/>
        <w:rPr>
          <w:sz w:val="20"/>
          <w:szCs w:val="20"/>
          <w:color w:val="auto"/>
        </w:rPr>
      </w:pPr>
    </w:p>
    <w:p>
      <w:pPr>
        <w:jc w:val="both"/>
        <w:ind w:left="660" w:hanging="328"/>
        <w:spacing w:after="0" w:line="268" w:lineRule="auto"/>
        <w:tabs>
          <w:tab w:leader="none" w:pos="6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representations and warranties of Sema4 related to organization, qualification, due authorization, brokers and third party expenses, must be true and correct in all material respects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the representations and warranties of Sema4 set forth in the capitalization representation must be true and correct in all respects on and as of the date of the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Sema4 set forth in the Merger Agreement must be true and correct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30"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Sema4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related to organization, subsidiaries, authority in relation to the Merger Agreement and business activities must be true and correct in all material respects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or any similar limitation contain herein) on and as of the date of the Merger Agreement and on and as of the Closing Date as though made</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Closing Date (except to the extent that any such representation and warranty expressly speaks as of an earlier date, in which case such representation and warranty must be true and correct as of such earlier date); the representations and warranties of the Company set forth in the capitalization representation must be true and correct in all respects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the Company set forth in the Merger Agreement must be true and correct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jc w:val="both"/>
        <w:ind w:left="660" w:hanging="328"/>
        <w:spacing w:after="0" w:line="286" w:lineRule="auto"/>
        <w:tabs>
          <w:tab w:leader="none" w:pos="6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mutual written consent of the Company and Sema4;</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either the Company or Sema4 if the transactions contemplated by the Merger Agreement have not been consummated by November 9, 2021 (the “</w:t>
      </w:r>
      <w:r>
        <w:rPr>
          <w:rFonts w:ascii="Arial" w:cs="Arial" w:eastAsia="Arial" w:hAnsi="Arial"/>
          <w:sz w:val="18"/>
          <w:szCs w:val="18"/>
          <w:i w:val="1"/>
          <w:iCs w:val="1"/>
          <w:color w:val="auto"/>
        </w:rPr>
        <w:t>Outside Date</w:t>
      </w:r>
      <w:r>
        <w:rPr>
          <w:rFonts w:ascii="Arial" w:cs="Arial" w:eastAsia="Arial" w:hAnsi="Arial"/>
          <w:sz w:val="18"/>
          <w:szCs w:val="18"/>
          <w:color w:val="auto"/>
        </w:rPr>
        <w:t>”); provided, however, that the right to terminate is not available to any party whose action or failure to act has been a principal cause of or resulted in the failure of the transactions to occur on or before such date and such action or failure to act constitutes a breach of the Merger Agreement;</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either the Company or Sema4 if a governmental entity has issued an order or taken any other action, in any case having the effect of permanently restraining, enjoining or otherwise prohibiting the transactions contemplated by the Merger Agreement, including the Merger, which order or other action is final and nonappealable; or</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by either the Company or Sema4, if, at the Special Meeting (including any adjournments thereof), the required approvals are not duly adopted by the stockholders of the Company by the requisite vote under the DGCL and the organizational documents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89" w:lineRule="auto"/>
        <w:tabs>
          <w:tab w:leader="none" w:pos="6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by Sema4, upon a breach of any representation, warranty, covenant or agreement set forth in the Merger Agreement on the part of the Company or Merger Sub, or if any representation or warranty of the Company or Merger Sub must have become untrue, in either case such that the conditions set forth in the Merger Agreement would not be satisfied as of the time of such breach or as of the time such representation or warranty must have become untrue; provided, that if such breach by the Company or Merger Sub is curable by the Company or Merger Sub prior to the Closing, then the Company must first provide written notice of such breach and may not terminate the Merger Agreement until the earlier of: (i) 30 days after delivery of written notice from Sema4 to the Company of such breach; and (ii) the Outside Date; provided, further, that each of the Company and Merger Sub continues to exercise commercially reasonable efforts to cure such breach (it being understood that Sema4 may not terminate the Merger Agreement if: (A) it must have materially breached the Merger Agreement and such breach has not been cured; or (B) if such breach by the Company or Merger Sub is cured during such 30-day period); or</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Sema4, if the redemptions by the Company stockholders results in the trust account funds being insufficient to cover required payments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71" w:lineRule="auto"/>
        <w:tabs>
          <w:tab w:leader="none" w:pos="6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the Company, upon a breach of any representation, warranty, covenant or agreement set forth in the Merger Agreement on the part of Sema4 or if any representation or warranty of Sema4 must have become untrue, in either case such that the conditions set forth in the Merger Agreement would not be satisfied as of the time of such breach or as of the time such representation or warranty must have become untrue; provided, that if such breach is curable by Sema4 prior to the Closing, then the Company must first provide written notice of such breach and may not terminate the Merger Agreement until the earlier of: (i) 30 days after delivery of written notice from the Company to Sema4 of such breach; and (ii) the Outside Date; provided, further, that Sema4 continues to exercise commercially reasonable efforts to cure such breach (it being understood that the Company may not terminate the Merger Agreement if: (A) it must have materially breached the Merger Agreement and such breach has not been cured; or (B) if such breach by Sema4 is cured during such 30-day period);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the Company within twenty-four hours of February 11, 2021 if the Sema4 approval is not obtained by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event of termination of the Merger Agreement, such termination will be effective immediately upon the delivery of written notice of the terminating party to the other parties. If the Merger Agreement is validly terminated, the agreement will become void without any liability on the part of any of the parties, unless a party willfully breached the Merger Agreement or committed intentional fraud in the making of the representations and warranties in the Merger Agreement. However, the provisions concerning Sema4’s waiver of any claims against the Trust Account, confidentiality, termination and certain other technical provisions will continue in effect notwithstanding termination of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Merger Agreement may be amended by the parties at any time by execution of an instrument in writing signed on behalf of each of the parties; provided that, following the receipt of approval of the transactions contemplated by the Merger Agreement by the Sema4 stockholders, there shall be no amendment to the Merger Agreement (or any of the provisions hereof) which under the DGCL or other Applicable Legal Requirements would require further approval by the stockholders of Sema4 in accordance with the organizational documents of Sema4 without such approval.</w:t>
      </w:r>
    </w:p>
    <w:p>
      <w:pPr>
        <w:spacing w:after="0" w:line="117" w:lineRule="exact"/>
        <w:rPr>
          <w:sz w:val="20"/>
          <w:szCs w:val="20"/>
          <w:color w:val="auto"/>
        </w:rPr>
      </w:pPr>
    </w:p>
    <w:p>
      <w:pPr>
        <w:jc w:val="both"/>
        <w:ind w:left="660" w:hanging="328"/>
        <w:spacing w:after="0" w:line="290" w:lineRule="auto"/>
        <w:tabs>
          <w:tab w:leader="none" w:pos="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First Amendment: Immediately prior to entering into the Merger Agreement, Sema4 allocated “earnout” restricted stock units (“Earnout RSUs”) to certain employees, to be granted following the closing of the merger, with such Earnout RSUs representing the opportunity to participate in the earnout (to the extent achieved and subject to the cap on earnout shares to be issued). In the event any such Earnout RSUs are forfeited following the closing of the merger (e.g., an employee is no longer employed by Sema4), the Merger Agreement provides for a forfeiture pool in respect of the earnout shares that were originally allocated to such forfeited Earnout RSUs, with such earnout shares to instead become available for issuance to other Sema4 stockholders and remaining holders of Earnout RSUs in the event the earnout is achieved. Sema4’s accountants interpreted two sentences in the Merger Agreement to provide for issuance of shares out of the forfeiture pool regardless of whether the earnout is achieved. The amendment clarifies that any earnout deemed to be included in the forfeiture pool will only be issued if the earnout is actually achieved.</w:t>
      </w:r>
    </w:p>
    <w:p>
      <w:pPr>
        <w:spacing w:after="0" w:line="11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Second Amendment: In order to avoid any possibility for confusion about the number of shares of CM Life Sciences shares to be issued at closing, counsel for Sema4 has requested a modification to the definition of “Closing Number of Securities” contained in the Merger Agreement. Specifically, the pro forma number of shares authorized to be issued at closing needs to include “in-the-money” options per calculations on a treasury stock basis, which can be immediately exercised for shares. While the “Per Share Amount” and other defined terms take this into account, the “Closing Number of Securities” definition does not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do so. The amendment will address this point to avoid any possible confusion or inconsistencies. It is simply a clarification of the way options were intended to be treated consistent with the other provisions of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parties to the Merger Agreement agree that it may be difficult to prove damages with reasonable certainty or to procure suitable substitute performance, and that injunctive relief and/or specific performance will not cause an undue hardship to the parties. Each of the parties to the Merger Agreement therefore agree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Market Listing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Application will be made by the Company to have the shares of Company common stock to be issued in the merger approved for listing on Nasdaq, which is the principal trading market for existing shares of Company common stock. It is a condition to Sema4’s obligation to complete the merger that such approval is obtained, subject to official notice of issuance.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Sema4,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Business Combination are the result of negotiations among the representatives of CMLS and Sema4. The following is a brief description of the background of these negotiations and the resulting Business Combination.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CMLS is a blank check company incorporated in Delaware on July 10, 2020 and formed for the purpose of effecting a merger, capital stock exchange, asset acquisition, stock purchase, reorganization or similar business combination with one or more businesses. Our intention was to capitalize on the substantial deal sourcing, investing and operating expertise of our management team to identify and combine with one or more businesses in the life sciences industry, where there is an opportunity to create significant shareholder value by assisting companies in accessing the public markets to provide capital to facilitate the growth of their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4, 2020, we consummated our initial public offering (“IPO”) of 44,275,000 units, with each unit consisting of one share of Class A common stock and one warrant, generating total gross proceeds of $442,750,000. Prior to the consummation of our IPO, our Sponsor purchased 10,062,500 founder shares for an aggregate purchase price of $25,000, or approximately $0.002 per share. Simultaneously with the consummation of our IPO, we consummated the private sale of 7,236,667 warrants to our Sponsor and certain of our directors, each of which entitles the holder to purchase one share of CMLS Class A common stock at an exercise price of $11.50 per share, at a price of $1.50 per warrant, generating gross proceeds of approximately $10,855,000.</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consummation of our IPO, neither CMLS, nor anyone on its behalf, engaged in any substantive discussions, directly or indirectly, with any business combination target with respect to an initial business combination with CMLS.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After our IPO, our officers and directors began evaluating prospective businesses or assets to acquire in our initial business combination. Mr. Casdin was familiar with a number of companies that might be of interest to CLMS based upon his experience in the life sciences industry and representatives of CMLS were contacted by, and representatives of CMLS contacted, numerous individuals, financial advisors and other entities regarding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combination opportunities. Our officers and directors and their affiliates also provided advice regarding target business candidates.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this search process, CMLS and its board of directors considered and discussed approximately 20 potential business combination opportunities that were relevant in terms of sector and size. This group was narrowed down to a smaller group of high potential opportunities based on internal assessment of the companies’ operations, management teams and financial performance and prospects. Representatives of CMLS also discussed potential business combination opportunities with investment bankers and private equity sponsors who offered further insights on specific companies and the search process in general.</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CMLS sent draft letters of intent (each, an “LOI”) to four companies between September 19, 2021 and October 12, 2021, which included Sema4. LOI drafts were sent only to companies that CMLS felt were real prospects to partner with and who were also looking to transition to the public markets. In considering potential targets, CMLS focused on companies that had potential scientific or other business advantages in the markets in which they operate, had strong and experienced management teams or key personnel and were expected to offer attractive risk-adjusted equity returns for CMLS stockholders. CMLS also considered the potential targets’ overall knowledge of the sector within which they operate, any existing relationships that the CMLS board of directors had with management, the backgrounds and experience of the key personnel of the potential targets, the size and maturity of the potential targets, including if any were ready for the public markets, and the growth profile of the potential targets. CMLS continued to evaluate and have discussions with potential targets until execution of an LOI with Sema4 on January 22, 2021 as described below, which contained a binding exclusivity provision.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regards to the four companies to whom CMLS sent draft LOIs: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Company A was presented as a competitive bidding process by an investment bank engaged by Company A. Representatives of the investment bank informed CMLS of the valuation Company A was seeking in the transaction. CMLS’ management was familiar with the company and the founding CEO and submitted an LOI with the goal of completing a deeper due diligence review. CMLS was granted access to the data room and deeper due diligence meetings were conducted to discuss Company A, CMLS’ vision for the company, and the potential approach to working together. Company A ultimately decided to proceed with another SPAC business combination based on a significant strategic partnership opportunity.</w:t>
      </w:r>
    </w:p>
    <w:p>
      <w:pPr>
        <w:spacing w:after="0" w:line="138"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Company B was a company in which Casdin Capital had previously invested and an LOI was extended to complete deeper due diligence with a view to finalizing potential valuation terms. Potential terms were discussed with Company B and they moved ahead with an alternative transaction after multiple conversations about the future path for the company.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Company C was a company Casdin Capital had previously invested in. CMLS management concluded that the complexity of the transaction would be significant and there were significant timing risks that CMLS was not comfortable bearing.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parallel to the foregoing, CMLS was engaging with management of Sema4 as set forth below.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6, 2020, Eli D. Casdin, CEO of CMLS, and Shaun Rodriguez, Chief Strategy Officer of CMLS, contacted Eric Schadt, CEO of Sema4, in an introductory call to inquire about the status of Sema4, growth opportunities in the diagnostic sector and as to whether Sema4 might be interested in exploring access to the public markets in a business combination with CMLS.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5, 2020, Messrs. Casdin and Rodriguez hosted a dinner with Dr. Schadt to discuss Sema4, its current size, growth opportunities and Sema4’s interest in pursuing a transaction with CMLS. During this dinner, the parties discussed growth opportunities, competitive dynamics, strategic partnership ideas, considerations for valuation and information regarding CMLS.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Shortly thereafter, CMLS commenced working with Jefferies LLC (“Jefferies”) to provide market and financial advice on the potential transaction and the industry generally. Jefferies was familiar with CMLS as the underwriter for CMLS’s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11, 2020, CMLS’s board of directors held a meeting and the board was briefed on a number of possible targets from the life science tools and diagnostic sectors, including Sema4 and Companies A, B and C referred to above. The board’s discussion focused on the perceived “readiness” of the potential targets to formally pursue a SPAC merger and a public transition.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18, 2020, Keith Meister, Chairman of CMLS, Mr. Casdin and Mr. Rodriguez had a conversation with Dr. Schadt regarding Sema4’s business and the opportunities presented by a potential combination with CMLS.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25, 2020, a video and audio conference was held between representatives of CMLS, including Mr. Meister, Mr. Casdin, Mr. Rodriguez and other members of CMLS’s senior management team, and representatives of Sema4, including Dr. Schadt, James Coffin, Sema4’s President and Chief Operating Officer, Joel Sendek, Sema4’s Chief Financial Officer at the time, and other members of Sema4’s senior management team. During this conference, Sema4’s representatives went through a detailed overview of Sema4’s business.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29, 2020 and December 1, 2020, additional meetings took place between the CMLS team and the Sema4 leadership team to continue to respond to due diligence questions.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8, 2020, CMLS leadership was introduced to a subset of the Sema4 board to discuss CMLS’s vision and why the team believed this was the right transaction for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12, 2020, CMLS provided information and background materials to Sema4 on its management and Board, including materials regarding their experience in the life sciences industry, its capital and corporate structure in addition to a draft LOI in connection with seeking to further explore the potential for a business combination. The LOI outlined certain proposed terms for a possible business combination, including ascribing a pre-money equity value of $1.75 billion to Sema4; that sources of funds would be expected to include up to $443 million of cash available from the trust account and $300 million from existing Forward Purchase Agreements and from certain institutional investors under private placement agreements (the “PIPE transactions”). The merger consideration would be paid in a combination of up to $343 million cash consideration to sellers of Sema4, cash to the balance sheet and in shares of the Company’s common stock, at $10.00 per share.</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end of 2020, representatives of CMLS and Sema4 engaged in a number of discussions about the possibility of a combination between the two companies, and the possible terms of the LOI. CMLS engaged in additional due diligence at this time and, as a result of the discussions, concluded on an initial basis that a combination between CMLS and Sema4 presented strong prospects for CMLS’s shareholders. This initial conclusion was based on Sema4’s knowledge of the sector, the backgrounds and experience of Sema4’s key personnel, the size and maturity of the company, including its public market readiness, and the growth profile of the company.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30, 2020, following the above-referenced conversations between the parties, CMLS delivered an updated draft of the LOI to Sema4 and its representatives, including Goldman Sachs &amp; Co. LLC (“Goldman Sachs”). This draft of the LOI increased the pre-money equity value ascribed to Sema4 to $2 billion.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5 and January 6, 2021, Fenwick comments to the LOI noted that the valuation and associated cash figures remained subject to further business discussion. Fenwick’s comments also, among other changes, (a) limited the Sema4 seller lock-up to directors, executives and 1% holders; (b) proposed that sponsor shares and warrants be subject to certain forfeiture terms; (c) proposed a price-based earn-out in favor of Sema4 sellers; and (d) proposed more detail around certain terms of a proposed LTIP and ESPP.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CMLS returned a revised draft LOI with changes, among others, proposing different terms for the Sema4 seller earn-out shares, including number of trading days (30 consecutive trading days), measurement period (365 days) and price triggers, in each case, as more expressly set forth therein.</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14, 2021, the CMLS team and the Sema4 management team met virtually to discuss investor receptivity to their story at the JPMorgan Healthcare Conference. The meeting included Dr. Schadt, Dr. Coffin and Michelle Zimmerman, SVP &amp; GM of Oncology Solutions, from Sema4. The Sema4 investment banking team were represented and led by Bartosz Ostenda and included Hank Y. Yeh, Isaac Scott-Young, Lizzie H. Carr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Alexandria Brown. The Sema4 team reviewed the presentation they had been sharing with potential investors at the JPMorgan Healthcare Conference and talked about investor engagement and feedback from the previous few days.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21, 2021, based on the dialogue over the prior weeks, CMLS received additional comments to the LOI from Goldman Sachs and Fenwick, reflecting ongoing conversations between the parties. Comments included that the transaction be detailed in a proxy statement and shares registered in a private placement, versus a registration statement on Form S-4; that up to 33% of the Sponsor’s shares and warrants be subject to forfeiture based on a sliding scale detailed in the LOI, tied to redemptions from the Trust Account; and a 24 month period for the price-based earn-out, with Company share price tied to 20 out of 30 trading days during such period.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22, 2021, CMLS and Sema4 entered into the non-binding LOI with respect to the Business Combination, generally consistent with the terms that had been negotiated during the prior 24 days, but reserving or bracketing certain items to be further negotiated during the negotiation of definitive documentation, including (a) PIPE timing and (b) certain terms of the LTIP and ESPP. The LOI contained a binding mutual exclusivity provision for a period of up to 45 days from signing. In addition, on January 22, 2021, Dr. Schadt, the CMLS leadership team including Mr. Casdin and Mr. Meister and the some of the Sema4 board members including Andrew ElBardissi, David Windreich and Joshua Ruch met to discuss transaction strategy, merger and acquisition potential and the PIPE investor process.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24, 2021, CMLS’s board of directors held a board meeting and the board was advised by Mr. Meister, Mr. Casdin and Mr. Rodriguez that the LOI had been executed. At the meeting, the board discussed the valuation and other terms of the LOI, Sema4’s position in its industry sector, the backgrounds and experience of Sema4’s key personnel, the size and maturity of Sema4 and its operations, including its public market readiness, and the growth profile of Sema4.</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execution of the LOI, the parties and their respective legal counsels began to draft and negotiate the definitive agreements governing the transaction and on January 23, 2021 CMLS and its advisors commenced detailed due diligence on Sema4, including on documents provided by Sema4 as part of the diligence process. The parties also prepared an investor presentation for meetings with certain targeted PIPE investors.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25, 2021, CMLS’s and Sema4’s management, including Mr. Meister, Mr. Casdin and Dr. Schadt, began the PIPE investor information sessions, which continued over the next several days.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28, 2021 and over the next several weeks, representatives of CMLS’s team including, Mr. Casdin, Mr. Meister, Mr. Rodriguez and representatives of Sema4 including, Dr. Schadt, Kareem Saad, Sema4’s Chief Business Officer and Daniel Clark, Sema4’s General Counsel, held telephonic conferences and virtual meetings to discuss commercial, financial and legal elements of Sema4’s business. Representatives of CMLS and Sema4 also discussed product development initiatives and associated timelines and budget considerations, competitive dynamics, operational matters, and potential opportunities for strategic partnerships or acquisitions to accelerate growth strategy.</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7, 2021, CMLS’s board of directors held a board meeting via video conference to discuss the business combination, commitments and support from existing and prospective stockholders and the terms of the definitive agreements.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9, 2021, CMLS’s board of directors met via video conference and unanimously voted in favor of proceeding with the business combination with Sema4. The board of directors executed a unanimous written consent approving the definitive agreement, the Subscription Agreements, the Amendment of the CMLS Certificate of Incorporation and the transactions contemplated in the Business Combination.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2021, the parties entered into the business combination agreement and CMLS entered into the Subscription Agreements for the Private Placement. On February 10, 2021, CMLS and Sema4 issued a press release announcing the Business Combination and filed a Form 8-K announcing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Board of Directors’ Reasons for the Approval of the Business Combination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9, 2021, in reaching unanimous resolution (i) that the terms and conditions of the Merger Agreement and the business combination are advisable, fair to and in the best interests of the Company and its stockholders and (ii) to recommend that the stockholders adopt the Merger Agreement and approve the business combination,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business combination and all other information presented in this section is forward-looking in nature and, therefore, should be read in light of the factors discussed under the section entitled “Cautionary Statement Regarding Forward-Looking Statements.”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February 9, 2021, the Board of Directors considered the views of CMLS Management regarding the opportunity represented by the proposed transaction and the report from Management and the company’s legal counsel on the results of their due diligence of Sema4.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Public research on the life sciences industry and its prospects and review of Sema4’s historical financial performance and forecasts;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Conference call meetings with Sema4’s management and representatives regarding operations, company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Review of Sema4’s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prospectus for our IPO, we identified general criteria and guidelines that we believed would be considered in evaluating prospective target businesses, although we indicated we may enter into a business combination with a target business that does not meet these criteria and guidelines. The Board was of the view that Sema4 appeared to meet such criteria of having:</w:t>
      </w:r>
    </w:p>
    <w:p>
      <w:pPr>
        <w:spacing w:after="0" w:line="130"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Potential scientific or other business advantages or opportunities in the markets in which it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strong and experienced management teams or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potential to offer attractive risk-adjusted equity returns for our shareholders.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above and following material factors: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7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CFO Isaac Ro has over 20 years of financial leadership and experience, with a strong focus on the medical technology and life sciences space.</w:t>
      </w:r>
    </w:p>
    <w:p>
      <w:pPr>
        <w:spacing w:after="0" w:line="194" w:lineRule="exact"/>
        <w:rPr>
          <w:sz w:val="20"/>
          <w:szCs w:val="20"/>
          <w:color w:val="auto"/>
        </w:rPr>
      </w:pPr>
    </w:p>
    <w:p>
      <w:pPr>
        <w:ind w:left="66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adding members of CM Life’s Board to the board of Sema4</w:t>
      </w:r>
      <w:r>
        <w:rPr>
          <w:rFonts w:ascii="Arial" w:cs="Arial" w:eastAsia="Arial" w:hAnsi="Arial"/>
          <w:sz w:val="18"/>
          <w:szCs w:val="18"/>
          <w:color w:val="auto"/>
        </w:rPr>
        <w:t>. The Board considered that the addition of members of the CM Life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Sema4 board as part of the business combination will provide Sema4 with additional Board members experienced in the life sciences industry and with experience as member of the board of a public company.</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Familiarity of Management with Sema4</w:t>
      </w:r>
      <w:r>
        <w:rPr>
          <w:rFonts w:ascii="Arial" w:cs="Arial" w:eastAsia="Arial" w:hAnsi="Arial"/>
          <w:sz w:val="17"/>
          <w:szCs w:val="17"/>
          <w:color w:val="auto"/>
        </w:rPr>
        <w:t>. The fact that certain members of management of CMLS associated with Casdin Capital had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familiarity with Sema4 and the information about Sema4’s business and growth opportunities that was presented to the Board.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Business Combination represents an excellent opportunity for CM Life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based upon its view of the growth prospects and risks associated with Sema4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Terms of the Merger Agreement</w:t>
      </w:r>
      <w:r>
        <w:rPr>
          <w:rFonts w:ascii="Arial" w:cs="Arial" w:eastAsia="Arial" w:hAnsi="Arial"/>
          <w:sz w:val="18"/>
          <w:szCs w:val="18"/>
          <w:color w:val="auto"/>
        </w:rPr>
        <w:t>. The Board considered the terms and conditions of the Merger Agreement and the transactions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thereby, including the Business Combination. In particular the Board noted the limited number of conditions to closing of the business combination.</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PIPE Equity Commitment</w:t>
      </w:r>
      <w:r>
        <w:rPr>
          <w:rFonts w:ascii="Arial" w:cs="Arial" w:eastAsia="Arial" w:hAnsi="Arial"/>
          <w:sz w:val="18"/>
          <w:szCs w:val="18"/>
          <w:color w:val="auto"/>
        </w:rPr>
        <w:t>. A group of institutional investors and our Sponsor have committed approximately $350 million in PIPE subscriptions,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$255 million of which are from investors not associated with our Sponsor. This was viewed as support from institutional investors for the opportunities represented by the transaction, and provides for additional capital for the execution by Sema4 of its business plan after the transaction is completed.</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Sellers Retained Interest</w:t>
      </w:r>
      <w:r>
        <w:rPr>
          <w:rFonts w:ascii="Arial" w:cs="Arial" w:eastAsia="Arial" w:hAnsi="Arial"/>
          <w:sz w:val="18"/>
          <w:szCs w:val="18"/>
          <w:color w:val="auto"/>
        </w:rPr>
        <w:t>. Sema4’s shareholders’ retention of a large stake in the business combination shows ongoing commitment and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post-business combination company.</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Sema4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Liquidation of the Company</w:t>
      </w:r>
      <w:r>
        <w:rPr>
          <w:rFonts w:ascii="Arial" w:cs="Arial" w:eastAsia="Arial" w:hAnsi="Arial"/>
          <w:sz w:val="18"/>
          <w:szCs w:val="18"/>
          <w:color w:val="auto"/>
        </w:rPr>
        <w:t>. The risks and costs to the Company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the Company being unable to effect a business combination, forcing the Company to liquidate.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Stockholder Vote</w:t>
      </w:r>
      <w:r>
        <w:rPr>
          <w:rFonts w:ascii="Arial" w:cs="Arial" w:eastAsia="Arial" w:hAnsi="Arial"/>
          <w:sz w:val="17"/>
          <w:szCs w:val="17"/>
          <w:color w:val="auto"/>
        </w:rPr>
        <w:t>. The risk that the Company’s stockholders may fail to provide the votes necessary to effect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left="66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the Company’s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business combination, the business of the Company and the business of Sema4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“Risk Factors.”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Board also considered that certain of the officers and directors of the Company may have interests in the Business Combination as individuals that are in addition to, and that may be different from, the interests of the Company’s shareholders (see “The Business Combination — Interests of Certain Persons in the Business Combination”). The Company’s independent directors reviewed and considered these interests during the negotiation of the Business Combination and in evaluating and approving, as members of the Company Board, the Business Combination Agreement and the transactions contemplated therein, including the Business Combination.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business combination outweighed the potentially negative factors associated with the business combination. Accordingly, the Board unanimously determined that the Merger Agreement and the business combination were advisable, fair to, and in the best interests of, the Company and its stockholders.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Company Analysis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CMLS management’s review of the Business Combination included a comparable company analysis to assess the value that the public markets would likely ascribe to CMLS following a business combination with Sema4 and this analysis was shown to the CMLS Board. The comparable company analysis was prepared by CMLS management in consultation with Sema4’s management. The valuation analysis was based on public companies with diagnostic testing solutions in the areas of (1) women’s health and (2) oncology. The comparable companies were selected by CMLS as publicly traded companies having common characteristics with Sema4, which primarily derived its revenues as of the preparation of the analysis from testing in the areas of women’s health and oncology. The comparable companies in this analysis consisted of Progenity, Inc., Myriad Genetics, Inc., Natera, Inc., Invitae Corporation, Guardant Health, Inc., and NeoGenomics Laboratories, Inc. While these companies may share certain characteristics that are similar to those of Sema4, the CMLS Board did not consider any of these companies to be identical in nature to Sema4.</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Using the most recent publicly available information, CMLS management derived each comparable company’s one-year forward enterprise value to revenue multiple for 2021 and then developed an average multiple for each therapeutic area (women’s health and oncology). The average multiple for each therapeutic area is provided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Company</w:t>
            </w:r>
          </w:p>
        </w:tc>
        <w:tc>
          <w:tcPr>
            <w:tcW w:w="1800" w:type="dxa"/>
            <w:vAlign w:val="bottom"/>
          </w:tcPr>
          <w:p>
            <w:pPr>
              <w:jc w:val="right"/>
              <w:ind w:right="216"/>
              <w:spacing w:after="0"/>
              <w:rPr>
                <w:sz w:val="20"/>
                <w:szCs w:val="20"/>
                <w:color w:val="auto"/>
              </w:rPr>
            </w:pPr>
            <w:r>
              <w:rPr>
                <w:rFonts w:ascii="Arial" w:cs="Arial" w:eastAsia="Arial" w:hAnsi="Arial"/>
                <w:sz w:val="14"/>
                <w:szCs w:val="14"/>
                <w:b w:val="1"/>
                <w:bCs w:val="1"/>
                <w:color w:val="auto"/>
              </w:rPr>
              <w:t>EV / CY21 Revenue</w:t>
            </w:r>
          </w:p>
        </w:tc>
      </w:tr>
      <w:tr>
        <w:trPr>
          <w:trHeight w:val="229"/>
        </w:trPr>
        <w:tc>
          <w:tcPr>
            <w:tcW w:w="9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Women’s Health Comparable Companies (Progenity, Myriad Genetics, Natera)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7.9x</w:t>
            </w:r>
          </w:p>
        </w:tc>
      </w:tr>
      <w:tr>
        <w:trPr>
          <w:trHeight w:val="230"/>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Oncology Comparable Companies (Invitae, Guardant Health, NeoGenomics)</w:t>
            </w:r>
          </w:p>
        </w:tc>
        <w:tc>
          <w:tcPr>
            <w:tcW w:w="1800" w:type="dxa"/>
            <w:vAlign w:val="bottom"/>
          </w:tcPr>
          <w:p>
            <w:pPr>
              <w:jc w:val="right"/>
              <w:spacing w:after="0"/>
              <w:rPr>
                <w:sz w:val="20"/>
                <w:szCs w:val="20"/>
                <w:color w:val="auto"/>
              </w:rPr>
            </w:pPr>
            <w:r>
              <w:rPr>
                <w:rFonts w:ascii="Arial" w:cs="Arial" w:eastAsia="Arial" w:hAnsi="Arial"/>
                <w:sz w:val="18"/>
                <w:szCs w:val="18"/>
                <w:color w:val="auto"/>
              </w:rPr>
              <w:t>20.3x</w:t>
            </w: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CMLS management considered the projections provided by Sema4 and, in particular, Sema4’s projected revenues for 2021. Given the size and perceived growth potential of Sema4’s oncology business, CMLS management considered it appropriate to rely on the near term projected revenues for its valuation model. The average multiple for each therapeutic area was then applied to Sema4’s 2021 projected revenues within each respective solution to derive Sema4’s implied enterprise value. CMLS did include other revenue from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Biopharma solutions but did not include Sema4’s 2021 projected COVID-19 testing revenues based on its assessment that these revenues were not a core component of Sema4’s longer-term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Once Sema4’s implied enterprise value was derived, CMLS management applied a discount to reflect (1) recent and planned product launches in Sema4’s oncology business, and (2) the fact that the valuation of Natera, one of the comparable companies in the women’s health segment, is favorably impacted by its emerging oncology business while it was being used to value Sema4’s women’s health solution.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implied enterprise value is summarized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Solutions</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Enterprise Value</w:t>
            </w:r>
          </w:p>
        </w:tc>
      </w:tr>
      <w:tr>
        <w:trPr>
          <w:trHeight w:val="229"/>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Total Expected Enterprise Value (including Women’s Health, Oncology and Biopharma Solutions)</w:t>
            </w:r>
          </w:p>
        </w:tc>
        <w:tc>
          <w:tcPr>
            <w:tcW w:w="180" w:type="dxa"/>
            <w:vAlign w:val="bottom"/>
            <w:shd w:val="clear" w:color="auto" w:fill="BFE4FF"/>
          </w:tcPr>
          <w:p>
            <w:pPr>
              <w:spacing w:after="0"/>
              <w:rPr>
                <w:sz w:val="19"/>
                <w:szCs w:val="19"/>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2353</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 Discount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Total Adjusted</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w:t>
            </w: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results of this analysis (as described above) supported the CMLS Board’s determination, based on a number of factors, that the Business Combination was fair to and in the best interests of CMLS and its stockholders. Due to the forward-looking nature of this projected information, specific quantifications of the amounts that would be required to reconcile such projected information to GAAP measures are not available and CMLS’s management believes that it is not feasible to provide accurate forecasted non-GAAP reconciliations. Non-GAAP financial measures should not be considered in isolation from, or as a substitute for, financial information presented in compliance with GAAP, and non-GAAP financial measures may not be comparable to similarly titled amounts used by other companies.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Ernst &amp; Young LLP, Sema4’s independent auditors, has not audited, reviewed, examined, compiled nor applied agreed-upon procedures with respect to the accompanying projected financial information and, accordingly, Ernst &amp; Young LLP does not express an opinion or any other form of assurance with respect thereto. The Ernst &amp; Young LLP report included in this proxy statement/prospectus relates to Sema4’s previously issued financial statements. It does not extend to the projected financial information and should not be read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Sema4 Projected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does not as a matter of course make public projections as to future results. Sema4 provided its internally-derived forecasts, prepared in the first quarter of 2021, for each of the years in the four-year period ending December 31, 2023 to CMLS for use as a component of its overall evaluation of Sema4. Such projected financial information is included in this proxy statement because it was provided to the board of directors of CMLS for its evaluation of the Business Combination. Sema4’s projected financial information was not prepared with a view towards public disclosure or compliance with the published guidelines of the SEC or the guidelines established by the American Institute of Certified Public Accountants for preparation and presentation of prospective financial information. These projections were prepared solely for internal use, and were not intended for third-party use, including by investors or stockholders. You are cautioned not to rely on the projections in making a decision regarding the transaction, as the projections may differ materially from actual results.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projections reflect numerous assumptions, including general business, economic, market, regulatory and financial conditions, competitive uncertainties, and operational assumptions, all of which are difficult to predict and many of which are beyond Sema4’s control, such as the risks and uncertainties contained in the sections titled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Sema4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The projections also assume the timely consummation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financial projections for revenue and adjusted gross margin (%) provided to CMLS’s board of directors are forward-looking statements that are based on growth assumptions, which are inherently subject to significant uncertainties and contingencies, many of which are beyond Sema4’s control. There will be differences between actual and projected results, and actual results may be materially greater or materially less than those contained in the projections. While all projections are necessarily speculative, notably, statements regarding Sema4’s four-year business plan and yearly forecasts, and summary financial projections are, without limitation, subject to material assumptions regarding Sema4’s ability to increase the number of billable tests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achieve reimbursement for its tests from third-party payers, Sema4’s ability to successfully execute its technology and business development plans and growth strategy, Sema4’s ability to compete in rapidly developing markets, Sema4’s ability to demonstrate the clinical utility of and continue to commercialize its platforms including Centrellis and Traversa, and the continuation of favorable regulations affecting the markets in which the Sema4 operates. Sema4 cautions that its assumptions may not materialize and that market developments and economic conditions may render such assumptions, although believed reasonable at the time they were made, subject to greater uncertainty.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inclusion of the projections in this proxy statement should not be regarded as an indication that Sema4 or its representatives currently consider the projections to be a reliable prediction of actual future events, and reliance should not be placed on the projections to make a decision regarding the transaction.</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EXCEPT AS SET FORTH BELOW AND EXCEPT AS OTHERWISE REQUIRED BY APPLICABLE SECURITIES LAWS, SEMA4 DOES NOT INTEND TO MAKE PUBLICLY AVAILABLE ANY UPDATE OR OTHER REVISION TO THE PROJECTED FINANCIAL INFORMATION. THE PROJECTED FINANCIAL INFORMATION DOES NOT TAKE INTO ACCOUNT ANY CIRCUMSTANCES OR EVENTS OCCURRING AFTER THE DATE THAT INFORMATION WAS PREPARED. READERS OF THIS PROXY STATEMENT ARE CAUTIONED NOT TO RELY ON THE UNAUDITED PROJECTED FINANCIAL INFORMATION SET FORTH BELOW. NONE OF SEMA4, CMLS NOR ANY OF THEIR RESPECTIVE AFFILIATES, OFFICERS, DIRECTORS, ADVISORS OR OTHER REPRESENTATIVES HAS MADE OR MAKES ANY REPRESENTATION TO ANY SEMA4 STOCKHOLDER, CMLS STOCKHOLDER OR ANY OTHER PERSON REGARDING ULTIMATE PERFORMANCE COMPARED TO THE INFORMATION CONTAINED IN THE PROJECTED FINANCIAL INFORMATION OR THAT FINANCIAL AND OPERATING RESULTS WILL BE ACHIEVED.</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not made any representations or warranties regarding the accuracy, reliability, appropriateness or completeness of the projections to anyone, including CMLS. None of Sema4’s board of directors, officers, management or any other representative of Sema4 has made or makes any representation to any person regarding Sema4’s ultimate performance compared to the information contained in the projections, and, except as set forth below, none of them intends to or undertakes any obligation to update or otherwise revise the projections to reflect circumstances existing after the date when made or to reflect the occurrence of future events if any or all of the assumptions underlying the projections are shown to be in error. Accordingly, the projections should not be looked upon as “guidance” of any sort. Sema4 does not intend to refer back to these projections in its future periodic reports filed under the Exchange Act.</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projections were prepared by, and are the responsibility of, Sema4’s management. Ernst &amp; Young LLP, Sema4’s independent auditors, have not examined, compiled or otherwise applied procedures with respect to the accompanying projected financial information presented herein and, accordingly, expresses no opinion or any other form of assurance on it. The report of Ernst &amp; Young LLP included in this proxy statement relates to historical financial information of Sema4. It does not extend to the projections and should not be read as if it does. You are encouraged to review the financial statements of Sema4 included in this proxy statement, as well as the financial information provided in the section titled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of Sema4</w:t>
      </w:r>
      <w:r>
        <w:rPr>
          <w:rFonts w:ascii="Arial" w:cs="Arial" w:eastAsia="Arial" w:hAnsi="Arial"/>
          <w:sz w:val="17"/>
          <w:szCs w:val="17"/>
          <w:color w:val="auto"/>
        </w:rPr>
        <w:t>” in this proxy statement and to not rely on any single financial measure.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the projections provided to CMLS are summarized below (in millions of dollars,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2020E</w:t>
            </w:r>
            <w:r>
              <w:rPr>
                <w:rFonts w:ascii="Arial" w:cs="Arial" w:eastAsia="Arial" w:hAnsi="Arial"/>
                <w:sz w:val="18"/>
                <w:szCs w:val="18"/>
                <w:b w:val="1"/>
                <w:bCs w:val="1"/>
                <w:color w:val="auto"/>
                <w:vertAlign w:val="superscript"/>
              </w:rPr>
              <w:t>(1)</w:t>
            </w:r>
          </w:p>
        </w:tc>
        <w:tc>
          <w:tcPr>
            <w:tcW w:w="42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2021E</w:t>
            </w:r>
          </w:p>
        </w:tc>
        <w:tc>
          <w:tcPr>
            <w:tcW w:w="520" w:type="dxa"/>
            <w:vAlign w:val="bottom"/>
          </w:tcPr>
          <w:p>
            <w:pPr>
              <w:spacing w:after="0"/>
              <w:rPr>
                <w:sz w:val="18"/>
                <w:szCs w:val="18"/>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2022E</w:t>
            </w:r>
          </w:p>
        </w:tc>
        <w:tc>
          <w:tcPr>
            <w:tcW w:w="420" w:type="dxa"/>
            <w:vAlign w:val="bottom"/>
          </w:tcPr>
          <w:p>
            <w:pPr>
              <w:spacing w:after="0"/>
              <w:rPr>
                <w:sz w:val="18"/>
                <w:szCs w:val="18"/>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2023E</w:t>
            </w:r>
          </w:p>
        </w:tc>
      </w:tr>
      <w:tr>
        <w:trPr>
          <w:trHeight w:val="184"/>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5"/>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Adjusted gross margin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74"/>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ind w:left="340" w:right="360" w:hanging="332"/>
        <w:spacing w:after="0" w:line="255" w:lineRule="auto"/>
        <w:tabs>
          <w:tab w:leader="none" w:pos="33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In connection with the preparation and completion of Sema4’s 2020 year-end financial statements included elsewhere in this proxy statement, Sema4’s revenue for 2020 was revised to $179.3 million due to a change in estimates as a result of finalizing our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preparation and completion of Sema4’s 2020 year-end financial statements included elsewhere in this proxy statement, management of CMLS and management of Sema4 discussed the previously provided projected financial information for the 2021 to 2023 period, and Sema4 reaffirmed to CMLS all such prior projections as of May 6, 2021 (the date the 2020 year-end financial statements were finalized).</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Sema4’s forecasted financial information, which implied a 38% compound annual growth rate, or CAGR, in estimated revenue between 2021 and 2023, was prepared using a number of assumptions, including the following assumptions that Sema4’s management believed to be material:</w:t>
      </w:r>
    </w:p>
    <w:p>
      <w:pPr>
        <w:spacing w:after="0" w:line="92" w:lineRule="exact"/>
        <w:rPr>
          <w:sz w:val="20"/>
          <w:szCs w:val="20"/>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Sema4’s projected diagnostic test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Women’s Health revenue continuing to support Sema4’s financial base and growing at a double-digit CAGR between 2021 and 2023, based on the continued strength of Sema4’s genomic testing solutions;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Oncology revenue increasing at greater than 100% CAGR from 2021 to 2023, to approximately 27% of estimated revenue in 2023.</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Sema4’s projected other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100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Increasing pharmaceutical and biotech partnership revenue driven by large strategic partnerships, with revenue from these partnerships increasing to approximately 18% of estimated revenue in 2023;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Emerging secondary insights revenue starting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Nasdaq rules require that the Company’s initial business combination must occur with one or more operating businesses or assets with a fair market value equal to at least 80% of the net assets held in the Trust Account (net of amounts disbursed to management for working capital purposes and excluding the amount of any deferred underwriting discount held in the Trust Account) at the time of the Company’s signing a definitive agreement in connection with its initial business combination. As of February 9, 2021, the date of the execution of the Merger Agreement, the value of the net assets held in the Trust Account was approximately $442,750,000 million and 80% thereof represents approximately $354,200,000 million. In reaching its conclusion that the merger meets the 80% asset test, the Company’s board of directors used as a fair market value the enterprise value of approximately $2 billion, which was implied based on the terms of the transactions agreed to by the parties in negotiating the Merger Agreement. In determining whether the enterprise value described above represents the fair market value of Sema4, the Company’s board of directors considered all of the factors described in this section and the section of this proxy statement entitled “</w:t>
      </w:r>
      <w:r>
        <w:rPr>
          <w:rFonts w:ascii="Arial" w:cs="Arial" w:eastAsia="Arial" w:hAnsi="Arial"/>
          <w:sz w:val="16"/>
          <w:szCs w:val="16"/>
          <w:i w:val="1"/>
          <w:iCs w:val="1"/>
          <w:color w:val="auto"/>
        </w:rPr>
        <w:t>Proposal No. 1 — Approval of the Business Combination — The Merger Agreement</w:t>
      </w:r>
      <w:r>
        <w:rPr>
          <w:rFonts w:ascii="Arial" w:cs="Arial" w:eastAsia="Arial" w:hAnsi="Arial"/>
          <w:sz w:val="16"/>
          <w:szCs w:val="16"/>
          <w:color w:val="auto"/>
        </w:rPr>
        <w:t>” and the fact that the purchase price for Sema4 was the result of an arm’s length negotiation. As a result, the Company’s board of directors concluded that the fair market value of the business acquired was significantly in excess of 80% of the net assets held in the Trust Account.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fact that, in connection with the Closing of our initial public offering, our Sponsor and certain of the Company’s directors (the “Private Placement Purchasers”) purchased an aggregate of 7,236,667 private placement warrants at a price of $1.50 per private placement warrant, and that if we do not consummate a business combination transaction by the applicable deadline, then the proceeds from the sale of the private placement warrants will be part of the liquidating distribution to the public stockholders and the warrants held by the Private Placement Purchasers will be worthless;</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fact that Joshua Ruch, Michael Pellini and Rachel Sherman may join as board members of the post-combination company (dependent on the approval of the Director Election Proposal) and Nat Turner, Emily Leproust and Eli D. Casdin will continue as board members of the post-combination company, and each shall be entitled to receive compensation for serving on the board of directors of the post-combination company;</w:t>
      </w:r>
    </w:p>
    <w:p>
      <w:pPr>
        <w:spacing w:after="0" w:line="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right="500" w:firstLine="324"/>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Potential Purchases of Public Shares</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Sponsor or the Company’s or Sema4’s directors, officers or advisors, or any of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such stockholder, for so long as it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record holder of the shares in question, will vote in favor of the proposals presented at the special meeting and/or will not exercise its redemption rights with respect to the shares so purchased. The purpose of such share purchases and other transactions would be to increase the likelihood of that the proposals to be voted upon at the special meeting are approved by the requisite number of votes. In the event that such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None of the Company’s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It is anticipated that, upon completion of the Business Combination, assuming no redemptions: (i) the Company’s public stockholders will retain an ownership interest of approximately 18.6% in the post-combination company (not including shares beneficially owned by our Sponsor); (ii) the PIPE Investors will own approximately 12.2% of the post-combination company (such that public stockholders, including PIPE Investors, will own approximately 30.8% (adding the foregoing 2 subsets) of the post-combination company); (iii) our Initial Stockholders (including our Sponsor) will own approximately 4.6% (excluding warrants) of the post-combination company; and (iv) the former Sema4 equity holders are expected to hold, in the aggregate, approximately 64.6% of the issued and outstanding shares of the post-combination company. The foregoing percentages do not assume the issuance of 29,120,955 shares of Company common stock that will at Closing be subject to stock options and RSUs,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The ownership percentage with respect to the post-combination company following the Business Combination does not take into account (a) warrants to purchase common stock that will remain outstanding immediately following the Business Combination, (b) the issuance of Earn-Out Shares to the Sema4 equity holders should the earn-out conditions in the Merger Agreement be satisfied or (c)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Impact of the Business 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Business Combination (all numbers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Sources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w w:val="78"/>
              </w:rPr>
              <w:t>Uses</w:t>
            </w:r>
            <w:r>
              <w:rPr>
                <w:rFonts w:ascii="Arial" w:cs="Arial" w:eastAsia="Arial" w:hAnsi="Arial"/>
                <w:sz w:val="18"/>
                <w:szCs w:val="18"/>
                <w:b w:val="1"/>
                <w:bCs w:val="1"/>
                <w:color w:val="auto"/>
                <w:w w:val="78"/>
                <w:vertAlign w:val="superscript"/>
              </w:rPr>
              <w:t>(1)</w:t>
            </w:r>
          </w:p>
        </w:tc>
        <w:tc>
          <w:tcPr>
            <w:tcW w:w="200" w:type="dxa"/>
            <w:vAlign w:val="bottom"/>
            <w:tcBorders>
              <w:bottom w:val="single" w:sz="8" w:color="auto"/>
            </w:tcBorders>
          </w:tcPr>
          <w:p>
            <w:pPr>
              <w:spacing w:after="0"/>
              <w:rPr>
                <w:sz w:val="18"/>
                <w:szCs w:val="18"/>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Seller Rollover</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Additional PIPE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 Cash in Trust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Cash on Balance Sheet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Repayment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Seller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Estimated Transaction Costs &amp; Expenses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Amounts reflected in the table are estimates based on certain assumptions of CMLS’s and Sema4’s respective management teams as of March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post-combination company’s board of directors following the Closing:</w:t>
      </w:r>
    </w:p>
    <w:p>
      <w:pPr>
        <w:spacing w:after="0" w:line="171"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Nat Turner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Emily Leproust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Eli D. Casdin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Eric Schadt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Michael Pellini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Jason Ryan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Joshua Ruch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Rachel Sherman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Dennis Charney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the Merger Agreement, upon the Closing, our current certificate of incorporation will be amended promptly to:</w:t>
      </w:r>
    </w:p>
    <w:p>
      <w:pPr>
        <w:spacing w:after="0" w:line="17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 of the post-combination company after the Business Combination will be Sema4 Holdings Corp and our headquarters will be located at 333 Ludlow Street, Stamford, Connecticut 06902.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our current certificate of incorporation, holders of public shares may elect to have their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million following payment of redemptions and CMLS and Sema4 transaction costs.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the Company will be treated as the “acquired” company for financial reporting purposes. Accordingly, for accounting purposes, the Business Combination will be treated as the equivalent of Sema4 issuing stock for the net assets of the Company, accompanied by a recapitalization whereby no goodwill or other intangible assets are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 for Public Stockholders Exercising 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is a discussion of certain material U.S. federal income tax considerations for our public stockholders that elect to have their common stock that are public shares redeemed for cash if the Business Combination is completed. This discussion applies only to public shares that are held as a “capital asset” for U.S. federal income tax purposes (generally, property held for investment). This discussion does not describe all of the U.S. federal income tax consequences that may be relevant to any particular holder based on such holder’s particular circumstances, including the alternative minimum tax and the Medicare tax on net investment income, and the different consequences that may apply to holders that are subject to special rules under U.S. federal income tax law, such as:</w:t>
      </w:r>
    </w:p>
    <w:p>
      <w:pPr>
        <w:spacing w:after="0" w:line="138"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5% or more (by vote or value) of our shares;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persons holding common stock as part of a “straddle,” constructive sale, hedge, conversion or other integrated transaction or similar transaction;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and corporations that accumulate earnings to avoid U.S. federal income tax;</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partnership (or an entity or arrangement treated as a partnership or other pass-through entity for U.S. federal income tax purposes) holds shares of common stock that are public shares, the U.S. federal income tax treatment of the partners (or other beneficial owners) in the partnership or other pass-through entity generally will depend on the status and activities of the partners (or other beneficial owners) and the activities of the partnership or other pass-through entity. If you are a partner (or other beneficial owner) in such a partnership or other pass-through entity holding shares of common stock, you are urged to consult your tax advisor regarding the tax consequences of a redemption of shares of common stock that are public shares.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proxy statement may affect the tax consequences described herein. This discussion does not address any aspect of state, local or non-U.S. taxation, or any U.S. federal taxes other than income taxes (such as gift and estate taxes).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REDEMPTION OF SHARES OF COMMON STOCK BY PUBLIC STOCKHOLDERS. EACH INVESTOR IN SHARES OF COMMON STOCK IS URGED TO CONSULT ITS OWN TAX ADVISOR WITH RESPECT TO THE PARTICULAR TAX CONSEQUENCES TO SUCH INVESTOR OF THE REDEMPTION OF SHARES OF COMMON STOCK, INCLUDING THE APPLICABILITY AND EFFECT OF ANY U.S. FEDERAL NON-INCOME, STATE, LOCAL, AND NON-U.S. TAX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a public stockholder’s shares of common stock are redeemed pursuant to the redemption provisions described in this proxy statement under the section entitled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 the treatment of the redemption for U.S. federal income tax purposes will depend on whether the redemption qualifies as a sale of shares of common stock under Section 302 of the Code. If the redemption qualifies as a sale of shares of common stock, a U.S. holder (as defined below) will be treated as described below under the section entitled “</w:t>
      </w:r>
      <w:r>
        <w:rPr>
          <w:rFonts w:ascii="Arial" w:cs="Arial" w:eastAsia="Arial" w:hAnsi="Arial"/>
          <w:sz w:val="18"/>
          <w:szCs w:val="18"/>
          <w:i w:val="1"/>
          <w:iCs w:val="1"/>
          <w:color w:val="auto"/>
        </w:rPr>
        <w:t>U.S. Holders —</w:t>
      </w:r>
      <w:r>
        <w:rPr>
          <w:rFonts w:ascii="Arial" w:cs="Arial" w:eastAsia="Arial" w:hAnsi="Arial"/>
          <w:sz w:val="18"/>
          <w:szCs w:val="18"/>
          <w:color w:val="auto"/>
        </w:rPr>
        <w:t xml:space="preserve"> </w:t>
      </w:r>
      <w:r>
        <w:rPr>
          <w:rFonts w:ascii="Arial" w:cs="Arial" w:eastAsia="Arial" w:hAnsi="Arial"/>
          <w:sz w:val="18"/>
          <w:szCs w:val="18"/>
          <w:i w:val="1"/>
          <w:iCs w:val="1"/>
          <w:color w:val="auto"/>
        </w:rPr>
        <w:t>Taxation of Redemption Treated as a Sale of Common Stock</w:t>
      </w:r>
      <w:r>
        <w:rPr>
          <w:rFonts w:ascii="Arial" w:cs="Arial" w:eastAsia="Arial" w:hAnsi="Arial"/>
          <w:sz w:val="18"/>
          <w:szCs w:val="18"/>
          <w:color w:val="auto"/>
        </w:rPr>
        <w:t>,” and a Non-U.S. holder (as defined below) will be treated as described under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Non-U.S. Holders —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of Redemption Treated as a Sale of Common Stock</w:t>
      </w:r>
      <w:r>
        <w:rPr>
          <w:rFonts w:ascii="Arial" w:cs="Arial" w:eastAsia="Arial" w:hAnsi="Arial"/>
          <w:sz w:val="18"/>
          <w:szCs w:val="18"/>
          <w:color w:val="auto"/>
        </w:rPr>
        <w:t>.” If the redemption does not qualify as a sale of shares of common stock, a holder will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a corporate distribution, with the tax consequences to a U.S. holder described below under the section entitled “</w:t>
      </w:r>
      <w:r>
        <w:rPr>
          <w:rFonts w:ascii="Arial" w:cs="Arial" w:eastAsia="Arial" w:hAnsi="Arial"/>
          <w:sz w:val="18"/>
          <w:szCs w:val="18"/>
          <w:i w:val="1"/>
          <w:iCs w:val="1"/>
          <w:color w:val="auto"/>
        </w:rPr>
        <w:t>U.S. Holders — Taxation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Treated as a Distribution</w:t>
      </w:r>
      <w:r>
        <w:rPr>
          <w:rFonts w:ascii="Arial" w:cs="Arial" w:eastAsia="Arial" w:hAnsi="Arial"/>
          <w:sz w:val="18"/>
          <w:szCs w:val="18"/>
          <w:color w:val="auto"/>
        </w:rPr>
        <w:t>,” and the tax consequences to a Non-U.S. holder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a redemption of shares of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the PIPE Investment) relative to all of our shares outstanding both before and after the redemption. The redemption of common stock generally will be treated as a sale of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common stock which could be acquired pursuant to the exercise of the warrants. Moreover, any of our stock that a holder directly or constructively acquires pursuant to the Business Combination or the PIPE Investment should be included in determining the U.S. federal income tax treatment of the redemption.</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holder immediately following the redemption of shares of common stock must, among other requirements, be less than 80% of the percentage of our outstanding voting stock actually and constructively owned by the holder immediately before the redemption (taking into account both redemptions by other holders of common stock and the common stock to be issued pursuant to the Business Combination).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shares of our stock (including any stock constructively owned by the holder as a result of owning warrants). The redemption of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none of the foregoing tests is satisfied, then the redemption of shares of common stock will be treated as a corporate distribution to the redeemed holder and the tax effects to such U.S. holder will be as described below under the section entitled “</w:t>
      </w:r>
      <w:r>
        <w:rPr>
          <w:rFonts w:ascii="Arial" w:cs="Arial" w:eastAsia="Arial" w:hAnsi="Arial"/>
          <w:sz w:val="18"/>
          <w:szCs w:val="18"/>
          <w:i w:val="1"/>
          <w:iCs w:val="1"/>
          <w:color w:val="auto"/>
        </w:rPr>
        <w:t>U.S. Holders — Taxation of Redemption Treated as a</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and the tax effects to such Non-U.S. holder will be as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 After the application of those rules, any remaining tax basis of the holder in the redeemed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added to the holder’s adjusted tax basis in its remaining stock, or, if it has none, to the holder’s adjusted tax basis in its warrants or possibly in other stock constructively owned by it.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should consult with its own tax advisors as to the tax consequences of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U.S. holder</w:t>
      </w:r>
      <w:r>
        <w:rPr>
          <w:rFonts w:ascii="Arial" w:cs="Arial" w:eastAsia="Arial" w:hAnsi="Arial"/>
          <w:sz w:val="18"/>
          <w:szCs w:val="18"/>
          <w:color w:val="auto"/>
        </w:rPr>
        <w:t>.” A U.S. holder is a public stockholder that is a beneficial owner of our shares of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redemption of a U.S. holder’s shares of common stock is treated as a distribution,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the amount of cash received in the redemption generally will constitute a dividend for U.S. federal income tax purposes to the extent paid</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of the common stock and will be treated as described below under the section entitled “</w:t>
      </w:r>
      <w:r>
        <w:rPr>
          <w:rFonts w:ascii="Arial" w:cs="Arial" w:eastAsia="Arial" w:hAnsi="Arial"/>
          <w:sz w:val="16"/>
          <w:szCs w:val="16"/>
          <w:i w:val="1"/>
          <w:iCs w:val="1"/>
          <w:color w:val="auto"/>
        </w:rPr>
        <w:t>U.S. Holders — Taxation of Redemption Treated as a Sale of Common Stock</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tax at reduced tax rates accorded to long-term capital gains. It is unclear whether the redemption rights with respect to the common stock described in this proxy statement may prevent a U.S. holder from satisfying the applicable holding period requirements with respect to the dividends received deduction or the reduced tax rates on qualified dividend income, as the case may be. If the holding period requirements are not satisfied, then U.S. corporate holders may not be able to qualify for the dividends received deduction and would have taxable income equal to the entire dividend amount, and non-corporate U.S. holders may be subject to tax on such dividend at regular ordinary income tax rates instead of the reduced tax rates that apply to qualified dividend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redemption of a U.S. holder’s shares of common stock is treated as a sale, as discussed above under the section entitled “</w:t>
      </w:r>
      <w:r>
        <w:rPr>
          <w:rFonts w:ascii="Arial" w:cs="Arial" w:eastAsia="Arial" w:hAnsi="Arial"/>
          <w:sz w:val="17"/>
          <w:szCs w:val="17"/>
          <w:i w:val="1"/>
          <w:iCs w:val="1"/>
          <w:color w:val="auto"/>
        </w:rPr>
        <w:t>Redemption of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 U.S. holder generally will recognize capital gain or loss in an amount equal to the difference between the amount realized and the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tax basis in the shares of common stock redeemed.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 may suspend the running of the applicable holding period for this purpose. Long-term capital gains recognized by non-corporate U.S. holders may be eligible to be taxed at reduced rates. If the running of the holding period for the shares of common stock is suspended, then non-corporate U.S. holders may not be able to satisfy the one-year holding period requirement for long-term capital gain treatment, in which case any gain on the sale of the shares of common stock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sale and (ii) the U.S. holder’s adjusted tax basis in its common stock so disposed of. A U.S. holder’s adjusted tax basis in its common stock generally will equal the U.S. holder’s acquisition cost less any prior distributions paid to the U.S. holder with respect to its shares of common stock that were treated as a return of capital.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Backup withholding is not an additional tax. Any amounts withheld under the backup withholding rules will be allowed as a credit against a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Non-U.S. holder.</w:t>
      </w:r>
      <w:r>
        <w:rPr>
          <w:rFonts w:ascii="Arial" w:cs="Arial" w:eastAsia="Arial" w:hAnsi="Arial"/>
          <w:sz w:val="18"/>
          <w:szCs w:val="18"/>
          <w:color w:val="auto"/>
        </w:rPr>
        <w:t>” A Non-U.S. holder is a public stockholder that is a beneficial owner of our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redemption. If you are such an individual, you should consult your tax advisor regarding the U.S. federal income tax consequences of a redemption of the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our redemption of a Non-U.S. holder’s shares of common stock is treated as a distribution, as discussed above under the section entitled “</w:t>
      </w:r>
      <w:r>
        <w:rPr>
          <w:rFonts w:ascii="Arial" w:cs="Arial" w:eastAsia="Arial" w:hAnsi="Arial"/>
          <w:sz w:val="17"/>
          <w:szCs w:val="17"/>
          <w:i w:val="1"/>
          <w:iCs w:val="1"/>
          <w:color w:val="auto"/>
        </w:rPr>
        <w:t>Redemption of Common Stock</w:t>
      </w:r>
      <w:r>
        <w:rPr>
          <w:rFonts w:ascii="Arial" w:cs="Arial" w:eastAsia="Arial" w:hAnsi="Arial"/>
          <w:sz w:val="17"/>
          <w:szCs w:val="17"/>
          <w:color w:val="auto"/>
        </w:rPr>
        <w:t>,” such the amount of cash received in the redemption generally will constitute a dividend for U.S. federal income tax purposes to the extent paid out of our current or accumulated earnings and profits (as determined under U.S. federal income tax principles)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Distributions in excess of our current and accumulated earnings and profits will constitute a return of capital that will be applied against and reduce (but not below zero) the Non-U.S. holder’s adjusted tax basis in its shares of common stock. Any remaining excess will be treated as gain realized on the sale of the common stock and will be treated as described below under the section entitled “</w:t>
      </w:r>
      <w:r>
        <w:rPr>
          <w:rFonts w:ascii="Arial" w:cs="Arial" w:eastAsia="Arial" w:hAnsi="Arial"/>
          <w:sz w:val="17"/>
          <w:szCs w:val="17"/>
          <w:i w:val="1"/>
          <w:iCs w:val="1"/>
          <w:color w:val="auto"/>
        </w:rPr>
        <w:t>Non-U.S. Holders — Taxation of Redemption Treated as a Sale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agent may not be able to determine whether (or to what extent) a Non-U.S. holder is treated as receiving a dividend for U.S. federal income tax purposes. Therefore, we or the applicable withholding agent may withhold tax at a rate of 30% (or such lower applicable tax rate as may be specified by an applicable income tax treaty) on the gross amount of any consideration paid to a Non-U.S. holder in redemption of such Non-U.S. holder’s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8"/>
          <w:szCs w:val="18"/>
          <w:i w:val="1"/>
          <w:iCs w:val="1"/>
          <w:color w:val="auto"/>
        </w:rPr>
        <w:t>Redemption of Common Stock</w:t>
      </w:r>
      <w:r>
        <w:rPr>
          <w:rFonts w:ascii="Arial" w:cs="Arial" w:eastAsia="Arial" w:hAnsi="Arial"/>
          <w:sz w:val="18"/>
          <w:szCs w:val="18"/>
          <w:color w:val="auto"/>
        </w:rPr>
        <w:t>”). However, there can be no assurance that we or any applicable withholding agent will establish such special certification procedures. If we or an 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our redemption of a Non-U.S. holder’s shares of common stock is treated as a sale,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subject to the discussions of FATCA (as defined below) and backup withholding below, a Non-U.S. holder generally will not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or withholding tax in respect of gain recognized in connection with such redemption of common stock, unless:</w:t>
      </w:r>
    </w:p>
    <w:p>
      <w:pPr>
        <w:spacing w:after="0" w:line="95" w:lineRule="exact"/>
        <w:rPr>
          <w:sz w:val="20"/>
          <w:szCs w:val="20"/>
          <w:color w:val="auto"/>
        </w:rPr>
      </w:pPr>
    </w:p>
    <w:p>
      <w:pPr>
        <w:ind w:left="660" w:right="20" w:hanging="328"/>
        <w:spacing w:after="0" w:line="308" w:lineRule="auto"/>
        <w:tabs>
          <w:tab w:leader="none" w:pos="6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92" w:lineRule="exact"/>
        <w:rPr>
          <w:rFonts w:ascii="Arial" w:cs="Arial" w:eastAsia="Arial" w:hAnsi="Arial"/>
          <w:sz w:val="17"/>
          <w:szCs w:val="17"/>
          <w:color w:val="auto"/>
        </w:rPr>
      </w:pPr>
    </w:p>
    <w:p>
      <w:pPr>
        <w:jc w:val="both"/>
        <w:ind w:left="660" w:hanging="328"/>
        <w:spacing w:after="0" w:line="271" w:lineRule="auto"/>
        <w:tabs>
          <w:tab w:leader="none" w:pos="6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the redemption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redemption or such Non-U.S. holder’s holding period for the shares of our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In the event the Non-U.S. holder is treated as a corporation for U.S. federal income tax purposes, such gain may also be subject to an additional “branch profits tax” imposed at a 30% rate (or a lower applicable treaty rate).If the second bullet point above applies to a Non-U.S. holder, gain recognized by such holder in connection with a redemption treated as a sale will be subject to tax at generally applicable U.S. federal income tax rates. In addition, we may be required to withhold U.S. federal income tax at a rate of 15% of the amount realized upon such redemption. We believe that we are not and have not been at any time since our formation a United States real property holding corporation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right="2040"/>
        <w:spacing w:after="0" w:line="438" w:lineRule="auto"/>
        <w:rPr>
          <w:sz w:val="20"/>
          <w:szCs w:val="20"/>
          <w:color w:val="auto"/>
        </w:rPr>
      </w:pPr>
      <w:r>
        <w:rPr>
          <w:rFonts w:ascii="Arial" w:cs="Arial" w:eastAsia="Arial" w:hAnsi="Arial"/>
          <w:sz w:val="18"/>
          <w:szCs w:val="18"/>
          <w:color w:val="auto"/>
        </w:rPr>
        <w:t xml:space="preserve">do not expect to be a United States real property holding corporation immediately after the Business Combination is completed. </w:t>
      </w:r>
      <w:r>
        <w:rPr>
          <w:rFonts w:ascii="Arial" w:cs="Arial" w:eastAsia="Arial" w:hAnsi="Arial"/>
          <w:sz w:val="18"/>
          <w:szCs w:val="18"/>
          <w:i w:val="1"/>
          <w:iCs w:val="1"/>
          <w:color w:val="auto"/>
        </w:rPr>
        <w:t>Information Reporting and Backup Withholding</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must report annually to the IRS and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of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Non-U.S.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that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 Taxes.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Sections 1471 to 1474 of the Code (such Sections commonly referred to as the Foreign Account Tax Compliance Act, or “</w:t>
      </w:r>
      <w:r>
        <w:rPr>
          <w:rFonts w:ascii="Arial" w:cs="Arial" w:eastAsia="Arial" w:hAnsi="Arial"/>
          <w:sz w:val="17"/>
          <w:szCs w:val="17"/>
          <w:i w:val="1"/>
          <w:iCs w:val="1"/>
          <w:color w:val="auto"/>
        </w:rPr>
        <w:t>FATCA</w:t>
      </w:r>
      <w:r>
        <w:rPr>
          <w:rFonts w:ascii="Arial" w:cs="Arial" w:eastAsia="Arial" w:hAnsi="Arial"/>
          <w:sz w:val="17"/>
          <w:szCs w:val="17"/>
          <w:color w:val="auto"/>
        </w:rPr>
        <w:t>”) impose a 30% withholding tax on payments of dividends (including constructive dividends received pursuant to a redemption of stock)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to the payee (typically certified as to by the delivery of a properly completed IRS Form W-8BEN-E). If FATCA withholding is imposed, a beneficial owner that is not a foreign financial institution generally will be able to obtain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determinable, annual or periodic income. Although these proposed Treasury regulations are not final, taxpayers generally may rely on them until final Treasury regulations are issued. Non-U.S. holders should consult their tax advisors regarding the possible implications of FATCA on a redemption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Antitrust Division makes a Second Request,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is conditioned on the approval of the Business Combination Proposal, the Nasdaq Stock Issuance Proposal, the Charter Approval Proposal, the ESPP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3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As of the record date, our Sponsor, directors and officers own approximately 20% of our issued and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BUSINESS COMBINATION 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NASDAQ STOCK ISSUANCE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Assuming the Business Combination Proposal is approved, we are asking our stockholders to approve, for purposes of complying with applicable listing rules of Nasdaq, the issuance of more than 20% of the Company’s outstanding common stock in connection with the Business Combination, including the issuances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Sema4 equity holders under Merger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Earnout RSUs (as described below), which Earnout RSUs are subject to vesting and will not be legally issued and outstanding shares of Company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upon the terms and subject to the conditions set forth in the Merger Agreement and other related agreements: (i) upon the occurrence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described below) as in effect as of such date and that would have been issuable to Sema4 Stockholders as a result of the occurrence of a Triggering Event had they not been made subject to an award of Earnout RSUs.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Earnout RSUs will be subject to additional service-based vesting requirements, including but not limited to a requirement that the applicable Earn-Out Service Provider remain employed through the occurrence of the applicable Triggering Event. In the event that an Earn-Out Service Provider does not satisfy such vesting requirements, the Earn-Out Service Provider’s Earnout RSUs will be forfeited and the Earn-Out Shares subject to such Earnout RSUs will accumulate in the “Forfeiture Pool” until such time as they become issuable pursuant to the Merger Agreement as a result of the occurrence of a Triggering Event. Each grant of Earnout RSUs will encompass the applicable Earn-Out Service Provider’s opportunity to be issued Earn-Out Shares from the Forfeiture Pool, subject to the Earn-Out Service Provider remaining employed through the last day of the calendar year on which such Earn-Out Shares are issued. It is anticipated that the Earnout RSUs will be granted after the Closing, following the Company’s filing of a registration statement on Form S-8.</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used to repurchase shares from Sema4 equity holders will remain on the balance sheet of the combined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PIPE Investors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in private placements to close immediately prior to the Closing, an aggregate of 35,000,000 shares of common stock at $10.00 per share to the PIPE Investors, for an aggregate purchase price of $350,000,000.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issuance of common stock or other securities convertible into or exercisable for common stock, in connection with the acquisition of the stock or assets of another company, if such securities are not issued in a public offering and (i) the common stock has, or will have upon issuance, voting power equal to or in excess of 20% of the voting power outstanding before the issuance of such securities, or (ii) the number of shares of common stock to be issued is or will be equal to or in excess of 20% of the number of shares of common stock outstanding before the issuance of such securities.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pursuant to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preceding the signing of the binding agreement or (ii) the average closing price of the common stock for the given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described above, upon the consummation of the Business Combination, we expect to issue (1) up to 147,922,735 shares of our common stock to the Sema4 equity holders in accordance with the terms and subject to the conditions of the Merger Agreement, and (2) 35,000,000 shares of our common stock in the PIPE Investment, in accordance with the terms and subject to the conditions of the Subscription Agreements. Accordingly, the aggregate number of shares of our common stock that we will issue in connection with the Business Combination will exceed 20% of both the voting power and the number of shares of common stock outstanding before such issuance, and for this reason, we are seeking the approval of our stockholders for the issuance of shares of our common stock pursuant to the Merger Agreement and the PIPE Investment.</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event that this proposal is not approved by Company stockholders, the Business Combination cannot be consummated. In the event that this proposal is approved by Company stockholders, but the Merger Agreement is terminated (without the Business Combination being consummated) prior to the issuance of shares of our common stock pursuant to the Merger Agreement or the PIPE Investment, such shares of common stock will not be issued.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Nasdaq Stock Issuance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Sponsor and each of our officer and directors have agreed to, among other things, vote in favor of this Nasdaq Stock Issuance Proposal. As of the date of this proxy statement, the Initial Stockholders own approximately 20% of the outstanding shares of our common stock.</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2 is conditioned upon the approval of the Business Combination Proposal. If the Business Combination Proposal is not approved, this Proposal No. 2 will have no effect, even if approved by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BOARD OF DIRECTORS RECOMMENDS THAT OUR STOCKHOLDERS VOTE “FOR” THE NASDAQ STOCK ISSUANCE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CHARTER APPROVAL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stockholders are also being asked to adopt the Amended and Restated Certificate of Incorporation in the form attached hereto as Annex B, which, in the judgment of our Board, is necessary and advisable to consummate the Business Combination.</w:t>
      </w:r>
    </w:p>
    <w:p>
      <w:pPr>
        <w:spacing w:after="0" w:line="11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is a summary of the key changes effected by the Amended and Restated Certificate of Incorporation, but this summary is qualified in its entirety by reference to the full text of the Amended and Restated Certificate of Incorporation, a copy of which is included as Annex B:</w:t>
      </w:r>
    </w:p>
    <w:p>
      <w:pPr>
        <w:spacing w:after="0" w:line="92" w:lineRule="exact"/>
        <w:rPr>
          <w:sz w:val="20"/>
          <w:szCs w:val="20"/>
          <w:color w:val="auto"/>
        </w:rPr>
      </w:pPr>
    </w:p>
    <w:p>
      <w:pPr>
        <w:jc w:val="both"/>
        <w:ind w:left="660" w:hanging="328"/>
        <w:spacing w:after="0" w:line="311" w:lineRule="auto"/>
        <w:tabs>
          <w:tab w:leader="none" w:pos="655" w:val="left"/>
        </w:tabs>
        <w:numPr>
          <w:ilvl w:val="0"/>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Change the post-combination company’s name to Sema4 Holdings Corp</w:t>
      </w:r>
      <w:r>
        <w:rPr>
          <w:rFonts w:ascii="Arial" w:cs="Arial" w:eastAsia="Arial" w:hAnsi="Arial"/>
          <w:sz w:val="16"/>
          <w:szCs w:val="16"/>
          <w:color w:val="auto"/>
        </w:rPr>
        <w:t>. Currently, the Company’s name is CM Life Sciences, Inc. If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 No. 3 is approved, the Company’s name will be Sema4 Holdings Corp. The Board believes the name of the post-combination company should more closely align with the name of the post-Business Combination operating business and therefore has proposed this name change.</w:t>
      </w:r>
    </w:p>
    <w:p>
      <w:pPr>
        <w:spacing w:after="0" w:line="94"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Delete provisions relating to blank check company</w:t>
      </w:r>
      <w:r>
        <w:rPr>
          <w:rFonts w:ascii="Arial" w:cs="Arial" w:eastAsia="Arial" w:hAnsi="Arial"/>
          <w:sz w:val="18"/>
          <w:szCs w:val="18"/>
          <w:color w:val="auto"/>
        </w:rPr>
        <w:t>. Our board of directors has determined it is in the best interest of the Company to eliminate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our certificate of incorporation that are specific to our status as a blank check company. This deletion is desirable because these provisions will serve no purpose following consummation of the Business Combination. For example, these proposed amendments remove the requirement to dissolve CMLS and instead allow us to continue as a corporate entity with perpetual existence following consummation of the Business Combination.</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stockholder vote required to 66 2/3% in voting power of the Company in order for stockholders to (1) amend the Bylaws (Article V),</w:t>
      </w:r>
    </w:p>
    <w:p>
      <w:pPr>
        <w:spacing w:after="0" w:line="46" w:lineRule="exact"/>
        <w:rPr>
          <w:rFonts w:ascii="Arial" w:cs="Arial" w:eastAsia="Arial" w:hAnsi="Arial"/>
          <w:sz w:val="16"/>
          <w:szCs w:val="16"/>
          <w:b w:val="1"/>
          <w:bCs w:val="1"/>
          <w:i w:val="1"/>
          <w:iCs w:val="1"/>
          <w:color w:val="auto"/>
        </w:rPr>
      </w:pPr>
    </w:p>
    <w:p>
      <w:pPr>
        <w:jc w:val="both"/>
        <w:ind w:left="660"/>
        <w:spacing w:after="0" w:line="253"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 xml:space="preserve">(2) change our classified board or its size, remove a director or fill vacancies (Article VI), (3) change the limitations on personal liability of directors (Articles VII) and (4) make amendments to our bylaws or to certain provisions of the Amended and Restated Certificate of Incorporation (Articles V and X). </w:t>
      </w:r>
      <w:r>
        <w:rPr>
          <w:rFonts w:ascii="Arial" w:cs="Arial" w:eastAsia="Arial" w:hAnsi="Arial"/>
          <w:sz w:val="18"/>
          <w:szCs w:val="18"/>
          <w:color w:val="auto"/>
        </w:rPr>
        <w:t>These provisions in the Amended and Restated Certificate of Incorporation, which will require a supermajority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to amend, address:</w:t>
      </w:r>
    </w:p>
    <w:p>
      <w:pPr>
        <w:spacing w:after="0" w:line="139" w:lineRule="exact"/>
        <w:rPr>
          <w:sz w:val="20"/>
          <w:szCs w:val="20"/>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chairman, lead independent director or the chief executive officer and requirements with respect to advance notice of shareholder proposals, requirements relating to the amendment of our Bylaws (Article I).</w:t>
      </w:r>
    </w:p>
    <w:p>
      <w:pPr>
        <w:spacing w:after="0" w:line="11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Our board of directors believes that this change protects such provisions from arbitrary amendment and prevents a simple majority of stockholders from taking actions that may be harmful to the majority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Approval Proposal requires the affirmative vote of holders of a majority 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Approval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3 is conditioned upon the approval of the Business Combination Proposal. If the Business Combination Proposal is not approved, this Proposal No. 3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3.</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4 — APPROVAL OF CERTAIN GOVERNANCE PROVISIONS IN THE AMENDED AND RESTATED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stockholders are also being asked to vote on a separate proposal with respect to certain governance provisions in the Amended and Restated Certificate of Incorporation, which are separately being presented in accordance with SEC guidance to give stockholders the opportunity to present their separate views on important corporate governance provisions and which will be voted upon on a non-binding advisory basis. This separate vote is not otherwise required by Delaware law separate and apart from the Charter Approval Proposal, but pursuant to SEC guidance, the Company is required to submit these provisions to its stockholders separately for approval. However, the stockholder vote regarding this proposal is advisory in nature, and is not binding on the Company or our board of directors (separate and apart from the approval of the Charter Approval Proposal). Furthermore, the Business Combination is not conditioned on the separate approval of the advisory charter proposals (separate and apart from approval of the Charter Approval Proposal). Accordingly, regardless of the outcome of the non-binding advisory vote on this proposal, the Company intends that the Amended and Restated Certificate of Incorporation will take effect at the Closing (assuming approval of the Charter Approval Proposal).</w:t>
      </w:r>
    </w:p>
    <w:p>
      <w:pPr>
        <w:spacing w:after="0" w:line="108" w:lineRule="exact"/>
        <w:rPr>
          <w:sz w:val="20"/>
          <w:szCs w:val="20"/>
          <w:color w:val="auto"/>
        </w:rPr>
      </w:pPr>
    </w:p>
    <w:p>
      <w:pPr>
        <w:ind w:right="3600"/>
        <w:spacing w:after="0" w:line="440" w:lineRule="auto"/>
        <w:rPr>
          <w:sz w:val="20"/>
          <w:szCs w:val="20"/>
          <w:color w:val="auto"/>
        </w:rPr>
      </w:pPr>
      <w:r>
        <w:rPr>
          <w:rFonts w:ascii="Arial" w:cs="Arial" w:eastAsia="Arial" w:hAnsi="Arial"/>
          <w:sz w:val="18"/>
          <w:szCs w:val="18"/>
          <w:b w:val="1"/>
          <w:bCs w:val="1"/>
          <w:color w:val="auto"/>
        </w:rPr>
        <w:t xml:space="preserve">Proposal No. 4A: Change the Stockholder Vote Required to Amend the Certificate of Incorporation </w:t>
      </w:r>
      <w:r>
        <w:rPr>
          <w:rFonts w:ascii="Arial" w:cs="Arial" w:eastAsia="Arial" w:hAnsi="Arial"/>
          <w:sz w:val="18"/>
          <w:szCs w:val="18"/>
          <w:b w:val="1"/>
          <w:bCs w:val="1"/>
          <w:i w:val="1"/>
          <w:iCs w:val="1"/>
          <w:color w:val="auto"/>
        </w:rPr>
        <w:t>Description of Amendment</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 would require the approval by affirmative vote of the holders of at least two-thirds of the common stock of the post-combination company to make any amendment to certain provisions of the post-combination company certificate of incorporation unless 2/3rds of the whole board of directors of the post-combination company approves such an amendment in which case such stockholder vote will require only a majority in voting power of the then outstanding stock of the post-combination company. These provisions in the Amended and Restated Certificate of Incorporation, which will require a supermajority vote to amend, address:</w:t>
      </w:r>
    </w:p>
    <w:p>
      <w:pPr>
        <w:spacing w:after="0" w:line="134"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chairperson, lead independent director, the president or the chief executive officer and requirements with respect to advance notice of shareholder proposals, requirements relating to the amendment of our Bylaws (Article VIII).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board of directors believes that this change protects such provisions from arbitrary amendment and prevents a simple majority of stockholders from taking actions that may be harmful to the majority of our stockholders or making changes to provisions that are intended to protect all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Proposal No. 4 is conditioned upon the approval of the Business Combination Proposal. If the Business Combination Proposal is not approved, this Proposal No. 4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APPROVAL OF THE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Incentive Plan as proposed to be adopted by the Company in connection with the Business Combination. This summary is not a complete statement of the Incentive Plan and is qualified in its entirety by reference to the complete text of the Incentive Plan, a copy of which is attached hereto as Annex D. The Company’s stockholder should refer to the Incentive Plan for more complete and detailed information regarding the terms and conditions of the Incentive Plan. </w:t>
      </w:r>
      <w:r>
        <w:rPr>
          <w:rFonts w:ascii="Arial" w:cs="Arial" w:eastAsia="Arial" w:hAnsi="Arial"/>
          <w:sz w:val="18"/>
          <w:szCs w:val="18"/>
          <w:i w:val="1"/>
          <w:iCs w:val="1"/>
          <w:color w:val="auto"/>
        </w:rPr>
        <w:t>Unless the context otherwise requires, references in this summary to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and “our” generally refer to CMLS in the present tense or the post-combination company from and after the Business </w:t>
      </w:r>
      <w:r>
        <w:rPr>
          <w:rFonts w:ascii="Arial" w:cs="Arial" w:eastAsia="Arial" w:hAnsi="Arial"/>
          <w:sz w:val="18"/>
          <w:szCs w:val="18"/>
          <w:color w:val="auto"/>
        </w:rPr>
        <w:t>Combination.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become effective as of the Closing Date, if it is approved by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Equity Incentive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purpose of the Incentive Plan is to enhance our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stockholders by giving directors, employees and consultants the perspective of an owner with an equity or equity-linked stake in our company and providing a means of recognizing their contributions to our success. Our board of directors believes that equity awards are necessary to remain competitive in its industry and are essential to recruiting and retaining the highly qualified persons who help us meet our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material terms of the Incentive Plan. This summary is qualified in its entirety to the full text of the Incentive Plan.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a number of shares of our common stock equal to 12% of the total number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as of immediately following the Closing (which we anticipate will equal approximately 28,591,978 shares, based on information available as of March 31, 2021 and assuming no redemptions), plus any reserved shares not issued or subject to outstanding grants under the Sema4 Incentive Plan on the effective date of the Incentive Plan, for issuance pursuant to awards granted under our Incentive Plan. The 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71" w:lineRule="exact"/>
        <w:rPr>
          <w:sz w:val="20"/>
          <w:szCs w:val="20"/>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ind w:left="6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represent the right to receive the value of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pursuant to the Incentive Plan may be in the form of a cash bonus, or an award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 denominated in shares of our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bonus awards</w:t>
      </w:r>
      <w:r>
        <w:rPr>
          <w:rFonts w:ascii="Arial" w:cs="Arial" w:eastAsia="Arial" w:hAnsi="Arial"/>
          <w:sz w:val="16"/>
          <w:szCs w:val="16"/>
          <w:color w:val="auto"/>
        </w:rPr>
        <w:t>. A stock bonus award provides for payment in the form of cash, shares of our common stock or a combination thereof,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Our board of directors or the compensation committee thereof may permit participants holding RSUs to receive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Our Incentive Plan provides that, in the event of a corporate transaction that constitutes a change of control of our company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change in the number of outstanding shares of our common stock without consideration by reason of a stock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cash 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the compensation committee thereof or required by law during the term of service of the participant, to the extent set forth in such policy or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limited circumstances, awards granted under our Incentive Plan may generally not be transferred in any manner other than by will or by the laws of descent and distribution.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awards granted to participants outside of the United States to comply with any laws or regulations applicable to any such jurisdiction.</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or compensation committee may amend our Incentive Plan at any time, subject to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an NSO under the Incentive Plan, the optionee should not have taxable income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Generally, the optionee should recognize ordinary income at the time of exercise in an amount equal to the fair market value of the shares acquired on the date of exercise, less the exercise price paid for the shares. The optionee’s basis in our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current federal income tax consequences of other awards authorized under the Incentive Plan generally follow certain basic</w:t>
      </w:r>
      <w:r>
        <w:rPr>
          <w:rFonts w:ascii="Arial" w:cs="Arial" w:eastAsia="Arial" w:hAnsi="Arial"/>
          <w:sz w:val="17"/>
          <w:szCs w:val="17"/>
          <w:i w:val="1"/>
          <w:iCs w:val="1"/>
          <w:color w:val="auto"/>
        </w:rPr>
        <w:t xml:space="preserve"> </w:t>
      </w:r>
      <w:r>
        <w:rPr>
          <w:rFonts w:ascii="Arial" w:cs="Arial" w:eastAsia="Arial" w:hAnsi="Arial"/>
          <w:sz w:val="17"/>
          <w:szCs w:val="17"/>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Code Section 83(b) election); RSUs, dividend equivalents and other stock or cash-based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162(m) of the Code limits the Company’s compensation deduction to $1,000,000 paid in any tax year to any “covered employee” as defined under Section 162(m). Section 162(m) may result in all or a portion of the awards granted under the Incentive Plan to “covered employees” failing to be deductible to the Company for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types of awards under the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Incentive Plan and awards granted under the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Incentive Plan and applicable award agreements may be amended to further comply with Section 409A of the Code or to exempt the applicable awards from Section 409A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see the section entitled “Executive Compensation of Sema4 — Employment Agreements with Sema4’s Named Executive Officers” for information regarding the stock options that we intend to grant to our named executive officers under the Incentive Plan following the closing of the Business Combination. The benefits to be received by other participants in the normal course under the Incentive Plan cannot be determined at this time because awards under the Incentive Plan are granted at the discretion of the compensation committee and the Board.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approval of the Incentive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Incentive Plan Proposal will have no effect on the Adjournment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 THE EQUITY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APPROVAL OF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ESPP as proposed to be adopted by the Company in connection with the Business Combination. This summary is not a complete statement of the ESPP and is qualified in its entirety by reference to the complete text of the ESPP, a copy of which is attached hereto as Annex E. The Company’s stockholders should refer to the ESPP for more complete and detailed information regarding the terms and conditions of the ESPP. </w:t>
      </w:r>
      <w:r>
        <w:rPr>
          <w:rFonts w:ascii="Arial" w:cs="Arial" w:eastAsia="Arial" w:hAnsi="Arial"/>
          <w:sz w:val="18"/>
          <w:szCs w:val="18"/>
          <w:i w:val="1"/>
          <w:iCs w:val="1"/>
          <w:color w:val="auto"/>
        </w:rPr>
        <w:t>Unless the context otherwise requires, references in this summary to “we”, “us”, and “our” generally refer to CMLS in the present tense or</w:t>
      </w:r>
      <w:r>
        <w:rPr>
          <w:rFonts w:ascii="Arial" w:cs="Arial" w:eastAsia="Arial" w:hAnsi="Arial"/>
          <w:sz w:val="18"/>
          <w:szCs w:val="18"/>
          <w:color w:val="auto"/>
        </w:rPr>
        <w:t xml:space="preserve"> </w:t>
      </w:r>
      <w:r>
        <w:rPr>
          <w:rFonts w:ascii="Arial" w:cs="Arial" w:eastAsia="Arial" w:hAnsi="Arial"/>
          <w:sz w:val="18"/>
          <w:szCs w:val="18"/>
          <w:i w:val="1"/>
          <w:iCs w:val="1"/>
          <w:color w:val="auto"/>
        </w:rPr>
        <w:t>the post-combination company from and after the Business Combination</w:t>
      </w:r>
      <w:r>
        <w:rPr>
          <w:rFonts w:ascii="Arial" w:cs="Arial" w:eastAsia="Arial" w:hAnsi="Arial"/>
          <w:sz w:val="18"/>
          <w:szCs w:val="18"/>
          <w:color w:val="auto"/>
        </w:rPr>
        <w:t>. The ESPP will become effective as of the Closing Date, if it is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purpose of the ESPP is to provide our employees with the opportunity to purchase our common stock through accumulated payroll deductions. We believe that the ESPP is a key factor in retaining existing employees, recruiting and retaining new employees and aligning the interests of our employees with those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a number of shares of our common stock equal to 2% of the total number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and outstanding as of immediately following the Closing (the “Initial ESPP Share Reserve”) for issuance and sale under the ESPP. We anticipate that the Initial ESPP Share Reserve will equal approximately 4,765,330 shares of our common stock, based on information available as of March 31, 2021 and assuming no redemptions. The number of shares 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Offering Periods; Enrollment</w:t>
      </w:r>
      <w:r>
        <w:rPr>
          <w:rFonts w:ascii="Arial" w:cs="Arial" w:eastAsia="Arial" w:hAnsi="Arial"/>
          <w:sz w:val="18"/>
          <w:szCs w:val="18"/>
          <w:color w:val="auto"/>
        </w:rPr>
        <w:t>. Under our ESPP, eligible employees will be offered the option to purchase shares of our common stock at a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Participation in the ESPP ends automatically upon a participant’s termination of employment. A participant may withdraw his or her participation from the ESPP at any time by submitting written notice to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Offerings; Contributions; Limitations</w:t>
      </w:r>
      <w:r>
        <w:rPr>
          <w:rFonts w:ascii="Arial" w:cs="Arial" w:eastAsia="Arial" w:hAnsi="Arial"/>
          <w:sz w:val="17"/>
          <w:szCs w:val="17"/>
          <w:color w:val="auto"/>
        </w:rPr>
        <w:t>. 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Adjustments upon recapitalization</w:t>
      </w:r>
      <w:r>
        <w:rPr>
          <w:rFonts w:ascii="Arial" w:cs="Arial" w:eastAsia="Arial" w:hAnsi="Arial"/>
          <w:sz w:val="17"/>
          <w:szCs w:val="17"/>
          <w:color w:val="auto"/>
        </w:rPr>
        <w:t>. 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participation in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federal income tax purposes, a participant in the ESPP generally will not recognize taxable income on the grant of an option under the ESPP, nor will the Company be entitled to any deduction at that time. Additionally, if applicable holding period requirements are met, the participant should not recognize taxable income at the time of exercise.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stock acquired upon exercise of an option acquired under the ESPP is held for a minimum of two years from the date of grant and one year from the date of exercise, the participant (or the participant’s estate) will recognize ordinary income measured as the lesser of (1) the excess of the fair market value of the shares at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or disposition (or death) over the purchase price or (2) the excess of the fair market value of the shares on the date the option was granted over the purchase price. Any additional gain will be treated as long-term capital gain.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holding period requirements are not met, the participant will recognize ordinary income at the time of the disposition equal to the excess of the fair market value of the shares on the date the option is exercised over the purchase price, with any remaining gain or loss being treated as capital gain or capital loss. 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or our subsidiaries or affiliates generally are not entitled to a federal income tax deduction upon either the exercise of an option or upon disposition of the shares acquired pursuant to such exercise, except to the extent that the participant recognizes ordinary income on disposition of the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number of shares that may be purchased under the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Employee Stock Purchase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Employee Stock Purchase Plan Proposal will have no effect on the Employee Stock Purchase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6.</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DIRECTOR ELECTION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board of directors is currently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Class I directors, consisting of Dr. George and Dr. Leproust, will expire at the Special Meeting, at which time Dr. Leproust will stand for re-election. Dr. George is not seeking re-election and will resign as a director and as a member of the nominating and corporate governance committee immediately prior to the conclusion of the special meeting (unless the condition precedent proposals are not approved, as set forth below).</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condition precedent proposals are not approved, Dr. George and Dr. Leproust, will stand for re-election to a three-year term in Class I and their the term of office of each of the Company’s two Class I directors would begin upon the conclusion of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stockholders are being asked to consider and vote upon a proposal to elect 9 directors to serve on the Board, effective at the Closing, for a three-year term.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until the election and qualification of his or her successor, or his or her earlier death, resignation or removal. Our Board has nominated the following 9 nominees for election as a director to serve on the post-combination company’s board of directors in the classes set forth below:</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Eli Casdin</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Michael Pellini</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Joshua Ruch</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Dennis Charney</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Eric Schadt</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Rachel Sherman</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Nat Turner</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Emily Leproust</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29"/>
        </w:trPr>
        <w:tc>
          <w:tcPr>
            <w:tcW w:w="1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Jason Ryan</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9 nominees will be elected, subject to obtaining necessary regulatory approval of the applicable authorities, if the condition precedent proposals are approved by the stockholders at the special meeting.</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directors currently serving in Class II and Class III have terms that extend beyond the special meeting, these directors have tendered their contingent resignations from their current terms, conditioned upon the approval of the condition precedent proposals, including the Charter Approval Proposal. These resignations will take effect immediately prior to the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Alternatively, if the condition precedent proposals are not approved, Dr. George and Dr. Leproust, will stand for re-election as Class I directors for a term of three years expiring at the 2024 annual meeting of stockholders or until their respective successor have been duly elected and qualified, or until their earlier death, resignation, retirement or removal.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the experience of Dennis Charney, Eli Casdin, Emily Leproust, Eric Schadt, Jason Ryan, Joshua Ruch, Michael Pellini, Nat Turner and Rachel Sherman, 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vote by proxy or to vote in person (which would include voting at the virtual special meeting), an abstention from voting, or a broker non-vote will have no effect on the election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election of nine director nominees in the Director Election Proposal is conditioned on the approval of the condition precedent proposals, including the Charter Approval Proposal. If the condition precedent proposals, including the Charter Approval Proposal, are not approved, two directors will be elected to a three-year term in Class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BOARD OF DIRECTORS RECOMMENDS THAT OUR STOCKHOLDERS VOTE “FOR” THE ELECTION OF EACH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NOMINEES TO THE BOARD OF DIRECTORS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8 — THE ADJOURNMENT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the Governance Proposal or any other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BOARD OF DIRECTORS RECOMMENDS THAT OUR STOCKHOLDERS VOTE “FOR” THE ADJOURNMENT PROPOSAL.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9 — THE AUDITOR RATIFICATION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audit committee has appointed Withum to continue in its capacity as our independent registered public accounting firm for the fiscal year ending December 31, 2020, and the Board has directed that management submit the appointment of the independent registered public accounting firm for ratification by the Company’s stockholders at the special meeting. Withum has audited our financial statements for the year ended December 31, 2020.</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Representatives of Withum are expected to be present at the special meeting via telephone. They will have an opportunity to make a statement if they so desire and will be available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approval of the Auditor Ratification Proposal requires the affirmative vote of holders of a majority of the votes cast by our stockholders present in person (which would include presence at the virtual special meeting) or represented by proxy at the special meeting and entitled to vote thereon at the special meeting. Failure to vote by proxy or to vote in person (which would include voting at the virtual special meeting) or an abstention from voting will have no effect on the outcome of the Auditor Ratification Proposal. The transaction is not conditioned on the approval of the Auditor Ratification Proposal and the Auditor Ratification Proposal is not conditioned on the approval of any other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UNANIMOUSLY RECOMMENDS THAT OUR STOCKHOLDERS VOTE “FOR” THE AUDITOR RATIFICATION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capital stock exchange, asset acquisition, stock purchase, reorganization or similar business combination with one or more businesses. We have neither engaged in any operations nor generated any revenue to date. Based on our business activities, we are a “shell company” as defined under the Exchange Act because we have no operations and nominal assets consisting almost entirely of cash.</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we had not commenced any operations. All activity for the period from July 10, 2020 (inception) through December 31, 2020 relates to our formation, the initial public offering, and, subsequent to the initial pubic offering,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initial public offering.</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4, 2020, we consummated our initial public offering of 44,275,000 units (the “</w:t>
      </w:r>
      <w:r>
        <w:rPr>
          <w:rFonts w:ascii="Arial" w:cs="Arial" w:eastAsia="Arial" w:hAnsi="Arial"/>
          <w:sz w:val="17"/>
          <w:szCs w:val="17"/>
          <w:i w:val="1"/>
          <w:iCs w:val="1"/>
          <w:color w:val="auto"/>
        </w:rPr>
        <w:t>units</w:t>
      </w:r>
      <w:r>
        <w:rPr>
          <w:rFonts w:ascii="Arial" w:cs="Arial" w:eastAsia="Arial" w:hAnsi="Arial"/>
          <w:sz w:val="17"/>
          <w:szCs w:val="17"/>
          <w:color w:val="auto"/>
        </w:rPr>
        <w:t>”) which includes the full exercise by the underwriter of its over-allotment option in the amount of 5,775,000 units, at a purchase price of $10.00 per unit. Each unit consists of one share of common stock, $0.0001 par value per share and one warrant. Each warrant entitles the holder thereof to purchase one-third of one share of common stock for $11.50 per share, provided that if we have not consummated our initial business combination within 15 months from the closing of the initial public offering, each warrant will entitle the holder thereof to purchase one-third of one share of common stock at a price of $11.50 per whole share, subject to adjustment in either case. The units were sold at an offering price of $10.00 per unit, generating gross proceeds of $442,750,000.</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Simultaneously with the consummation of the initial public offering, we completed the private placement of an aggregate of 7,236,667 warrants to the Sponsor and certain of the independent directors at a price of $1.50 per warrant, generating gross proceeds of $10,855,000.</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$442,750,000 million ($10.00 per unit) of the net proceeds from the sale of units in the initial public offering and the private placements was placed in the Trust Account maintained by Continental Stock Transfer &amp; Trust Company, acting as trustee. The proceeds held in the Trust Account were invested in U.S. government securities, within the meaning set forth in Section 2(a)(16) of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Nasdaq rules require that we must consummate an initial business combination with one or more operating businesses or assets with a fair market value equal to at least 80% of the net assets held in the Trust Account (net of amounts disbursed to management for working capital purposes, if permitted, and excluding the amount of any deferred underwriting commissions) at the time of our signing a definitive agreement in connection with an initial business combination. Our Board has determined that the Business Combination meets the 80% test.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Any request to redeem public shares, once made, may be withdrawn at any time until the deadline for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 Our Initial Stockholders, including our Sponsor, have agreed to vote any shares of common stock owned by them in favor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three executive officers. Members of our management team are not obligated to devote any specific number of hours to our matters, but they intend to devote as much of their time as they deem necessary to our affairs until we have completed an initial business combination. We presently expect our officers to devote such amount of time as they reasonably believe is necessary to our business, and the amount of time that Eli Casdin or any other members of our management will devote in any time period will vary based on the current stage of the business combination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Executive Officer and 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top w:val="single" w:sz="8" w:color="CCEEFF"/>
            </w:tcBorders>
            <w:shd w:val="clear" w:color="auto" w:fill="CCEEFF"/>
          </w:tcPr>
          <w:p>
            <w:pPr>
              <w:spacing w:after="0"/>
              <w:rPr>
                <w:sz w:val="19"/>
                <w:szCs w:val="19"/>
                <w:color w:val="auto"/>
              </w:rPr>
            </w:pPr>
          </w:p>
        </w:tc>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Keith A. Meister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Shaun Rodriguez</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Munib Islam</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Nat Turner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 Management LP, a New York based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in December 2010 and since its inception has served as its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 New York based investment manager, which he joined in January 2013. Since December 2020 and January 2021, Mr. Emes currently serves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currently serves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Board’s oversight of risk is administered directly through the Board, as a whole, or through its audit committee. Various reports and presentations regarding risk management are presented to the Board to identify and manage risk. The audit committee addresses risks that fall within the committee’s area of responsibility. For example, the audit committee is responsible for overseeing the quality and objectivity of the Company’s financial statements and the independent audit thereof. Management furnishes information regarding risk to the Board as requested.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Terms of Office of Officers and Directors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consists of six members. Our board is divided into three classes, with only one class of directors being elected in each year, and with each class (except for those directors appointed prior to our first annual meeting of stockholders) serving a three-year term. The term of office of the first class of directors, consisting of Sean George and Emily Leproust, will expire at the Special Meeting. The term of office of the second class of directors, consisting of Munib Islam and Nat Turner, will expire at our second annual meeting of stockholders. The term of office of the third class of directors, consisting of Eli Casdin and Kieth Meister, will expire at our third annual meeting of stockholders.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common stock.</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listing standards of Nasdaq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Sean George, Emily Leproust, Munib Islam and Nat Turner are “independent directors” as defined in Rule 10A-3 of the Exchange Act and the rules of Nasdaq, and Kieth Miester is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as defined in Nasdaq listing standards. Our independent directors have regularly scheduled meetings at which only independent directors are present. </w:t>
      </w:r>
      <w:r>
        <w:rPr>
          <w:rFonts w:ascii="Arial" w:cs="Arial" w:eastAsia="Arial" w:hAnsi="Arial"/>
          <w:sz w:val="18"/>
          <w:szCs w:val="18"/>
          <w:b w:val="1"/>
          <w:bCs w:val="1"/>
          <w:i w:val="1"/>
          <w:iCs w:val="1"/>
          <w:color w:val="auto"/>
        </w:rPr>
        <w:t>Committees of the Board of Directors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All of the members of these three committees are comprised solely of independent directors in accordance with the rules of Nasdaq and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our audit committee are Sean George, Munib Islam and Emily Leproust. Mr. Islam serves as chairman of the audit committee. Each of Sean George, Munib Islam and Emily Leproust meet the independent director standard under Nasdaq listing rules and under Rule 10A-3(b)(1) of the Exchange 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 the appointment, compensation, retention, replacement, and oversight of the work of the independent auditors and any other independent registered public accounting firm engaged by us;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auditors all relationships the auditors have with us in order to evaluate their continued independence;</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w:t>
      </w:r>
      <w:r>
        <w:rPr>
          <w:rFonts w:ascii="Arial" w:cs="Arial" w:eastAsia="Arial" w:hAnsi="Arial"/>
          <w:sz w:val="18"/>
          <w:szCs w:val="18"/>
          <w:i w:val="1"/>
          <w:iCs w:val="1"/>
          <w:color w:val="auto"/>
        </w:rPr>
        <w:t>The Company’s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reviewing and approving any related party transaction required to be disclosed pursuant to Item 404 of Regulation S-K</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by the SEC prior to us entering into such transaction; 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compensation committee are Munib Islam, Emily Leproust and Nat Turner. Dr. Leproust serves as chairman of the compensation committee, each of whom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members of our nominating and corporate governance are Sean George, Munib Islam and Kieth Miester. Dr. George serves as chair of the nominating and corporate governance committee, each of whom is independent.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purpose and responsibilities of the nominating and corporate governance committee, including:</w:t>
      </w:r>
    </w:p>
    <w:p>
      <w:pPr>
        <w:spacing w:after="0" w:line="116" w:lineRule="exact"/>
        <w:rPr>
          <w:sz w:val="20"/>
          <w:szCs w:val="20"/>
          <w:color w:val="auto"/>
        </w:rPr>
      </w:pPr>
    </w:p>
    <w:p>
      <w:pPr>
        <w:ind w:left="660" w:hanging="328"/>
        <w:spacing w:after="0" w:line="342"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 Meetings and Attendance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audit committee, compensation committee and nominating and corporate governance committee of our Board is comprised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2020:</w:t>
      </w:r>
    </w:p>
    <w:p>
      <w:pPr>
        <w:spacing w:after="0" w:line="171"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Board held two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audit committee held one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compensation committee held no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held no meetings.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our incumbent directors attended or participated in at least half of the meetings of the respective committees of which he is a member held during the period such incumbent director was a director during the year ended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all of our directors to attend our annual meetings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Code of Business Conduct and Ethics applicable to our directors, officers and employees. We filed a copy of our Code of Business Conduct and Ethics as an exhibit to the registration statement in connection with our initial public offering. You are able to review this document by accessing our public filings at the SEC’s web site at www.sec.gov. In addition, a copy of the Code of Business Conduct and Ethics and the charters of the committees of our board of directors can be provided without charge upon request from us in writing at 667 Madison Ave, New York, NY 10065, or by telephone at (212) 474-6745.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officers have agreed to present to us all target business opportunities that have a fair market value of at least 80% of the assets held in the Trust Account (net of amounts disbursed to management for working capital purposes, if permitted, and excluding the amount of any deferred underwriting commissions) prior to presenting them to any other entity, subject to any fiduciary or contractual obligations they may have. The members of our management team are not otherwise obligated to present us with any opportunity for a potential business combination of which they become aware, unless presented to such member solely in his or her capacity as a director or officer of the company.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the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the IPO and purchased private placement warrants in a transaction simultaneous to the IPO.</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any public shares held by them in connection with the consummation of our initial business combination. Additionally, our Initial Stockholders have agreed to waive their redemption rights with respect to any Founder Shares held by them if we fail to consummate our initial business combination within 18 months after the closing of our initial public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warrants and the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jc w:val="both"/>
        <w:ind w:left="660" w:hanging="328"/>
        <w:spacing w:after="0" w:line="263"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working capital loans may be convertible into additional warrants at a price of $1.50 per warrant at the option of the lender. Such warrants would be identical to the private placement warrants, including as to exercisability and exercise price.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Our officers and directors currently have certain relevant fiduciary duties or contractual obligations to such other entities (as well as to us). Our officers have also agreed not to participate in the formation of, or become an officer or director of, any other SPAC with a class of securities intended to be registered under the Exchange Act which has publicly filed a registration statement with the SEC until we have entered into a definitive agreement regarding our initial business combination or we have failed to complete our initial business combination within the required time period.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contractual obligations: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INDIVIDUAL</w:t>
            </w:r>
          </w:p>
        </w:tc>
        <w:tc>
          <w:tcPr>
            <w:tcW w:w="33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ENTITY</w:t>
            </w:r>
          </w:p>
        </w:tc>
        <w:tc>
          <w:tcPr>
            <w:tcW w:w="100" w:type="dxa"/>
            <w:vAlign w:val="bottom"/>
            <w:tcBorders>
              <w:bottom w:val="single" w:sz="8" w:color="BFE4FF"/>
            </w:tcBorders>
          </w:tcPr>
          <w:p>
            <w:pPr>
              <w:spacing w:after="0"/>
              <w:rPr>
                <w:sz w:val="16"/>
                <w:szCs w:val="16"/>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Borders>
              <w:bottom w:val="single" w:sz="8" w:color="BFE4FF"/>
            </w:tcBorders>
          </w:tcPr>
          <w:p>
            <w:pPr>
              <w:spacing w:after="0"/>
              <w:rPr>
                <w:sz w:val="16"/>
                <w:szCs w:val="16"/>
                <w:color w:val="auto"/>
              </w:rPr>
            </w:pPr>
          </w:p>
        </w:tc>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AFFILIATION</w:t>
            </w:r>
          </w:p>
        </w:tc>
      </w:tr>
      <w:tr>
        <w:trPr>
          <w:trHeight w:val="243"/>
        </w:trPr>
        <w:tc>
          <w:tcPr>
            <w:tcW w:w="19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Eli Casdin</w:t>
            </w:r>
          </w:p>
        </w:tc>
        <w:tc>
          <w:tcPr>
            <w:tcW w:w="3300" w:type="dxa"/>
            <w:vAlign w:val="bottom"/>
            <w:shd w:val="clear" w:color="auto" w:fill="BFE4FF"/>
          </w:tcPr>
          <w:p>
            <w:pPr>
              <w:ind w:left="20"/>
              <w:spacing w:after="0" w:line="243" w:lineRule="exact"/>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shd w:val="clear" w:color="auto" w:fill="BFE4FF"/>
          </w:tcPr>
          <w:p>
            <w:pPr>
              <w:spacing w:after="0"/>
              <w:rPr>
                <w:sz w:val="21"/>
                <w:szCs w:val="21"/>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BFE4FF"/>
          </w:tcPr>
          <w:p>
            <w:pPr>
              <w:spacing w:after="0"/>
              <w:rPr>
                <w:sz w:val="21"/>
                <w:szCs w:val="21"/>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Chief Investment Officer</w:t>
            </w:r>
          </w:p>
        </w:tc>
      </w:tr>
      <w:tr>
        <w:trPr>
          <w:trHeight w:val="234"/>
        </w:trPr>
        <w:tc>
          <w:tcPr>
            <w:tcW w:w="1980" w:type="dxa"/>
            <w:vAlign w:val="bottom"/>
            <w:shd w:val="clear" w:color="auto" w:fill="BFE4FF"/>
          </w:tcPr>
          <w:p>
            <w:pPr>
              <w:spacing w:after="0"/>
              <w:rPr>
                <w:sz w:val="20"/>
                <w:szCs w:val="20"/>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Exact Sciences Corp.</w:t>
            </w:r>
          </w:p>
        </w:tc>
        <w:tc>
          <w:tcPr>
            <w:tcW w:w="100" w:type="dxa"/>
            <w:vAlign w:val="bottom"/>
            <w:shd w:val="clear" w:color="auto" w:fill="BFE4FF"/>
          </w:tcPr>
          <w:p>
            <w:pPr>
              <w:spacing w:after="0"/>
              <w:rPr>
                <w:sz w:val="20"/>
                <w:szCs w:val="20"/>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0"/>
                <w:szCs w:val="20"/>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2"/>
        </w:trPr>
        <w:tc>
          <w:tcPr>
            <w:tcW w:w="1980" w:type="dxa"/>
            <w:vAlign w:val="bottom"/>
            <w:shd w:val="clear" w:color="auto" w:fill="BFE4FF"/>
          </w:tcPr>
          <w:p>
            <w:pPr>
              <w:spacing w:after="0"/>
              <w:rPr>
                <w:sz w:val="21"/>
                <w:szCs w:val="21"/>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C2i Genomics</w:t>
            </w:r>
          </w:p>
        </w:tc>
        <w:tc>
          <w:tcPr>
            <w:tcW w:w="100" w:type="dxa"/>
            <w:vAlign w:val="bottom"/>
            <w:shd w:val="clear" w:color="auto" w:fill="BFE4FF"/>
          </w:tcPr>
          <w:p>
            <w:pPr>
              <w:spacing w:after="0"/>
              <w:rPr>
                <w:sz w:val="21"/>
                <w:szCs w:val="21"/>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1"/>
                <w:szCs w:val="21"/>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DNA Script</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EQRx, Inc.</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Genomatica, Inc.</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New York Genome Center</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Sexton Biotechnologies</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Tenaya Therapeutics, Inc.</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BFE4FF"/>
          </w:tcPr>
          <w:p>
            <w:pPr>
              <w:spacing w:after="0"/>
              <w:rPr>
                <w:sz w:val="22"/>
                <w:szCs w:val="22"/>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Thrive Earlier Detection Corp.</w:t>
            </w:r>
          </w:p>
        </w:tc>
        <w:tc>
          <w:tcPr>
            <w:tcW w:w="100" w:type="dxa"/>
            <w:vAlign w:val="bottom"/>
            <w:shd w:val="clear" w:color="auto" w:fill="BFE4FF"/>
          </w:tcPr>
          <w:p>
            <w:pPr>
              <w:spacing w:after="0"/>
              <w:rPr>
                <w:sz w:val="22"/>
                <w:szCs w:val="22"/>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2"/>
                <w:szCs w:val="22"/>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BFE4FF"/>
            </w:tcBorders>
            <w:shd w:val="clear" w:color="auto" w:fill="BFE4FF"/>
          </w:tcPr>
          <w:p>
            <w:pPr>
              <w:spacing w:after="0"/>
              <w:rPr>
                <w:sz w:val="22"/>
                <w:szCs w:val="22"/>
                <w:color w:val="auto"/>
              </w:rPr>
            </w:pPr>
          </w:p>
        </w:tc>
        <w:tc>
          <w:tcPr>
            <w:tcW w:w="33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Borders>
              <w:bottom w:val="single" w:sz="8" w:color="BFE4FF"/>
            </w:tcBorders>
            <w:shd w:val="clear" w:color="auto" w:fill="BFE4FF"/>
          </w:tcPr>
          <w:p>
            <w:pPr>
              <w:spacing w:after="0"/>
              <w:rPr>
                <w:sz w:val="22"/>
                <w:szCs w:val="22"/>
                <w:color w:val="auto"/>
              </w:rPr>
            </w:pPr>
          </w:p>
        </w:tc>
        <w:tc>
          <w:tcPr>
            <w:tcW w:w="2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BFE4FF"/>
            </w:tcBorders>
            <w:shd w:val="clear" w:color="auto" w:fill="BFE4FF"/>
          </w:tcPr>
          <w:p>
            <w:pPr>
              <w:spacing w:after="0"/>
              <w:rPr>
                <w:sz w:val="22"/>
                <w:szCs w:val="22"/>
                <w:color w:val="auto"/>
              </w:rPr>
            </w:pPr>
          </w:p>
        </w:tc>
        <w:tc>
          <w:tcPr>
            <w:tcW w:w="3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Keith Meister</w:t>
            </w:r>
          </w:p>
        </w:tc>
        <w:tc>
          <w:tcPr>
            <w:tcW w:w="33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Corvex Management LP</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Managing Partner and Chief</w:t>
            </w:r>
          </w:p>
        </w:tc>
      </w:tr>
      <w:tr>
        <w:trPr>
          <w:trHeight w:val="234"/>
        </w:trPr>
        <w:tc>
          <w:tcPr>
            <w:tcW w:w="1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Investment Officer Director</w:t>
            </w:r>
          </w:p>
        </w:tc>
      </w:tr>
      <w:tr>
        <w:trPr>
          <w:trHeight w:val="414"/>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MGM Resorts International</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Hospitality and entertainment</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418"/>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Roar Digital,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3"/>
              </w:rPr>
              <w:t>Sports betting and online gaming</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89"/>
        </w:trPr>
        <w:tc>
          <w:tcPr>
            <w:tcW w:w="1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29"/>
        </w:trPr>
        <w:tc>
          <w:tcPr>
            <w:tcW w:w="19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Brian Emes</w:t>
            </w:r>
          </w:p>
        </w:tc>
        <w:tc>
          <w:tcPr>
            <w:tcW w:w="330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b w:val="1"/>
                <w:bCs w:val="1"/>
                <w:color w:val="auto"/>
              </w:rPr>
              <w:t>Corvex Management LP</w:t>
            </w:r>
            <w:r>
              <w:rPr>
                <w:rFonts w:ascii="Arial" w:cs="Arial" w:eastAsia="Arial" w:hAnsi="Arial"/>
                <w:sz w:val="23"/>
                <w:szCs w:val="23"/>
                <w:b w:val="1"/>
                <w:bCs w:val="1"/>
                <w:color w:val="auto"/>
                <w:vertAlign w:val="superscript"/>
              </w:rPr>
              <w:t>(1)</w:t>
            </w:r>
          </w:p>
        </w:tc>
        <w:tc>
          <w:tcPr>
            <w:tcW w:w="100" w:type="dxa"/>
            <w:vAlign w:val="bottom"/>
            <w:shd w:val="clear" w:color="auto" w:fill="BFE4FF"/>
          </w:tcPr>
          <w:p>
            <w:pPr>
              <w:spacing w:after="0"/>
              <w:rPr>
                <w:sz w:val="19"/>
                <w:szCs w:val="19"/>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BFE4FF"/>
          </w:tcPr>
          <w:p>
            <w:pPr>
              <w:spacing w:after="0"/>
              <w:rPr>
                <w:sz w:val="19"/>
                <w:szCs w:val="19"/>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306"/>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Shaun Rodriguez</w:t>
            </w: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 of Life Science Research</w:t>
            </w:r>
          </w:p>
        </w:tc>
      </w:tr>
      <w:tr>
        <w:trPr>
          <w:trHeight w:val="342"/>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GeneMatters,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2"/>
                <w:szCs w:val="22"/>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7"/>
        </w:trPr>
        <w:tc>
          <w:tcPr>
            <w:tcW w:w="1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30"/>
        </w:trPr>
        <w:tc>
          <w:tcPr>
            <w:tcW w:w="19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Sean George</w:t>
            </w: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Invitae Corporation</w:t>
            </w:r>
          </w:p>
        </w:tc>
        <w:tc>
          <w:tcPr>
            <w:tcW w:w="100" w:type="dxa"/>
            <w:vAlign w:val="bottom"/>
            <w:shd w:val="clear" w:color="auto" w:fill="BFE4FF"/>
          </w:tcPr>
          <w:p>
            <w:pPr>
              <w:spacing w:after="0"/>
              <w:rPr>
                <w:sz w:val="19"/>
                <w:szCs w:val="19"/>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19"/>
                <w:szCs w:val="19"/>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Emily Leproust</w:t>
            </w:r>
          </w:p>
        </w:tc>
        <w:tc>
          <w:tcPr>
            <w:tcW w:w="33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Twist Bioscience Corp.</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1"/>
              </w:rPr>
              <w:t>President, Chief Executive Officer and</w:t>
            </w:r>
          </w:p>
        </w:tc>
      </w:tr>
      <w:tr>
        <w:trPr>
          <w:trHeight w:val="230"/>
        </w:trPr>
        <w:tc>
          <w:tcPr>
            <w:tcW w:w="1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Chair of the Board</w:t>
            </w:r>
          </w:p>
        </w:tc>
      </w:tr>
      <w:tr>
        <w:trPr>
          <w:trHeight w:val="234"/>
        </w:trPr>
        <w:tc>
          <w:tcPr>
            <w:tcW w:w="19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Nat Turner</w:t>
            </w: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Flatiron Health, Inc.</w:t>
            </w:r>
          </w:p>
        </w:tc>
        <w:tc>
          <w:tcPr>
            <w:tcW w:w="100" w:type="dxa"/>
            <w:vAlign w:val="bottom"/>
            <w:shd w:val="clear" w:color="auto" w:fill="BFE4FF"/>
          </w:tcPr>
          <w:p>
            <w:pPr>
              <w:spacing w:after="0"/>
              <w:rPr>
                <w:sz w:val="20"/>
                <w:szCs w:val="20"/>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0"/>
                <w:szCs w:val="20"/>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w w:val="97"/>
              </w:rPr>
              <w:t>Chief Executive Officer and Director</w:t>
            </w:r>
          </w:p>
        </w:tc>
      </w:tr>
      <w:tr>
        <w:trPr>
          <w:trHeight w:val="414"/>
        </w:trPr>
        <w:tc>
          <w:tcPr>
            <w:tcW w:w="1980" w:type="dxa"/>
            <w:vAlign w:val="bottom"/>
            <w:shd w:val="clear" w:color="auto" w:fill="BFE4FF"/>
          </w:tcPr>
          <w:p>
            <w:pPr>
              <w:spacing w:after="0"/>
              <w:rPr>
                <w:sz w:val="24"/>
                <w:szCs w:val="24"/>
                <w:color w:val="auto"/>
              </w:rPr>
            </w:pPr>
          </w:p>
        </w:tc>
        <w:tc>
          <w:tcPr>
            <w:tcW w:w="33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Clover Health, Inc.</w:t>
            </w:r>
          </w:p>
        </w:tc>
        <w:tc>
          <w:tcPr>
            <w:tcW w:w="100" w:type="dxa"/>
            <w:vAlign w:val="bottom"/>
            <w:shd w:val="clear" w:color="auto" w:fill="BFE4FF"/>
          </w:tcPr>
          <w:p>
            <w:pPr>
              <w:spacing w:after="0"/>
              <w:rPr>
                <w:sz w:val="24"/>
                <w:szCs w:val="24"/>
                <w:color w:val="auto"/>
              </w:rPr>
            </w:pPr>
          </w:p>
        </w:tc>
        <w:tc>
          <w:tcPr>
            <w:tcW w:w="27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BFE4FF"/>
          </w:tcPr>
          <w:p>
            <w:pPr>
              <w:spacing w:after="0"/>
              <w:rPr>
                <w:sz w:val="24"/>
                <w:szCs w:val="24"/>
                <w:color w:val="auto"/>
              </w:rPr>
            </w:pPr>
          </w:p>
        </w:tc>
        <w:tc>
          <w:tcPr>
            <w:tcW w:w="304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BFE4FF"/>
            </w:tcBorders>
            <w:shd w:val="clear" w:color="auto" w:fill="BFE4FF"/>
          </w:tcPr>
          <w:p>
            <w:pPr>
              <w:spacing w:after="0"/>
              <w:rPr>
                <w:sz w:val="22"/>
                <w:szCs w:val="22"/>
                <w:color w:val="auto"/>
              </w:rPr>
            </w:pPr>
          </w:p>
        </w:tc>
        <w:tc>
          <w:tcPr>
            <w:tcW w:w="33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Zenreach, Inc.</w:t>
            </w:r>
          </w:p>
        </w:tc>
        <w:tc>
          <w:tcPr>
            <w:tcW w:w="100" w:type="dxa"/>
            <w:vAlign w:val="bottom"/>
            <w:tcBorders>
              <w:bottom w:val="single" w:sz="8" w:color="BFE4FF"/>
            </w:tcBorders>
            <w:shd w:val="clear" w:color="auto" w:fill="BFE4FF"/>
          </w:tcPr>
          <w:p>
            <w:pPr>
              <w:spacing w:after="0"/>
              <w:rPr>
                <w:sz w:val="22"/>
                <w:szCs w:val="22"/>
                <w:color w:val="auto"/>
              </w:rPr>
            </w:pPr>
          </w:p>
        </w:tc>
        <w:tc>
          <w:tcPr>
            <w:tcW w:w="2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BFE4FF"/>
            </w:tcBorders>
            <w:shd w:val="clear" w:color="auto" w:fill="BFE4FF"/>
          </w:tcPr>
          <w:p>
            <w:pPr>
              <w:spacing w:after="0"/>
              <w:rPr>
                <w:sz w:val="22"/>
                <w:szCs w:val="22"/>
                <w:color w:val="auto"/>
              </w:rPr>
            </w:pPr>
          </w:p>
        </w:tc>
        <w:tc>
          <w:tcPr>
            <w:tcW w:w="3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r>
    </w:tbl>
    <w:p>
      <w:pPr>
        <w:ind w:left="320" w:hanging="312"/>
        <w:spacing w:after="0"/>
        <w:tabs>
          <w:tab w:leader="none" w:pos="32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Including with respect to one or more investment funds, clients and accounts for which such entity acts as investment advisor.</w:t>
      </w:r>
    </w:p>
    <w:p>
      <w:pPr>
        <w:spacing w:after="0" w:line="1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Accordingly, if any of the above executive officers or directors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 We do not believe, however, that any of the foregoing fiduciary duties or contractual obligations will materially affect our ability to complete our initial business combination.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banking firm, or from an independent valuation or appraisal firm that regularly prepares fairness opinions, that such an initial business combination is fair to our company from a financial point of view.</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Sponsor, officers and directors have agreed to vote any Founder Shares held by them and any public shares purchased during or after the offering (including in open market and privately negotiated transactions) in favor of our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current certificate of incorporation provides that our officers and directors will be indemnified by us to the fullest extent authorized by Delaware law, as it now exists or may in the future be amended. In addition, our current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current certificate of incorporation. Our bylaws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available to us at March 31, 2021 with respect to our common stock held by:</w:t>
      </w:r>
    </w:p>
    <w:p>
      <w:pPr>
        <w:spacing w:after="0" w:line="171"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31,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8"/>
                <w:szCs w:val="18"/>
                <w:b w:val="1"/>
                <w:bCs w:val="1"/>
                <w:color w:val="auto"/>
                <w:vertAlign w:val="superscript"/>
              </w:rPr>
              <w:t>(1)</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 Beneficially</w:t>
            </w:r>
          </w:p>
        </w:tc>
        <w:tc>
          <w:tcPr>
            <w:tcW w:w="25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Percentage of Outstanding Common</w:t>
            </w:r>
          </w:p>
        </w:tc>
        <w:tc>
          <w:tcPr>
            <w:tcW w:w="0" w:type="dxa"/>
            <w:vAlign w:val="bottom"/>
          </w:tcPr>
          <w:p>
            <w:pPr>
              <w:spacing w:after="0"/>
              <w:rPr>
                <w:sz w:val="1"/>
                <w:szCs w:val="1"/>
                <w:color w:val="auto"/>
              </w:rPr>
            </w:pPr>
          </w:p>
        </w:tc>
      </w:tr>
      <w:tr>
        <w:trPr>
          <w:trHeight w:val="189"/>
        </w:trPr>
        <w:tc>
          <w:tcPr>
            <w:tcW w:w="6240" w:type="dxa"/>
            <w:vAlign w:val="bottom"/>
            <w:vMerge w:val="continue"/>
          </w:tcPr>
          <w:p>
            <w:pPr>
              <w:spacing w:after="0"/>
              <w:rPr>
                <w:sz w:val="16"/>
                <w:szCs w:val="16"/>
                <w:color w:val="auto"/>
              </w:rPr>
            </w:pPr>
          </w:p>
        </w:tc>
        <w:tc>
          <w:tcPr>
            <w:tcW w:w="2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8"/>
                <w:szCs w:val="18"/>
                <w:b w:val="1"/>
                <w:bCs w:val="1"/>
                <w:color w:val="auto"/>
                <w:w w:val="88"/>
                <w:vertAlign w:val="superscript"/>
              </w:rPr>
              <w:t>(2)</w:t>
            </w:r>
          </w:p>
        </w:tc>
        <w:tc>
          <w:tcPr>
            <w:tcW w:w="2520" w:type="dxa"/>
            <w:vAlign w:val="bottom"/>
          </w:tcPr>
          <w:p>
            <w:pPr>
              <w:jc w:val="right"/>
              <w:ind w:right="1012"/>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CMLS Holdings, LLC (our Sponsor) </w:t>
            </w:r>
            <w:r>
              <w:rPr>
                <w:rFonts w:ascii="Arial" w:cs="Arial" w:eastAsia="Arial" w:hAnsi="Arial"/>
                <w:sz w:val="23"/>
                <w:szCs w:val="23"/>
                <w:color w:val="auto"/>
                <w:vertAlign w:val="superscript"/>
              </w:rPr>
              <w:t>(3)</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 Casdin </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Keith Meister </w:t>
            </w:r>
            <w:r>
              <w:rPr>
                <w:rFonts w:ascii="Arial" w:cs="Arial" w:eastAsia="Arial" w:hAnsi="Arial"/>
                <w:sz w:val="23"/>
                <w:szCs w:val="23"/>
                <w:color w:val="auto"/>
                <w:vertAlign w:val="superscript"/>
              </w:rPr>
              <w:t>(3)</w:t>
            </w:r>
          </w:p>
        </w:tc>
        <w:tc>
          <w:tcPr>
            <w:tcW w:w="2380" w:type="dxa"/>
            <w:vAlign w:val="bottom"/>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Shaun Rodriguez</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Munib Islam</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Nat Turner</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23"/>
                <w:szCs w:val="23"/>
                <w:color w:val="auto"/>
                <w:vertAlign w:val="superscript"/>
              </w:rPr>
              <w:t>(4)</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Magnetar Financial LLC </w:t>
            </w:r>
            <w:r>
              <w:rPr>
                <w:rFonts w:ascii="Arial" w:cs="Arial" w:eastAsia="Arial" w:hAnsi="Arial"/>
                <w:sz w:val="23"/>
                <w:szCs w:val="23"/>
                <w:color w:val="auto"/>
                <w:vertAlign w:val="superscript"/>
              </w:rPr>
              <w:t>(5)</w:t>
            </w:r>
          </w:p>
        </w:tc>
        <w:tc>
          <w:tcPr>
            <w:tcW w:w="2380" w:type="dxa"/>
            <w:vAlign w:val="bottom"/>
          </w:tcPr>
          <w:p>
            <w:pPr>
              <w:jc w:val="right"/>
              <w:spacing w:after="0"/>
              <w:rPr>
                <w:sz w:val="20"/>
                <w:szCs w:val="20"/>
                <w:color w:val="auto"/>
              </w:rPr>
            </w:pPr>
            <w:r>
              <w:rPr>
                <w:rFonts w:ascii="Arial" w:cs="Arial" w:eastAsia="Arial" w:hAnsi="Arial"/>
                <w:sz w:val="18"/>
                <w:szCs w:val="18"/>
                <w:color w:val="auto"/>
              </w:rPr>
              <w:t>2,898,231</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BlueCrest Capital Management Limited </w:t>
            </w:r>
            <w:r>
              <w:rPr>
                <w:rFonts w:ascii="Arial" w:cs="Arial" w:eastAsia="Arial" w:hAnsi="Arial"/>
                <w:sz w:val="23"/>
                <w:szCs w:val="23"/>
                <w:color w:val="auto"/>
                <w:vertAlign w:val="superscript"/>
              </w:rPr>
              <w:t>(6)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Millennium Management LLC </w:t>
            </w:r>
            <w:r>
              <w:rPr>
                <w:rFonts w:ascii="Arial" w:cs="Arial" w:eastAsia="Arial" w:hAnsi="Arial"/>
                <w:sz w:val="23"/>
                <w:szCs w:val="23"/>
                <w:color w:val="auto"/>
                <w:vertAlign w:val="superscript"/>
              </w:rPr>
              <w:t>(7)</w:t>
            </w:r>
          </w:p>
        </w:tc>
        <w:tc>
          <w:tcPr>
            <w:tcW w:w="2380" w:type="dxa"/>
            <w:vAlign w:val="bottom"/>
          </w:tcPr>
          <w:p>
            <w:pPr>
              <w:jc w:val="right"/>
              <w:spacing w:after="0"/>
              <w:rPr>
                <w:sz w:val="20"/>
                <w:szCs w:val="20"/>
                <w:color w:val="auto"/>
              </w:rPr>
            </w:pPr>
            <w:r>
              <w:rPr>
                <w:rFonts w:ascii="Arial" w:cs="Arial" w:eastAsia="Arial" w:hAnsi="Arial"/>
                <w:sz w:val="18"/>
                <w:szCs w:val="18"/>
                <w:color w:val="auto"/>
              </w:rPr>
              <w:t>2,467,288</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43"/>
        </w:trPr>
        <w:tc>
          <w:tcPr>
            <w:tcW w:w="624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4"/>
                <w:szCs w:val="14"/>
                <w:color w:val="auto"/>
              </w:rPr>
              <w:t>*    Less than one percent.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c/o Corvex Management LP, 667 Madison Avenue, New York, New York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9" w:lineRule="exact"/>
        <w:rPr>
          <w:sz w:val="20"/>
          <w:szCs w:val="20"/>
          <w:color w:val="auto"/>
        </w:rPr>
      </w:pPr>
    </w:p>
    <w:p>
      <w:pPr>
        <w:ind w:left="340" w:right="460" w:hanging="332"/>
        <w:spacing w:after="0" w:line="165" w:lineRule="exact"/>
        <w:tabs>
          <w:tab w:leader="none" w:pos="33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w:t>
      </w:r>
      <w:r>
        <w:rPr>
          <w:rFonts w:ascii="MS PGothic" w:cs="MS PGothic" w:eastAsia="MS PGothic" w:hAnsi="MS PGothic"/>
          <w:sz w:val="13"/>
          <w:szCs w:val="13"/>
          <w:color w:val="auto"/>
        </w:rPr>
        <w:t>‑</w:t>
      </w:r>
      <w:r>
        <w:rPr>
          <w:rFonts w:ascii="Arial" w:cs="Arial" w:eastAsia="Arial" w:hAnsi="Arial"/>
          <w:sz w:val="13"/>
          <w:szCs w:val="13"/>
          <w:color w:val="auto"/>
        </w:rPr>
        <w:t>246251). Excludes Class A common stock issuable pursuant to the forward purchase agreements, as such shares will only be issued concurrently with the closing of our initial Business Combination.</w:t>
      </w:r>
    </w:p>
    <w:p>
      <w:pPr>
        <w:spacing w:after="0" w:line="2" w:lineRule="exact"/>
        <w:rPr>
          <w:rFonts w:ascii="Arial" w:cs="Arial" w:eastAsia="Arial" w:hAnsi="Arial"/>
          <w:sz w:val="13"/>
          <w:szCs w:val="13"/>
          <w:color w:val="auto"/>
        </w:rPr>
      </w:pPr>
    </w:p>
    <w:p>
      <w:pPr>
        <w:ind w:left="340" w:right="40" w:hanging="332"/>
        <w:spacing w:after="0" w:line="260" w:lineRule="auto"/>
        <w:tabs>
          <w:tab w:leader="none" w:pos="33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ind w:left="340" w:right="10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13th Floor, Evanston, IL 60201.</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1" w:lineRule="exact"/>
        <w:rPr>
          <w:rFonts w:ascii="Arial" w:cs="Arial" w:eastAsia="Arial" w:hAnsi="Arial"/>
          <w:sz w:val="14"/>
          <w:szCs w:val="14"/>
          <w:color w:val="auto"/>
        </w:rPr>
      </w:pPr>
    </w:p>
    <w:p>
      <w:pPr>
        <w:ind w:left="340" w:right="300" w:hanging="332"/>
        <w:spacing w:after="0" w:line="248"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proxy.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in Delaware on July 10, 2020 and formed for the purpose of effecting a merger, share exchange, asset acquisition, share purchase, reorganization or similar business combination with one or more businesses. We are not limited to a particular industry or sector for purposes of consummating a business combination. We have focused our search for an initial business combination in the life sciences sector. Our Sponsor is CMLS Holdings LLC, a Delaware limited liability company (the “</w:t>
      </w:r>
      <w:r>
        <w:rPr>
          <w:rFonts w:ascii="Arial" w:cs="Arial" w:eastAsia="Arial" w:hAnsi="Arial"/>
          <w:sz w:val="18"/>
          <w:szCs w:val="18"/>
          <w:i w:val="1"/>
          <w:iCs w:val="1"/>
          <w:color w:val="auto"/>
        </w:rPr>
        <w:t>Sponsor</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registration statement on Form S-1 for the initial public offering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was declared effective on September 1, 2020. On September 4, 2020 we consummated the Initial Public Offering of 44,275,000 units (the “</w:t>
      </w:r>
      <w:r>
        <w:rPr>
          <w:rFonts w:ascii="Arial" w:cs="Arial" w:eastAsia="Arial" w:hAnsi="Arial"/>
          <w:sz w:val="18"/>
          <w:szCs w:val="18"/>
          <w:i w:val="1"/>
          <w:iCs w:val="1"/>
          <w:color w:val="auto"/>
        </w:rPr>
        <w:t>Units</w:t>
      </w:r>
      <w:r>
        <w:rPr>
          <w:rFonts w:ascii="Arial" w:cs="Arial" w:eastAsia="Arial" w:hAnsi="Arial"/>
          <w:sz w:val="18"/>
          <w:szCs w:val="18"/>
          <w:color w:val="auto"/>
        </w:rPr>
        <w:t>”), which includes the full exercise by the underwriter of its over-allotment option in the amount of 5,775,000 Units and, with respect to the shares of common stock included in the Units offered, the “</w:t>
      </w:r>
      <w:r>
        <w:rPr>
          <w:rFonts w:ascii="Arial" w:cs="Arial" w:eastAsia="Arial" w:hAnsi="Arial"/>
          <w:sz w:val="18"/>
          <w:szCs w:val="18"/>
          <w:i w:val="1"/>
          <w:iCs w:val="1"/>
          <w:color w:val="auto"/>
        </w:rPr>
        <w:t>Public Shares</w:t>
      </w:r>
      <w:r>
        <w:rPr>
          <w:rFonts w:ascii="Arial" w:cs="Arial" w:eastAsia="Arial" w:hAnsi="Arial"/>
          <w:sz w:val="18"/>
          <w:szCs w:val="18"/>
          <w:color w:val="auto"/>
        </w:rPr>
        <w:t>”), generating gross proceeds of $442 million and incurring underwriting commissions of $8.8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unit consists of one share of common stock and one-third of a redeemable warrant (a “</w:t>
      </w:r>
      <w:r>
        <w:rPr>
          <w:rFonts w:ascii="Arial" w:cs="Arial" w:eastAsia="Arial" w:hAnsi="Arial"/>
          <w:sz w:val="18"/>
          <w:szCs w:val="18"/>
          <w:i w:val="1"/>
          <w:iCs w:val="1"/>
          <w:color w:val="auto"/>
        </w:rPr>
        <w:t>Public Warrant</w:t>
      </w:r>
      <w:r>
        <w:rPr>
          <w:rFonts w:ascii="Arial" w:cs="Arial" w:eastAsia="Arial" w:hAnsi="Arial"/>
          <w:sz w:val="18"/>
          <w:szCs w:val="18"/>
          <w:color w:val="auto"/>
        </w:rPr>
        <w:t>”). A whole Public Warrant initially entitled the holder to purchase one share of common stock at a price of $11.50 per share, subject to adjustment in either case.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Simultaneously with the closing of the Initial Public Offering and the Over-Allotment, we consummated the private placement (“</w:t>
      </w:r>
      <w:r>
        <w:rPr>
          <w:rFonts w:ascii="Arial" w:cs="Arial" w:eastAsia="Arial" w:hAnsi="Arial"/>
          <w:sz w:val="16"/>
          <w:szCs w:val="16"/>
          <w:i w:val="1"/>
          <w:iCs w:val="1"/>
          <w:color w:val="auto"/>
        </w:rPr>
        <w:t>Private Placement</w:t>
      </w:r>
      <w:r>
        <w:rPr>
          <w:rFonts w:ascii="Arial" w:cs="Arial" w:eastAsia="Arial" w:hAnsi="Arial"/>
          <w:sz w:val="16"/>
          <w:szCs w:val="16"/>
          <w:color w:val="auto"/>
        </w:rPr>
        <w:t>”) of 7,236,667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at a price of $1.50 per private placement warrant, with our Sponsor and Mr. Islam and Dr. Leproust, generating gross proceeds of approximately $ 10 million. Each private placement warrant has the same terms as the Public Warrants.</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Upon the closing of the Initial Public Offering, the Over-Allotment and the Private Placement, approximately $ $442 million ($10.00 per Unit) of the net proceeds of the sale of the Units in the Initial Public Offering and the Private Placement Warrants in the Private Placement was placed in a U.S.-based trust account at J.P. Morgan Chase Bank, N.A. maintained by Continental Stock Transfer &amp; Trust Company, acting as trustee (the “</w:t>
      </w:r>
      <w:r>
        <w:rPr>
          <w:rFonts w:ascii="Arial" w:cs="Arial" w:eastAsia="Arial" w:hAnsi="Arial"/>
          <w:sz w:val="16"/>
          <w:szCs w:val="16"/>
          <w:i w:val="1"/>
          <w:iCs w:val="1"/>
          <w:color w:val="auto"/>
        </w:rPr>
        <w:t>Trust Account</w:t>
      </w:r>
      <w:r>
        <w:rPr>
          <w:rFonts w:ascii="Arial" w:cs="Arial" w:eastAsia="Arial" w:hAnsi="Arial"/>
          <w:sz w:val="16"/>
          <w:szCs w:val="16"/>
          <w:color w:val="auto"/>
        </w:rPr>
        <w:t>”). The proceeds held in the Trust Account were invested in U.S. government securities, within the meaning set forth in Section 2(a)(16) of the Investment Company Act 1940, as amended (the “</w:t>
      </w:r>
      <w:r>
        <w:rPr>
          <w:rFonts w:ascii="Arial" w:cs="Arial" w:eastAsia="Arial" w:hAnsi="Arial"/>
          <w:sz w:val="16"/>
          <w:szCs w:val="16"/>
          <w:i w:val="1"/>
          <w:iCs w:val="1"/>
          <w:color w:val="auto"/>
        </w:rPr>
        <w:t>Investment Company Act</w:t>
      </w:r>
      <w:r>
        <w:rPr>
          <w:rFonts w:ascii="Arial" w:cs="Arial" w:eastAsia="Arial" w:hAnsi="Arial"/>
          <w:sz w:val="16"/>
          <w:szCs w:val="16"/>
          <w:color w:val="auto"/>
        </w:rPr>
        <w:t>”), with a maturity of 180 days or less or in any open ended investment company that holds itself out as a money market fund selected by us meeting the conditions of paragraphs (d)(2), (d)(3) and (d)(4) of Rule 2a-7 of the Investment Company Act, as determined by us, until the earlier of: (i) the completion of a business combination, (ii) the redemption of any public shares properly submitted in connection with a stockholder vote to amend our sixth amended and restated certificate of incorporation to modify the substance or timing of our obligation to redeem 100% of our public shares if we do not complete a business combination within the combination period (as described below), and (iii) the redemption of our public shares if we are unable to complete a business combination within the combination period, subject to applicable law.</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protect the amounts held in the Trust Account, our Sponsor has agreed to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or (ii) the actual amount per public share held in the Trust Account as of the date of the liquidation of the Trust Account, if less than $10.00 per share due to reductions in the value of the trust assets, less taxes payable,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However, we have not asked the Sponsor to reserve for such indemnification obligations, nor have we independently verified whether the Sponsor has sufficient funds to satisfy its indemnity obligations and we believe that the Sponsor’s only assets are securities of ours. Therefore, we cannot assure that the Sponsor would be able to satisfy those obligations. None of our officers or directors will indemnify us for claims by third parties including, without limitation, claims by vendors and prospective target businesses. Moreover, in the event that an executed waiver is deemed to be unenforceable against a third party, the Sponsor will not be responsible to the extent of any liability for such third party claims. We will seek to reduce the possibility that the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the Over-Allotment, and the Private Placement, although substantially all of the net proceeds are intended to be applied toward consummating a business combination.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September 30, 2020, cash used in operating activities was $365,808. Net loss of $56,923 was affected by interest earned on marketable securities held in the Trust Account of $2,790 and changes in operating assets and liabilities, which used $306,095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our results of operations, financial position and cash flows may be materially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December 31, 2020, we had a net loss of $39,907,599, which consists of operating costs of $206,195, a change in the fair value of the warrant liability of $38,510,584, transaction costs of $1,204,771 offset by interest income on marketable securities held in the Trust Account of $13,951.</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2021, we had a net loss of $58,471,923, which consists of operating costs of $1,845,458, offset by interest income on marketable securities held in the Trust Account of $10,919, and a change in the value of the warrant liability of 56,637,684.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$39,907,599 was affected by interest earned on marketable securities held in the Trust Account of $13,951, a non-cash charge for the change in the fair value of warrant liabilities of $38,510,584,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of $1,204,771 and changes in operating assets and liabilities, which used $179,911 of cash from operating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$467,266. Net loss of $58,471,923 was affected by interest earned on marketable securities held in the Trust Account of $10,919, change in warrant liabilities of $56,637,684, and changes in operating assets and liabilities, which used $1,377,892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we had cash and marketable securities held in the Trust Account of $442,774,870.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March 31, 2021,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had $627,415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Munib Islam, Emily Leproust and Nat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Additionally, on October of 2020, the Sponsor also sold 166,667 private placement warrants to an entity associated with Mr. Turner for $1.50 per private placement warrant. Each Private Placement Warrant is exercisable to purchase one share of Class A common stock at a price of $11.50 per share, subject to adjustment.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as described in the section entitled “</w:t>
      </w:r>
      <w:r>
        <w:rPr>
          <w:rFonts w:ascii="Arial" w:cs="Arial" w:eastAsia="Arial" w:hAnsi="Arial"/>
          <w:sz w:val="18"/>
          <w:szCs w:val="18"/>
          <w:i w:val="1"/>
          <w:iCs w:val="1"/>
          <w:color w:val="auto"/>
        </w:rPr>
        <w:t>The Business Combination Proposal — Related Agreements — Forfeiture Agreemen</w:t>
      </w:r>
      <w:r>
        <w:rPr>
          <w:rFonts w:ascii="Arial" w:cs="Arial" w:eastAsia="Arial" w:hAnsi="Arial"/>
          <w:sz w:val="18"/>
          <w:szCs w:val="18"/>
          <w:color w:val="auto"/>
        </w:rPr>
        <w:t>t”, pursuant to the terms of the Forfeiture Agreement, up to a maximum of 33% of private placement warrants held by the Sponsor may be automatically cancelled immediately prior to the closing of the Business Combination with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a registration rights agreement entered into on September 1, 2020, as amended on February 9, 2021,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had identified the following as its critical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issued in the IPO has been estimated using a Monte Carlo simulation methodology as of the date of the IPO and such Warrants’ quoted market price as of December 31, 2020. The Private Placement Warrants were valued using a Modified Black Scholes Option 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indicated or the context otherwise requires, “Sema4,” “we,” “us” and “our” in this section generally refer to (i) Mount Sinai Genomics, Inc., a Delaware corporation, and its subsidiaries prior to the consummation of the Business Combination, which will be the business of the post-combination company and its subsidiaries following the consummation of the Business Combination, and (ii) the post-combination company and its subsidiaries following the consummation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 Company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 In collaboration with pharmaceutical and biotech, or Biopharma, companies, Sema4 receives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Sema4 expects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Sema4 combined with its revenue-generating diagnostics testing business and origins as a company conceived and nurtured within a world-class health system. These characteristics have enabled Sema4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Sema4 has almost 1000 employees, including over 160 Ph.D.-level data scientists whose collective work has been recognized in areas such as data science, network modeling, multiscale biotechnology and genomics.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Sema4 has since established and deployed its comprehensive and integrated genomics and information platforms, and intends to continue to expand its scale and reach through organic and inorganic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Sema4 expects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Sema4’s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Sema4’s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Sema4 to provide actionable, accurate, and cutting-edge insights from complex and comprehensive data assets. We also expect this platform to enable Sema4 to scale its operations and to improve its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engages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currently operates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Sema4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partner. Learning from our long-standing relationship with Mount Sinai, we have refined a health system engagement model that is both operational and economic and designed to maximize both Sema4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 based on clinical assessments that are informative but ultimately overly simplistic, based on low-dimensional biomarkers, with many diagnoses still applying thresholds that are predefined using standardized epidemiological tables.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is here to change that. Sema4’s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Sema4’s Next Generation Tools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Sema4 and providing consent for us to collect and store their EMR data. After creating an account, patients are able to manage and track the clinical analysis that Sema4 is performing for them, including by being able to track, receive, and understand the initial insights into their clinical tests and data (including expanded carrier screening, or ECS, tests, and hereditary cancer tests), and to access Sema4’s supporting clinical services, such as genetic counseling. Our patient portal also provides patients with the opportunity to partner with Sema4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not only collects data from external sources, but also generates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Traversa is our comprehensive genomics platform that has been designed to serve as the backbone of our genomic analysis products, and Sema4 is in the process of transitioning all of our genomic analyses to this platform. For products on the Traversa platform, Sema4 generates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 us to respond to requests for additional analysis quickly by generating “in silico” interpretations on genomic data already existing on a patient and to surface signals that might be medically relevant across a patient’s life course.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health information database that Sema4 has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Sema4 supports health systems and other clinical service providers by applying our Centrellis tools to their clinical workflows and medical record databases, and Sema4 receives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Sema4’s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Sema4’s Non-invasive Prenatal Select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Sema4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Natalis test is an extension of the Sema4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Sema4 Signal Precision Oncology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Sema4 has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 and post-test genetic counselling and family outreach to enable cascade testing.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 delivers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Sema4’s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response to the worldwide COVID-19 pandemic, in the first quarter of 2020, Sema4 rapidly leveraged its existing technologies and infrastructure capabilities, supplemented by a requisite set of technologies and services, to offer a comprehensive COVID-19 diagnostic testing service for our customers.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Sema4 implementing viral genomic sequencing and testing capabilities in our Branford lab, including securing a reliable supply chain for chemical reagents and testing kits. To complement the COVID-19 testing services, Sema4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Sema4 has completed hundreds of thousands of COVID-19 tests across a wide range of patients in both public and commercial settings.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has refined a health system engagement model designed to maximize both Sema4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Sema4’s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Sema4’s data curation capabilities for both structured and unstructured data to identify clinical utility that can be used by health system providers, researchers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jc w:val="both"/>
        <w:ind w:left="660" w:hanging="328"/>
        <w:spacing w:after="0" w:line="263" w:lineRule="auto"/>
        <w:tabs>
          <w:tab w:leader="none" w:pos="6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Sema4 and its health system partners.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seeks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Sema4 and its Health System Partners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pursues strategic relationships with health systems that evaluate financial returns on a holistic basis. We evaluate success on a long-term basis and recognize that the primary aim of every health system is to provide superior patient care with improved health economics. As such, Sema4 intends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Sema4 intends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Sema4 has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 Sema4 has also established a strategic relationship with AdventHealth, where we will focus on accelerating research through data structuring and curation of combined genomic and clinical data in AdventHealth’s Orlando-area network, which includes more than 20 hospitals and emergency departments, and accounts for more than 2 million patient visits annually.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as a Broker and Catalyst for Commercial Engagement Between Health System and Biopharma Companies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Sema4’s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Sema4 can support its health system partners by working more collaboratively with the health systems to understand their capabilities and how those capabilities are complemented by Sema4’s enhancement of a health systems’ data assets and clinical-genomic data generation capabilities, and by facilitating solutions that can be provided jointly to Biopharma companies. For example, Sema4 has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Sema4’s Biopharma Solutions Engage and Enable Our Partners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health system relationships and information-driven diagnostics solutions, combined with our powerful analytics capabilities and software solutions.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Sema4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Sema4’s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Sema4’s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and sensor data from mobile devices to enable sophisticated analyses and to include advanced causal network modeling.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particularly in the area of probabilistic causal reasoning from multi-layered data. Additionally, we support our customer’s real-world evidence needs by using our platform to characterize patient and diagnostic journeys. We work with collaborators, researchers, and key opinion leaders to build new models of disease and develop analytics solutions that enhance our understanding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Biopharma partners seeking to use high-quality genomic analysis to assess patient eligibility for clinical trials. For example, we announced a collaboration with Janssen Pharmaceutical Company of Johnson &amp; Johnson, or Janssen, in the area of genomic testing and advanced data analytics to more efficiently and accurately identify patients who could be candidates for oncology clinical trials in September of 2020. In December 2020, we also announced a strategic agreement with Merus N.V. to utilize our advanced genomic testing to identify patients with tumors harboring specific, rare mutations. We believe our clinical testing services and data solutions make us a key partner for supporting efficient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for our Biopharma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successfully collaborated with Biopharma partners in engagements that utilize our data access and our data curation, analytics, and sequencing capabilities across research, clinical development, and commercial applications, including but not limited to the aforementioned Sanofi, Janssen and Merus relationships. Although revenues from our Sanofi, Janssen and Merus relationships did not have a material impact on our consolidated results of operations during the years ended December 31, 2019 and 2020 or the three months ended March 31, 2021, these relationships demonstrate our ability to develop these strategic relationships with Biopharma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strategy for increasing our share in the Biopharma market is closely aligned and coordinated with our corporate strategic objectives. The core features of our Biopharma growth strategy are:</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Grow the multi-dimensional datasets that feed the Centrellis Platform</w:t>
      </w:r>
      <w:r>
        <w:rPr>
          <w:rFonts w:ascii="Arial" w:cs="Arial" w:eastAsia="Arial" w:hAnsi="Arial"/>
          <w:sz w:val="17"/>
          <w:szCs w:val="17"/>
          <w:color w:val="auto"/>
        </w:rPr>
        <w:t>: As we increase the amount of patient data flowing into Centrellis, we can offer</w:t>
      </w:r>
      <w:r>
        <w:rPr>
          <w:rFonts w:ascii="Arial" w:cs="Arial" w:eastAsia="Arial" w:hAnsi="Arial"/>
          <w:sz w:val="17"/>
          <w:szCs w:val="17"/>
          <w:i w:val="1"/>
          <w:iCs w:val="1"/>
          <w:color w:val="auto"/>
        </w:rPr>
        <w:t xml:space="preserve"> </w:t>
      </w:r>
      <w:r>
        <w:rPr>
          <w:rFonts w:ascii="Arial" w:cs="Arial" w:eastAsia="Arial" w:hAnsi="Arial"/>
          <w:sz w:val="17"/>
          <w:szCs w:val="17"/>
          <w:color w:val="auto"/>
        </w:rPr>
        <w:t>more and deeper insights to our Biopharma partners to assist them in next-generation drug discovery, development, and commercialization.</w:t>
      </w:r>
    </w:p>
    <w:p>
      <w:pPr>
        <w:spacing w:after="0" w:line="9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Continue to engage diverse patients and providers to increase patient access to clinical trials and improve trial recruitment: </w:t>
      </w:r>
      <w:r>
        <w:rPr>
          <w:rFonts w:ascii="Arial" w:cs="Arial" w:eastAsia="Arial" w:hAnsi="Arial"/>
          <w:sz w:val="18"/>
          <w:szCs w:val="18"/>
          <w:color w:val="auto"/>
        </w:rPr>
        <w:t>Our patient-centric</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includes finding relevant clinical trials for certain patients, and because we have growing relationships with established health systems, we have access to highly diverse patient populations. We act as a technology-enabled broker between health systems and Biopharma companies by working more collaboratively with the health systems to understand their capabilities, and how those capabilities are complemented by Sema4’s capabilities and Sema4’s enhancement of a health systems’ data assets and clinical-genomic data generation capabilities. We then facilitate the matching of the solutions that can be provided jointly to Biopharma companies, including to improve the speed and precision by which patients are identified and recruited into trials that may benefit them. As we grow the number of points of contact we have with health systems and patients, we intend to continue to scale this solution, ensuring that a broad and diverse patient population can access trials, and concomitantly that Biopharma clinical trials can recruit patients more quickly.</w:t>
      </w:r>
    </w:p>
    <w:p>
      <w:pPr>
        <w:spacing w:after="0" w:line="1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Focus on continual product development and improvement across our testing offerings and data solutions: </w:t>
      </w:r>
      <w:r>
        <w:rPr>
          <w:rFonts w:ascii="Arial" w:cs="Arial" w:eastAsia="Arial" w:hAnsi="Arial"/>
          <w:sz w:val="18"/>
          <w:szCs w:val="18"/>
          <w:color w:val="auto"/>
        </w:rPr>
        <w:t>Given the competitive markets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we must be responsive to scientific and technological advancements as well as customer needs in order to grow and maintain market share. We intend to continue to build upon our competitive advantages in data, analytics and patient and provider engagement to develop market leading products.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Form deep, integrated relationships with Biopharma partners that leverage the full breadth of our offerings: </w:t>
      </w:r>
      <w:r>
        <w:rPr>
          <w:rFonts w:ascii="Arial" w:cs="Arial" w:eastAsia="Arial" w:hAnsi="Arial"/>
          <w:sz w:val="17"/>
          <w:szCs w:val="17"/>
          <w:color w:val="auto"/>
        </w:rPr>
        <w:t>We believe that one of our strongest value</w:t>
      </w:r>
      <w:r>
        <w:rPr>
          <w:rFonts w:ascii="Arial" w:cs="Arial" w:eastAsia="Arial" w:hAnsi="Arial"/>
          <w:sz w:val="17"/>
          <w:szCs w:val="17"/>
          <w:i w:val="1"/>
          <w:iCs w:val="1"/>
          <w:color w:val="auto"/>
        </w:rPr>
        <w:t xml:space="preserve"> </w:t>
      </w:r>
      <w:r>
        <w:rPr>
          <w:rFonts w:ascii="Arial" w:cs="Arial" w:eastAsia="Arial" w:hAnsi="Arial"/>
          <w:sz w:val="17"/>
          <w:szCs w:val="17"/>
          <w:color w:val="auto"/>
        </w:rPr>
        <w:t>propositions to Biopharma partners is our ability to effectively integrate our multiple solutions into a coherent and holistic solution that we believe few of our competitors can offer. Biopharma companies are increasingly working in a more coordinated fashion across their research, development, and commercial departments, and we believe that we are in a strong position to build computational models that can inform decision-making in a more coordinated manner across these previously segregated parts of Biopharma companies. We intend to continue to pursue broad, collaborative, multi-faceted engagements with Biopharma partners that allow us to deliver the maximum value possible. We believe these engagements have the potential to provide recurring revenue streams via multi-year contracts.</w:t>
      </w:r>
    </w:p>
    <w:p>
      <w:pPr>
        <w:spacing w:after="0" w:line="12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i w:val="1"/>
          <w:iCs w:val="1"/>
          <w:color w:val="auto"/>
        </w:rPr>
        <w:t xml:space="preserve">Pursue novel business models that allow us to diversify our revenue streams: </w:t>
      </w:r>
      <w:r>
        <w:rPr>
          <w:rFonts w:ascii="Arial" w:cs="Arial" w:eastAsia="Arial" w:hAnsi="Arial"/>
          <w:sz w:val="16"/>
          <w:szCs w:val="16"/>
          <w:color w:val="auto"/>
        </w:rPr>
        <w:t>Given the unique insights we can deliver to Biopharma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there is a significant opportunity for us to grow our revenue through new strategic relationships with Biopharma partners. We are currently assessing multiple business models in this area, including those that involve revenue from drug development milestones and royalties. These potential business models include drug discovery-focused joint ventures with Biopharma customers as well as other relevant Biopharma industry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invested a substantial amount of time and expense into research and development for its technology and test offerings, which requires the continuous improvement of software capabilities to analyze data and process customer orders. Sema4’s research and development efforts focus on several key areas, including multiscale biotechnology, assay development across sequencing technologies, data science and engineering, and the development of network-based models. Sema4 expects its research and development activities to increase as it innovates and expands the application of its current and future platforms including Traversa and Centrellis.</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Sema4’s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128, and has contributed to discoveries relating to the genetic basis of common human diseases such as cancer, diabetes, obesity, and Alzheimer’s disease. Under the leadership of its CEO, Sema4’s research team comprises more than 160 Ph.D.-level scientists, complemented by additional physician scientists and certified technicians as of March 31, 2021. Ongoing collaborations with scientists and clinicians in the Mount Sinai and other healthcare systems allows Sema4’s research to remain patient-centered and clinically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has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fields of genomic and health information analysis present limited opportunities for patent protection, based on well-known legal precedents. As result, Sema4’s patent protection strategy is to protect its non-gene specific technology and its specific biomarkers. In this regard, as of March 31, 2021, we have three pending utility patent applications. The pending utility patent applications include a U.S. patent application related to a genome annotation software platform for annotating genomic intervals that are clinically relevant for analysis, a U.S. patent application related to a genetic carrier screening process, and an international Patent Cooperation Treaty application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United States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United States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above trends, Sema4 may need to conduct expensive studies in order to demonstrate the medical necessity and cost effectiveness of our products and services, in addition to the costs required to obtain FDA approvals. Sema4’s products and services may not be considered medically necessary or cost effective, or the discount percentages required to secure coverage may not yield an adequate margin over cost.</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Moreover, a payor’s decision to provide coverage for a diagnostic product does not imply that an adequate reimbursement rate will be approved. Adequate third-party reimbursement may not be available to enable Sema4 to maintain price levels sufficient to realize an appropriate return on our investment in device development. Legislative proposals to reform healthcare or reduce costs under government insurance programs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reimbursement for our products and services or exclusion of our products and services from coverage. The cost containment measures that healthcare payor and providers are instituting and any healthcare reform could significantly reduce Sema4’s revenue from the sale of any approved products and services. Sema4’s cannot provide any assurances that we will be able to obtain and maintain third-party coverage or adequate reimbursement for our products and services in whole or in part.</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Sema4’s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Sema4 maintains protocols intended to identify any overpayments. From time to time Sema4 may identify overpayments and be required to refund those amounts to governmental payors.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Sema4’s clinical reference laboratories in Connecticut are required to hold certain federal certificates to conduct its business. Under the Clinical Laboratory Improvement Act of 1988, or CLIA, Sema4 is required to hold a certificate applicable to the type of laboratory examinations it performs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1, 2021, Sema4 has a current certificate under CLIA to perform testing at our laboratory locations in Stamford and Branford, Connecticut. To renew this CLIA certificate, Sema4 is subject to survey and inspection every two years to assess compliance with program standards. Moreover, CLIA inspectors may make random inspections of Sema4’s clinical reference laboratories. The regulatory and compliance standards applicable to the testing Sema4 performs may change over time, and any such changes could have a material effect on its business.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Sema4’s clinical reference laboratory is out of compliance with CLIA requirements, it may be subject to sanctions such as suspension, limitation or revocation of its CLIA certificate, as well as directed plan of correction, state on-site monitoring, civil money penalties, civil injunctive suit or criminal penalties. Sema4 must maintain CLIA compliance and certification to be eligible to bill for diagnostic services provided to Medicare and Medicaid beneficiaries. If Sema4 were to be found out of compliance with CLIA requirements and subjected to sanction, its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is required to maintain a license to conduct testing in Connecticut. Connecticut laws establish standards for day-to-day operations of our laboratories in Stamford and Branford, Connecticut. If Sema4’s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Sema4’s business. As of March 1, 2021, Sema4 maintains a current license in good standing with CDHS. However, we cannot provide assurance that CDHS will at all times in the future find us to comply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Sema4’s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Sema4’s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Each Sema4 laboratory is licensed by New York, and Sema4 is currently approved for testing samples from New York. Sema4 is subject to periodic inspection by the NYDOH and it is required to demonstrate ongoing compliance with NYDOH regulations and standards.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states may adopt similar licensure requirements in the future, which may require Sema4 to modify, delay or stop its operations in such jurisdictions. Complying with licensure requirements in new jurisdictions may be expensive, time-consuming, and subject Sema4 to significant and unanticipated delays. If Sema4 identifies any other state with such requirements, or if Sema4 is contacted by any other state advising it of such requirements, Sema4 intends to follow instructions from the state regulators as to how we should comply with such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 provides its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Sema4 expects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FDA ultimately regulates certain LDTs as medical devices, whether via final guidance, final regulation, or as instructed by Congress, Sema4’s tests may be subject to certain additional regulatory requirements. Complying with the FDA's requirements for medical devices can be expensive, time-consuming, and subject Sema4 to significant or unanticipated delays. Insofar as Sema4 may be required to obtain premarket clearance or approval to perform or continue performing an LDT, Sema4 cannot assure you that it will be able to obtain such authorization. Even if Sema4 obtains regulatory clearance or approval where required, such authorization may not be for the intended uses that it believes are commercially attractive or are critical to the commercial success of our tests. As a result, the application of the FDA's medical device requirements to Sema4’s tests could materially and adversely affect its business, financial condition, and results of operations.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may obtain FDA premarket approval, or PMA, for some of its tests including its matched whole exome sequencing, or WES, and whole transcriptome sequencing, or WTS, tests. Devices subject to FDA regulation must undergo premarket review prior to commercialization unless the device is exempt from such review, and Sema4 expects that it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Sema4 is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Sema4 submitted its pre-submission package and held a pre-submission meeting with the FDA in 2020, and is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it may be required to conduct post-approval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Sema4’s tests will be cleared or approved on a timely basis, if at all. In addition, there can be no assurance that the labeling claims cleared or approved by the FDA will be consistent with Sema4’s current claims or adequate to support continued adoption of and reimbursement for its products. Ongoing compliance with FDA regulations could increase the cost of conducting its business, subject us to FDA inspections and other regulatory actions, and potentially subject it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Sema4 performs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Sema4 is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United States, there are various fraud and abuse laws with which we must comply, and Sema4 is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is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Sema4 must comply with such genetic privacy and testing laws in its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Sema4’s operations require employees to use certain hazardous chemicals, we also must comply with regulations on hazard communication and hazardous chemicals in laboratories. These regulations require Sema4,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prescriptive than those in the U.S. Enforcement of these laws vary from jurisdiction to jurisdiction, with a variety of civil or criminal penalties, or private rights of action.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Sema4 collects payment card information when receiving payments of insurance premiums or payments for Sema4’s products or services, Sema4 complies with PCI DSS as applicable to Sema4’s payment environment and PCI DSS merchant level, which is determined by Sema4’s volume of payment card transactions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Sema4 is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Sema4 complies with the CAN-SPAM Act in connection with its transmittal of commercial electronic mail messages, or Commercial Email Messages. Commercial Email Messages do not include emails that are informational or are transactional or relationship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Sema4 complies with TCPA in connection with its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Sema4 is subject to the CCPA with respect to personal information it collects from California consumers that is neither PHI under HIPAA nor patient information that Sema4 maintains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Sema4’s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Sema4’s market are:</w:t>
      </w:r>
    </w:p>
    <w:p>
      <w:pPr>
        <w:spacing w:after="0" w:line="171" w:lineRule="exact"/>
        <w:rPr>
          <w:sz w:val="20"/>
          <w:szCs w:val="20"/>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Sema4 compares favorably with its competitors on the basis of these factors. However, many of Sema4’s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Sema4 may not be able to compete effectively against these organizations.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is currently not a party to any material legal proceedings. From time to time, Sema4 may be involved in various disputes and litigation that is either judged to be not material or that arises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Sema4 could be held liable for damages and fines as a result of its, or its partner’s, business operations should contamination of the environment or individual exposure to hazardous substances occur. Sema4 cannot predict how changes in laws or new regulations will affect it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Sema4 relies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Sema4’s laboratory operations could be interrupted if it encounters delays or difficulties in securing these reagents, sequencers or other equipment or materials, and if we cannot obtain an acceptable substitute. Any such interruption could significantly affect its business, financial condition, results of operations and reputation. Sema4 believes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Sema4 to alter its laboratory operations. Transitioning to a new supplier would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may result in interruptions in our laboratory operations, could affect the performance specifications of its laboratory operations or could require that Sema4 revalidate our tests. We cannot assure you that Sema4 would be able to secure alternative equipment, reagents, and other materials, or bring such equipment, reagents, and materials online and revalidate them without experiencing interruptions in its workflow. If Sema4 encounters delays or difficulties in securing, reconfiguring, or revalidating the equipment and reagents Sema4 require for its tests, our business and reputation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consumers; federally qualified health centers; and Biopharma companies. In addition, during 2020,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Sema4 seeks payment from third party payers, such as a commercial health insurance company, Medicare or a Medicaid program, pursuant to contracts established between Sema4 and such third parties.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2020, reimbursement from health plans represented 78% of Sema4's consolidated revenue. In 2020, two customers each represented 10% or more of Sema4’s consolidated revenue, and no other customer represented 10% or more of Sema4’s consolidated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Culture and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Sema4 had 985 full time employees. To date, Sema4 has not experienced any work stoppages as a result of labor disputes, and Sema4 considers our relationship with its employees to be good. Sema4’s key human capital objectives in managing its business include attracting, developing and retaining top talent while integrating diversity, equity and inclusion principles and practices into our core values. Sema4 wants to attract a pool of diverse and exceptional candidates and support their career growth once they become employees. We also believe that Sema4’s ability to retain its workforce is dependent on its ability to foster an environment that is sustainably safe, respectful, fair and inclusive of everyone and promotes diversity, equity and inclusion inside and outside of its business.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is mission driven. Sema4’s employees are passionate about changing healthcare as sema4 knows it and impacting lives. Sema4 hires entrepreneurs who are comfortable with ambiguity and thrive on innovation and thoughtful discourse. Sema4 empowers its employees to iterate and rapidly execute on ideas. When the creative moment strikes, sema4 embraces efficient execution and adheres to robust security and compliance programs.</w:t>
      </w:r>
    </w:p>
    <w:p>
      <w:pPr>
        <w:spacing w:after="0" w:line="95"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Sema4’s culture has and will evolve but, at its core, it strives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Consider employees as its most prized asset,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Move at the speed of technology and the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 compassionate,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Think around corners,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Foster repeatable innovation,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Focus on our 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Facilities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Sema4’s corporate headquarters and main laboratory facility are both located in Stamford, Connecticut. Sema4’s headquarters comprises approximately 88,000 square feet of commercial office space and is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that is scheduled to expire on January 31, 2034. Sema4’s main separate laboratory facility is approximately 66,000 square feet of combined laboratory and office space and is subject to a lease that is scheduled to expire on October 31, 2046.</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Sema4 has two laboratory spaces in Branford, Connecticut. The larger laboratory facility comprises approximately 37,400 square feet of laboratory space that houses Sema4’s biorepository in a temperature and humidity-controlled lab space and is subject to a lease that is scheduled to expire on January 31, 2030. The smaller satellite laboratory and warehousing facility of 19,000 square feet is subject to a year-to-year 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also has product development team that is located in New York, New York, where its leases and occupy approximately 9,000 square feet of space across three parcels. The leases for two of these parcels are scheduled to expire on August 30, 2022, and the lease for the remaining parcel is month-to-month until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proxy statement. Some of the information contained in this discussion and analysis or set forth elsewhere in this proxy statement,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Sema4’s Management’s Discussion and Analysis of Financial Condition and Results of Operations section to “Sema4,” “we,” “us,” “our” and other similar terms refer to Sema4 prior to the Business Combination and to the post-combination company and its consolidated subsidiaries after giving effect to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Sema4 was established out of the Icahn School of Medicine at Mount Sinai, or ISMMS, and commenced operations in June 2017 as a commercial entity that could effectively engage diverse patient populations and health care institutions at scale. Sema4 has since established and deployed its comprehensive and integrated genomic and clinical data platform and established a mature diagnostic testing business.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Signal Whole Exome and Transcriptome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are unlikely to succeed, we may abandon them without any return on our investment. If we are unsuccessful in developing additional services, our potential for growth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Sema4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Employee Retention Credit, or ERC, distribution. During 2021, we received an additional $5.6 million under the PRF distribution.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Effective January 1, 2019, we adopted the new revenue guidance,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modified retrospective approach. Upon the adoption of ASC 606, we recognize revenue when control of the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is transferred to the customer in an amount that reflects the consideration which we expect to be entitled to in exchange for those goods or services.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 uninsured customers, we were not able to demonstrate a predictable pattern of collectability and, therefore, we recognized revenue when payment was received.</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potential future changes in insurance coverage policies, contractual rates, and other trends in the reimbursement of our tests, our collections may fluctuate significantly over time.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ASC 606, we recognize revenue for collaboration service agreements over time based on costs incurred during the contract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ASC 605, we recognized revenues when the contractual obligations were met based on the terms of the respective agreements.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Sema4’s audited financial statements in Note 6, “Related Party Transactions” and Sema4’s unaudited condensed financial statements in Note 6, “Related Party Transactions.”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Sema4’s audited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primarily consists of certain funding received under the CARES Act, sales and use taxes and gains and losses on equipment disposals. We recognized $2.6 million of the $5.4 million of funding received under the CARES Act as other income, net on the statements of operations and comprehensive loss during the year ended December 31, 2020 and recognized $5.6 million of additional funding received under the CARES Act during the three months ended March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2021, we accessioned approximately 239,140 tests in our laboratories, 175,944 tests of which were for COVID-19, compared to March 31, 2020, in which we accessioned approximately 54,808 tests in our laboratories, none of which were for COVID-19. This 336% increase in volume from 2020 to 2021 largely resulted from newly entered service agreements for COVID-19 testing as well as an increase in non-COVID-19 institutional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175,351</w:t>
            </w:r>
          </w:p>
        </w:tc>
        <w:tc>
          <w:tcPr>
            <w:tcW w:w="60" w:type="dxa"/>
            <w:vAlign w:val="bottom"/>
          </w:tcPr>
          <w:p>
            <w:pPr>
              <w:spacing w:after="0"/>
              <w:rPr>
                <w:sz w:val="19"/>
                <w:szCs w:val="19"/>
                <w:color w:val="auto"/>
              </w:rPr>
            </w:pPr>
          </w:p>
        </w:tc>
        <w:tc>
          <w:tcPr>
            <w:tcW w:w="78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191,667</w:t>
            </w:r>
          </w:p>
        </w:tc>
        <w:tc>
          <w:tcPr>
            <w:tcW w:w="6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196,174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119,623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76,551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53,831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8"/>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9"/>
        </w:trPr>
        <w:tc>
          <w:tcPr>
            <w:tcW w:w="4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Redeemable convertible preferred stock dividends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040" w:type="dxa"/>
            <w:vAlign w:val="bottom"/>
            <w:gridSpan w:val="4"/>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1"/>
              </w:rPr>
              <w:t>2019 to 2020</w:t>
            </w: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w w:val="93"/>
              </w:rPr>
              <w:t>2018 to 2019</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Sema4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1240"/>
          </w:cols>
          <w:pgMar w:left="320" w:top="1440" w:right="339" w:bottom="1440" w:gutter="0" w:footer="0" w:header="0"/>
          <w:type w:val="continuous"/>
        </w:sectPr>
      </w:pPr>
    </w:p>
    <w:bookmarkStart w:id="261" w:name="page262"/>
    <w:bookmarkEnd w:id="261"/>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$62.9 million, or 47%, from $133.3 million for the year ended December 31, 2018 to $196.2 million for the year ended December 31, 2019.</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184,648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92,093</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65,025</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54 %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27,530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 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1"/>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72,700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34,910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21,383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37,790</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108 %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13,527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53,831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33,118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19,947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20,713</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63 %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13,171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71,258</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242 %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10,035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 increased by $71.2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2"/>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(57)</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5"/>
              </w:rPr>
              <w:t>(dollars in 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(482)</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was due to interest earned on cash deposited in new money market deposit accounts in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1,691</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216 %  $</w:t>
            </w:r>
          </w:p>
        </w:tc>
        <w:tc>
          <w:tcPr>
            <w:tcW w:w="13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was driven by an increase in capital lease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8"/>
              </w:rPr>
              <w:t>2019 to 2020</w:t>
            </w:r>
          </w:p>
        </w:tc>
        <w:tc>
          <w:tcPr>
            <w:tcW w:w="1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2"/>
        </w:trPr>
        <w:tc>
          <w:tcPr>
            <w:tcW w:w="31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2"/>
              </w:rPr>
              <w:t>Gain on extinguishment of debt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 % $</w:t>
            </w:r>
          </w:p>
        </w:tc>
        <w:tc>
          <w:tcPr>
            <w:tcW w:w="13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2,118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420 %  $</w:t>
            </w:r>
          </w:p>
        </w:tc>
        <w:tc>
          <w:tcPr>
            <w:tcW w:w="138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385"/>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4"/>
                <w:szCs w:val="24"/>
                <w:color w:val="auto"/>
              </w:rPr>
            </w:pPr>
          </w:p>
        </w:tc>
      </w:tr>
      <w:tr>
        <w:trPr>
          <w:trHeight w:val="4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46,070</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r>
      <w:tr>
        <w:trPr>
          <w:trHeight w:val="236"/>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37"/>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405"/>
        </w:trPr>
        <w:tc>
          <w:tcPr>
            <w:tcW w:w="8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62,760</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46,070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16,690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ind w:right="657"/>
              <w:spacing w:after="0"/>
              <w:rPr>
                <w:sz w:val="20"/>
                <w:szCs w:val="20"/>
                <w:color w:val="auto"/>
              </w:rPr>
            </w:pPr>
            <w:r>
              <w:rPr>
                <w:rFonts w:ascii="Arial" w:cs="Arial" w:eastAsia="Arial" w:hAnsi="Arial"/>
                <w:sz w:val="18"/>
                <w:szCs w:val="18"/>
                <w:color w:val="auto"/>
              </w:rPr>
              <w:t>1,006</w:t>
            </w:r>
          </w:p>
        </w:tc>
        <w:tc>
          <w:tcPr>
            <w:tcW w:w="100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64,351</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46,655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17,696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$17.7 million, or 38%, from $46.7 million for the three months ended March 31, 2020 to $64.4 million for the three months ended March 31, 2021.</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Diagnostic test revenue increased by $16.7 million, or 36%, from $46.1 million for the three months ended March 31, 2020 to $62.8 million for the three months ended March 31, 2021. The increase was primarily attributable to an increase in volumes of 336%, partially offset by the change in the mix of tests performed and reduced reimbursement rates. The increase in volume was primarily driven by the introduction of COVID-19 testing in May of 2020. The lower pricing on COVID-19 testing relative to other diagnostic tests and an overall decrease in average pricing on Women’s Health and Oncology testing contributed to lower revenues generated per test for the three months ended March 31, 2021 relative to the three months ended March 31, 2020.</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increased by $1.0 million, or 172%, from $0.6 million for the three months ended March 31, 2020 to $1.6 million for the three months ended March 31, 2021.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32,573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$32.6 million, or 83%, from $39.2 million for the three months ended March 31, 2020 to $71.8 million for the three months ended March 31, 2021. The increase was primarily attributable to the following cost components: a $19.7 million increase in stock-based compensation expense primarily driven by the increase in fair value of the liability-classified awards; a $3.9 million increase in personnel-related expenses driven by an increase in average headcount; a $2.4 million increase in outside labor costs driven by temporary hires contracted to perform COVID-19 testing activities; a $1.3 million increase in expenses for other services such as genetic counseling, shipping and phlebotomy services; a $1.3 million increase in reagents and laboratory supplies expense due primarily to the 336% increase in accessioned volumes coupled with the lower per test cost of performing carrier screening and COVID-19 tests relative to our other tests; a $1.3 million increase in depreciation expenses driven by an increase in leasehold improvements; a $1.1 million increase in software expenses due to increased cloud storage and expanded computing capacity requirements from New York City to Stamford, Connecticut for testing data; and a $0.7 million increase in occupancy expenses in connection with our laboratory move as production activities began at the Stamford facility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53,131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40,035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 increased by $40.0 million, or 306%, from $13.1 million for the three months ended March 31, 2020 to $53.1 million for the three months ended March 31, 2021. The increase was primarily attributable to the following cost components: a $38.0 million increase in stock-based compensation expense driven by the increase in fair value of the liability-classified awards; and a $2.0 million increase in expenses for reagents, laboratory supplies and laboratory software for research and development use driven by an increase in the number of, and required investment in, research and development studies.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11,733</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19,836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Selling and marketing expense increased by $19.9 million, or 169%, from $11.7 million for the three months ended March 31, 2020 to $31.6 million for the three months ended March 31, 2021. The increase was primarily attributable to the following cost components: a $17.3 million increase in stock-based compensation expense driven by the increase in fair value of the liability-classified awards; a $2.1 million increase in personnel-related expenses driven by increased headcount; a $0.5 million increase in information technology related expenses; and a $0.4 million increase in consulting and outside service expenses to support revenue cycle transformation initiatives. These increases were partially offset by a $0.6 million decrease in travel and entertainment expenses driven by reduced business travel during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101,917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94,753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1,323 %</w:t>
            </w:r>
          </w:p>
        </w:tc>
      </w:tr>
    </w:tbl>
    <w:p>
      <w:pPr>
        <w:spacing w:after="0" w:line="2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and administrative expense increased by $94.7 million, or 1,323%, from $7.2 million for the three months ended March 31, 2020 to $101.9 million for the three months ended March 31, 2021. The increase was primarily attributable to the following cost components: an $89.3 million increase in stock-based compensation expense driven by the increase in fair value of the liability-classified awards and an increase in the number of outstanding awards; a $2.5 million increase in expenses for professional services associated with expected public company requirements; a $2.0 million increase in personnel-related expenses driven by an increase in average headcount including executive headcount; a $0.6 million increase in insurance expenses driven by transitioning to standalone insurance policies separate from ISMMS; and a $0.3 million increase in software expenses due to increased cloud storage capacity requirements. These increases were partially offset by a $0.6 million decrease in occupancy expenses in connection with our laboratory move from New York City to Stamford,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200" w:type="dxa"/>
            <w:vAlign w:val="bottom"/>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2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(398)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Related party expenses decreased by $0.4 million, or 18.1%, from $2.2 million for the three months ended March 31, 2020 to $1.8 million for the three months ended March 31, 2021. The decrease was primarily attributable to the following cost components: a $0.2 million decrease in fees associated with information technology support pursuant to the transition services agreement with ISMMS; and a $0.2 million decrease in rent and facility expenses driven by a reduction of office and lab space leased from ISMMS pursuant to the transition services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120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Interest income decreased by $0.3 million, or 94%, from $0.3 million for the three months ended March 31, 2020 to a nominal amount for the three months ended March 31, 2021. The decrease was due to declines in interest rates on money market deposit accounts and reductions in the average cash balances held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Pr>
          <w:p>
            <w:pPr>
              <w:spacing w:after="0"/>
              <w:rPr>
                <w:sz w:val="16"/>
                <w:szCs w:val="16"/>
                <w:color w:val="auto"/>
              </w:rPr>
            </w:pP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increased by $0.1 million, or 26%, from $0.6 million for the three months ended March 31, 2020 to $0.7 million for the three months ended March 31, 2021. The increase was driven by new loans executed in the second half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6"/>
                <w:szCs w:val="16"/>
                <w:color w:val="auto"/>
              </w:rPr>
            </w:pPr>
          </w:p>
        </w:tc>
        <w:tc>
          <w:tcPr>
            <w:tcW w:w="1160" w:type="dxa"/>
            <w:vAlign w:val="bottom"/>
          </w:tcPr>
          <w:p>
            <w:pPr>
              <w:jc w:val="center"/>
              <w:ind w:left="22"/>
              <w:spacing w:after="0"/>
              <w:rPr>
                <w:sz w:val="20"/>
                <w:szCs w:val="20"/>
                <w:color w:val="auto"/>
              </w:rPr>
            </w:pPr>
            <w:r>
              <w:rPr>
                <w:rFonts w:ascii="Arial" w:cs="Arial" w:eastAsia="Arial" w:hAnsi="Arial"/>
                <w:sz w:val="14"/>
                <w:szCs w:val="14"/>
                <w:b w:val="1"/>
                <w:bCs w:val="1"/>
                <w:color w:val="auto"/>
                <w:w w:val="93"/>
              </w:rPr>
              <w:t>2020 to 2021</w:t>
            </w:r>
          </w:p>
        </w:tc>
        <w:tc>
          <w:tcPr>
            <w:tcW w:w="960" w:type="dxa"/>
            <w:vAlign w:val="bottom"/>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5,562</w:t>
            </w:r>
          </w:p>
        </w:tc>
        <w:tc>
          <w:tcPr>
            <w:tcW w:w="960" w:type="dxa"/>
            <w:vAlign w:val="bottom"/>
            <w:shd w:val="clear" w:color="auto" w:fill="CCEEFF"/>
          </w:tcPr>
          <w:p>
            <w:pPr>
              <w:jc w:val="right"/>
              <w:spacing w:after="0" w:line="231"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 Not Meaningful (“NM”)</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increased by $5.6 million from a nominal amount for the three months ended March 31, 2020 to $5.6 million for the three months ended March 31, 2021. The increase in other income, net was primarily attributable to $5.6 million in funding that we received and recognized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183"/>
        </w:trPr>
        <w:tc>
          <w:tcPr>
            <w:tcW w:w="59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133,341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184,648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92,093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76,551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41,248</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748</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4,122</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(3)</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30,380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79,120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46,118</w:t>
            </w:r>
          </w:p>
        </w:tc>
      </w:t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64,351</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46,655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71,812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39,239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(7,461)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7,416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w:t>
            </w: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574</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12,599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8,110</w:t>
            </w:r>
          </w:p>
        </w:tc>
      </w:tr>
      <w:tr>
        <w:trPr>
          <w:trHeight w:val="234"/>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4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62"/>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professional service costs directly related to the Business Combination.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For the three months ended March 31, 2021, consists of funding received under the CARES Act Provider Relief Fund.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incurred net losses and negative cash flows from operations since our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Through March 31, 2021, we have funded our operations primarily with proceeds from the issuance of redeemable convertible preferred stock and the issuance of long-term debt. We intend to raise additional capital through the Business Combination. If we are unable to raise additional capital through the Business Combination, or if we require additional capital prior to the consummation of the Business Combination, we expect to seek additional funding through private equity financings, debt financings or other capital sources, including collaborations with other companies or other strategic transactions, subject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covenants under the Merger Agreement related to the conduct of our business prior to the Closing. In particular, we may seek to borrow up to $20 million in additional funds on a short term basis, which we expect would be repaid upon the consummation of the Business Combination; however, we have no binding commitments to access any such financing. Additional capital may not be available on reasonable terms, or at all. The terms of any financing may adversely affect the holdings or the rights of our stockholders.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obtain funding, we will be forced to delay, reduce or eliminate some or all of our research and development programs, product portfolio expansion or commercialization efforts, which could adversely affect our business financial condition, results of operations, or prospects, or we may be unable to continue operations. Although management continues to pursue these plans, there is no assurance that we will be successful in obtaining sufficient funding on acceptable terms to fund continuing operations, if at all.</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June 10, 2021, the issuance date of our unaudited condensed financial statements for the three months ended March 31, 2021 included elsewhere in this proxy statement, we have concluded that there is substantial doubt about our ability to continue as a going concern for a period of one year from the date that these financial statements were issued. Our cash and cash equivalents excluding restricted cash were $58.7 million as of March 31, 2021. As of June 10, 2021, the issuance date of our unaudited condensed financial statements for the three months ended March 31, 2021, we expect that our existing cash and cash equivalents will be sufficient to fund our operating expenses and capital expenditure requirements into the third quarter of 2021. Beyond that point, our ability to continue as a going concern is dependent on our ability to raise additional capital to finance our operations.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included elsewhere in this proxy statement do not include any adjustments that might result from the outcome of this uncertainty. Accordingly, the financial statements have been prepared on a basis that assumes we will continue as a going concern and which contemplates the realization of assets and satisfaction of liabilities and commitments in the ordinary course of business. Please see also “Risk Factors – Sema4 may need to raise additional capital to fund its existing operations, develop additional products and services, commercialize new products and services or expand its operations.”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2020 and March 31, 2021. We anticipate fulfilling such commitments with our existing cash and cash equivalents, which amounted to $108.1 million and $58.7 million as of December 31, 2020 and March 31, 2021, respectively, or through additional capital raised to finance our operations; see "—Going Concern, Liquidity and Capital Resources".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and $71.5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future payments under capital leases were $70.2 million as of December 31, 2020 and $69.2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$11.0 million at December 31, 2020 and March 31, 2021, respectively. The DECD may grant partial principal loan forgiveness that is contingent upon Sema4 achieving certain milestones. The timing of these future payments, by year, can be found in Sema4’s audited financial statements in Note 7, “Long-Term Debt” and Sema4’s unaudited condensed financial statements in Note 7, “Long-term debt.”</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and $5.8 million at December 31, 2020 and March 31, 2021, respectively. The timing of these future payments, by year, can be found in Sema4’s audited financial statements in Note 7, “Long-Term Debt” and Sema4’s unaudited condensed financial statements in Note 7, “Long-term debt,” respectively.</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$3.6 million and $3.5 million at December 31, 2020 and March 31, 2021, respectively. The timing of these future payments, by year, can be found Sema4’s audited financial statements in Note 7, “Long-Term Debt” and Sema4’s unaudited condensed financial statements in Note 7, “Long-term debt,”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(93,128)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(18,728)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(31,974)</w:t>
            </w:r>
          </w:p>
        </w:tc>
        <w:tc>
          <w:tcPr>
            <w:tcW w:w="22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(15,456)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129,056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148,012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during the three months ended March 31, 2021 was $42.2 million, which was primarily attributable to a net loss of $191.0 million and a net change in our operating assets and liabilities of $23.1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$6.5 million increase in prepaid expenses and other current assets mainly driven by professional services costs directly related to the Business Combination, a $3.5 million increase in accounts payable and accrued expenses due to the timing of vendor payments, and an $8.7 million decrease in other current liabilities mainly driven by a decline in our bonus accrual following bonus payments in March 2021.</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during the three months ended March 31, 2020 was $22.6 million, which was primarily attributable to a net loss of $27.0 million, partially offset by non-cash depreciation and amortization of $2.4 million, non-cash stock-based compensation expense of $0.8 million and non-cash lease expenses of $1.1 million. The net change in our operating assets and liabilities was nominal for the three months ended March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was $5.0 million, which was attributable to $2.1 million in purchases of property and equipment and $2.9 million of costs related to development of internal-use software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2020 was $5.3 million, which was attributable to $3.9 million in purchases of property and equipment and $1.4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Net cash used in financing activities during the three months ended March 31, 2021 was $2.3 million, which was attributable to $1.3 million in payments for deferred transaction costs related to the Business Combination, $1.0 million in principal payments on our capital lease obligations and $0.4 million in principal payments on our long-term debt obligations, offset by $0.4 million cash received from stock option exercise.</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financing activities during the three months ended March 31, 2020 was $4.7 million, which was attributable to $6.0 million in net cash proceeds from the issuance of long-term debt, partially offset by $1.3 million in principal payments on our capital lease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$69.5 million at March 31,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1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are based upon management’s assessment of expected net collections, business and economic conditions, historical trends, trends in federal, state and private employer health care coverage and other collection indicators.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institutional clients, the customer is the institution. Sema4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Sema4’s estimates, Sema4 will adjust these estimates, which could affect revenue and earnings in the period such variances become known.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we would not be able to fulfill its underlying promise to its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3" w:lineRule="exact"/>
        <w:rPr>
          <w:sz w:val="20"/>
          <w:szCs w:val="20"/>
          <w:color w:val="auto"/>
        </w:rPr>
      </w:pPr>
    </w:p>
    <w:p>
      <w:pPr>
        <w:ind w:right="1520" w:firstLine="324"/>
        <w:spacing w:after="0" w:line="438"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“Stock-Based Compensation” and Sema4’s unaudited condensed financial statements in Note 9, “Stock-Based Compensation.”</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Sema4 concludes is a period of at least six months.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 since all awards have accelerated vesting features upon a liquidation event and we generally do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dividend yield is zero.</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was determined by our board of directors, with input from management and independent third-party valuations, as discussed in “Common Stock Valuations”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ind w:right="240" w:firstLine="324"/>
        <w:spacing w:after="0" w:line="438"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134" w:lineRule="exact"/>
        <w:rPr>
          <w:sz w:val="20"/>
          <w:szCs w:val="20"/>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December 31,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preparation of our audited financial statements included elsewhere in this proxy statement, we identified material weaknesses in our internal control over financial reporting,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33" w:lineRule="exact"/>
        <w:rPr>
          <w:sz w:val="20"/>
          <w:szCs w:val="20"/>
          <w:color w:val="auto"/>
        </w:rPr>
      </w:pPr>
    </w:p>
    <w:p>
      <w:pPr>
        <w:jc w:val="both"/>
        <w:ind w:left="660" w:hanging="328"/>
        <w:spacing w:after="0" w:line="263"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2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4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4" w:lineRule="exact"/>
        <w:rPr>
          <w:sz w:val="20"/>
          <w:szCs w:val="20"/>
          <w:color w:val="auto"/>
        </w:rPr>
      </w:pPr>
    </w:p>
    <w:p>
      <w:pPr>
        <w:jc w:val="both"/>
        <w:ind w:left="660" w:hanging="328"/>
        <w:spacing w:after="0" w:line="263"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16" w:lineRule="exact"/>
        <w:rPr>
          <w:sz w:val="20"/>
          <w:szCs w:val="20"/>
          <w:color w:val="auto"/>
        </w:rPr>
      </w:pPr>
    </w:p>
    <w:p>
      <w:pPr>
        <w:ind w:left="660" w:hanging="328"/>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OF SEMA4</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Unless the context otherwise requires, any reference in this section of this proxy statement to “Sema4,” “we,” “us” or “our” refers to Sema4 and its consolidated subsidiaries prior to the consummation of the Business Combination and to the post-combination company and its consolidated subsidiaries following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16"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Eric Schadt, Ph.D., Sema4’s founder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20" w:type="dxa"/>
            <w:vAlign w:val="bottom"/>
          </w:tcPr>
          <w:p>
            <w:pPr>
              <w:jc w:val="right"/>
              <w:ind w:right="577"/>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Eric Schadt, Ph.D.</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James Coffin, Ph.D.</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line="182" w:lineRule="exact"/>
              <w:rPr>
                <w:sz w:val="20"/>
                <w:szCs w:val="20"/>
                <w:color w:val="auto"/>
              </w:rPr>
            </w:pPr>
            <w:r>
              <w:rPr>
                <w:rFonts w:ascii="Arial" w:cs="Arial" w:eastAsia="Arial" w:hAnsi="Arial"/>
                <w:sz w:val="17"/>
                <w:szCs w:val="17"/>
                <w:color w:val="auto"/>
              </w:rPr>
              <w:t xml:space="preserve">Joel Sendek </w:t>
            </w:r>
            <w:r>
              <w:rPr>
                <w:rFonts w:ascii="Arial" w:cs="Arial" w:eastAsia="Arial" w:hAnsi="Arial"/>
                <w:sz w:val="21"/>
                <w:szCs w:val="21"/>
                <w:color w:val="auto"/>
                <w:vertAlign w:val="superscript"/>
              </w:rPr>
              <w:t>(4)</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tcPr>
          <w:p>
            <w:pPr>
              <w:spacing w:after="0"/>
              <w:rPr>
                <w:sz w:val="15"/>
                <w:szCs w:val="15"/>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08914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40" w:right="40" w:hanging="332"/>
        <w:spacing w:after="0" w:line="260" w:lineRule="auto"/>
        <w:tabs>
          <w:tab w:leader="none" w:pos="332" w:val="left"/>
        </w:tabs>
        <w:numPr>
          <w:ilvl w:val="0"/>
          <w:numId w:val="226"/>
        </w:numPr>
        <w:rPr>
          <w:rFonts w:ascii="Arial" w:cs="Arial" w:eastAsia="Arial" w:hAnsi="Arial"/>
          <w:sz w:val="13"/>
          <w:szCs w:val="13"/>
          <w:color w:val="auto"/>
        </w:rPr>
      </w:pPr>
      <w:r>
        <w:rPr>
          <w:rFonts w:ascii="Arial" w:cs="Arial" w:eastAsia="Arial" w:hAnsi="Arial"/>
          <w:sz w:val="13"/>
          <w:szCs w:val="13"/>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audited financial statements included in this proxy statement. Such grant-date fair market value does not take into account any estimated forfeitures related to service-based vesting conditions.</w:t>
      </w:r>
    </w:p>
    <w:p>
      <w:pPr>
        <w:ind w:left="320" w:hanging="312"/>
        <w:spacing w:after="0"/>
        <w:tabs>
          <w:tab w:leader="none" w:pos="32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8"/>
                <w:szCs w:val="18"/>
                <w:b w:val="1"/>
                <w:bCs w:val="1"/>
                <w:color w:val="auto"/>
                <w:w w:val="92"/>
                <w:vertAlign w:val="superscript"/>
              </w:rPr>
              <w:t>(1)</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 Exercise Price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5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Exercisable (#)</w:t>
            </w:r>
          </w:p>
        </w:tc>
        <w:tc>
          <w:tcPr>
            <w:tcW w:w="2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Options Unexercisable (#)</w:t>
            </w: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2000" w:type="dxa"/>
            <w:vAlign w:val="bottom"/>
            <w:shd w:val="clear" w:color="auto" w:fill="CCEEFF"/>
          </w:tcPr>
          <w:p>
            <w:pPr>
              <w:jc w:val="center"/>
              <w:ind w:left="233"/>
              <w:spacing w:after="0" w:line="224" w:lineRule="exact"/>
              <w:rPr>
                <w:sz w:val="20"/>
                <w:szCs w:val="20"/>
                <w:color w:val="auto"/>
              </w:rPr>
            </w:pPr>
            <w:r>
              <w:rPr>
                <w:rFonts w:ascii="Arial" w:cs="Arial" w:eastAsia="Arial" w:hAnsi="Arial"/>
                <w:sz w:val="18"/>
                <w:szCs w:val="18"/>
                <w:color w:val="auto"/>
                <w:w w:val="85"/>
              </w:rPr>
              <w:t>6/1/2017</w:t>
            </w:r>
            <w:r>
              <w:rPr>
                <w:rFonts w:ascii="Arial" w:cs="Arial" w:eastAsia="Arial" w:hAnsi="Arial"/>
                <w:sz w:val="23"/>
                <w:szCs w:val="23"/>
                <w:color w:val="auto"/>
                <w:w w:val="85"/>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8"/>
              </w:rPr>
              <w:t>10/17/2019</w:t>
            </w:r>
            <w:r>
              <w:rPr>
                <w:rFonts w:ascii="Arial" w:cs="Arial" w:eastAsia="Arial" w:hAnsi="Arial"/>
                <w:sz w:val="23"/>
                <w:szCs w:val="23"/>
                <w:color w:val="auto"/>
                <w:w w:val="88"/>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80" w:type="dxa"/>
            <w:vAlign w:val="bottom"/>
          </w:tcPr>
          <w:p>
            <w:pPr>
              <w:jc w:val="center"/>
              <w:ind w:right="37"/>
              <w:spacing w:after="0"/>
              <w:rPr>
                <w:sz w:val="20"/>
                <w:szCs w:val="20"/>
                <w:color w:val="auto"/>
              </w:rPr>
            </w:pPr>
            <w:r>
              <w:rPr>
                <w:rFonts w:ascii="Arial" w:cs="Arial" w:eastAsia="Arial" w:hAnsi="Arial"/>
                <w:sz w:val="18"/>
                <w:szCs w:val="18"/>
                <w:color w:val="auto"/>
                <w:w w:val="89"/>
              </w:rPr>
              <w:t>687,500</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10/17/2029</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9"/>
              </w:rPr>
              <w:t>1,283,294</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9"/>
              </w:rPr>
              <w:t>8/31/2017</w:t>
            </w:r>
            <w:r>
              <w:rPr>
                <w:rFonts w:ascii="Arial" w:cs="Arial" w:eastAsia="Arial" w:hAnsi="Arial"/>
                <w:sz w:val="23"/>
                <w:szCs w:val="23"/>
                <w:color w:val="auto"/>
                <w:w w:val="89"/>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14,222</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8"/>
              </w:rPr>
              <w:t>3,278</w:t>
            </w:r>
          </w:p>
        </w:tc>
        <w:tc>
          <w:tcPr>
            <w:tcW w:w="1540" w:type="dxa"/>
            <w:vAlign w:val="bottom"/>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9"/>
              </w:rPr>
              <w:t>451,706</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line="211" w:lineRule="exact"/>
              <w:rPr>
                <w:sz w:val="20"/>
                <w:szCs w:val="20"/>
                <w:color w:val="auto"/>
              </w:rPr>
            </w:pPr>
            <w:r>
              <w:rPr>
                <w:rFonts w:ascii="Arial" w:cs="Arial" w:eastAsia="Arial" w:hAnsi="Arial"/>
                <w:sz w:val="18"/>
                <w:szCs w:val="18"/>
                <w:color w:val="auto"/>
              </w:rPr>
              <w:t>Joel Sendek</w:t>
            </w:r>
            <w:r>
              <w:rPr>
                <w:rFonts w:ascii="Arial" w:cs="Arial" w:eastAsia="Arial" w:hAnsi="Arial"/>
                <w:sz w:val="23"/>
                <w:szCs w:val="23"/>
                <w:color w:val="auto"/>
                <w:vertAlign w:val="superscript"/>
              </w:rPr>
              <w:t>(6)</w:t>
            </w:r>
          </w:p>
        </w:tc>
        <w:tc>
          <w:tcPr>
            <w:tcW w:w="2000" w:type="dxa"/>
            <w:vAlign w:val="bottom"/>
          </w:tcPr>
          <w:p>
            <w:pPr>
              <w:jc w:val="center"/>
              <w:ind w:left="233"/>
              <w:spacing w:after="0" w:line="211"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9"/>
              </w:rPr>
              <w:t>1,209,926</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rPr>
              <w:t>__________________</w:t>
            </w: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upon a change in control transaction.</w:t>
      </w:r>
    </w:p>
    <w:p>
      <w:pPr>
        <w:ind w:left="340" w:right="120" w:hanging="332"/>
        <w:spacing w:after="0" w:line="241"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120" w:hanging="332"/>
        <w:spacing w:after="0" w:line="241"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 w:lineRule="exact"/>
        <w:rPr>
          <w:rFonts w:ascii="Arial" w:cs="Arial" w:eastAsia="Arial" w:hAnsi="Arial"/>
          <w:sz w:val="14"/>
          <w:szCs w:val="14"/>
          <w:color w:val="auto"/>
        </w:rPr>
      </w:pPr>
    </w:p>
    <w:p>
      <w:pPr>
        <w:ind w:left="340" w:right="60" w:hanging="332"/>
        <w:spacing w:after="0" w:line="244"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when the Earnout RSUs are granted following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Named Executive Officers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of Sema4’s current named executive officers has entered into an employment agreement with Sema4 that provides for at-will employment and includes each named executive officer’s base salary, a discretionary incentive bonus opportunity and standard employee benefit plan participation. In connection with the Business Combination, we have entered into amended and restated employment agreements with each named executive officer to provide for an annual base salary of $675,000 and a target annual bonus of 100% of annual base salary, in the case of Dr. Schadt, and an annual base salary of $550,000 and a target annual bonus of 70% of annual base salary, in the case of Dr. Coffin. The amended and restated employment agreements also provide for the potential payments and benefits upon a termination of employment or in connection with a change in control as described below in “— Potential Payments upon Termination or Change in Control.” In addition, Dr’s Schadt’s amended and restated employment agreement provides for Dr. Schadt to receive a grant of stock options following the closing of the Business Combination representing the opportunity to purchase a number of shares of Company Class A common stock equal to 1.4% of the total number of shares of Company Class A common stock outstanding as of immediately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closing of the Business Combination, and Dr. Coffin’s amended and restated employment agreement provides for Dr. Coffin to receive a grant of stock options following the closing of the Business Combination representing the opportunity to purchase a number of shares of Company Class A common stock equal to 0.4% of the total number of shares of Company Class A common stock outstanding as of immediately following the closing of the Business Combination. These awards will be granted under the Incentive Plan and will be subject to service-based vesting conditions.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connection with the amended and restated employment agreements, each of Dr. Schadt and Dr. Coffin agreed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Company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his amended and restated employment agreement, if Dr. Schadt is terminated without “cause” or resigns for “good reason” (as such terms will be defined in his amended and restated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amended and restated employment agreement, if Dr. Coffin is terminated without “cause” or resigns for “good reason” (as such terms will be defined in his amended and restated employment agreement) other than in connection with a change in control, he will be entitled to receive 12 months of base salary continuation and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above in “—Outstanding Equity Awards at 2020 Fiscal Year-End”, a portion of the stock options held by Dr. Schadt would vest upon a change in control transaction. Our Board has determined that the Business Combination will not constitute a change in control transaction for purposes of our named executive officer’s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2017 Plan was adopted by Sema4’s board of directors and approved by its stockholders on April 2017. The 2017 Plan allows for the grant of stock options, stock appreciation rights, restricted stock, and restricted stock units, or RSUs, as described below. As of March 31, 2021, Sema4 had 122,000 shares of Class A common stock and 11,710,025 shares of Class B common stock reserved for issuance pursuant to awards under Sema4’s 2017 Plan, of which 3,014,526 shares remained available for grant. Sema4 expects to terminate the 2017 Plan upon the effective date of the Equity Incentive Plan, which will be the date immediately prior to the Closing. Any awards granted under the 2017 Plan that remain outstanding as of such date will continue to be subject to the terms of Sema4’s 2017 Plan and applicable award agreements until such awards are exercised or amended or until they terminate or expire by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Sema4’s 2017 Plan is administered by its board of directors or a committee appointed by Sema4’s board of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2017 Plan, Sema4’s board of directors has the authority to, among other things, select the persons to whom awards will be granted, construe and interpret Sema4’s 2017 Plan as well as to prescribe, amend, and rescind rules and regulations relating to the 2017 Plan and awards granted pursuant to the 2017 Plan.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Pursuant to the 2017 Plan, Sema4 may grant incentive stock options only to its employees (including officers and directors who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Sema4 may grant non-statutory stock options, stock appreciation rights, restricted stock, and restricted stock units to its employees, directors, and consultants.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2017 Plan provides for the grant of both (i) incentive stock options, which are intended to qualify for tax treatment as set forth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(ii) non-statutory stock options to purchase shares of Sema4’s common stock, each at a stated exercise price. The exercise price of each stock option must be at least equal to the fair market value of Sema4’s common stock on the date of grant, except that incentive stock options granted to any individual who owns more than ten percent of the total combined voting power of all classes of Sema4’s capital stock must have an exercise price at least equal to 110% of the fair market value of Sema4’s common stock on the date of grant. The maximum term of options granted under Sema4’s 2017 Plan is ten years from the date of grant, except that the maximum permitted term of incentive stock options granted to an individual who owns stock representing more than ten percent of the total combined voting power of all classes of Sema4’s capital stock is five years from the date of grant.</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a termination of a participant’s termination of service for any reason other than disability or death, an option is generally exercisable, to the extent vested, for a period of not less than 30 days in the case of termination without cause (except due to a participant’s death or disability) and for a period of 12 months in the case of termination due to the participant’s death or disability, or such longer as the administrator may provide. Stock options generally terminate upon a participant’s termination of employment for cause.</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Awards of restricted stock represent an offer by Sema4 to sell shares of its common stock subject to restrictions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lapse based on terms and conditions determined by Sema4’s board of directors or applicable committee. Holders of restricted stock are entitled to vote and, unless otherwise determined by the board of directors, are entitled to receive all dividends and distributions with respect to such shares. Any dividends or stock distributions paid pursuant to any unvested shares of restricted stock will be subject to the same restrictions on transferability and forfeiture as the restricted stock. As of March 31, 2021, no shares of restricted stock had been issued under the 2017 Plan.</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2017 Plan also provides for the grant of stock appreciation rights and restricted stock units. As of December 31, 2020, no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that provide for settlement in shares of common stock and no restricted stock units had been issued under the 2017 Plan.</w:t>
      </w:r>
    </w:p>
    <w:p>
      <w:pPr>
        <w:spacing w:after="0" w:line="9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otherwise determined by the board of directors, awards granted under the 2017 Plan may not be sold, pledged,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hypothecated, transferred, or disposed of in any manner other than by will, the laws of descent and distribution or qualified domestic relations orders.</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(as defined in the 2017 Plan), the 2017 Plan provides that outstanding awards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unless they are assumed in connection with the corporate transaction. The administrator will have the authority, exercisable either in advance of any actual or anticipated corporate transaction or at the time of an actual corporate transaction and exercisable at the time of the grant of an award under the 2017 Plan or any time while an award remains outstanding, to provide for the full or partial automatic vesting and exercisability of one or more outstanding unvested awards under the 2017 Plan and the release from restrictions on transfer and repurchase or forfeiture rights of awards in connection with a corporate transaction, on such terms and conditions as the administrator may specify. The administrator will have the authority to condition any such award vesting and exercisability or release from such limitations upon the subsequent termination of service of a participant within a specified period following the effective date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recapitalization, stock split, reverse stock split, combination, reclassification, or other change in Sema4’s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structure affecting the shares of common stock issued under the 2017 Plan, Sema4’s board of directors will adjust the number of shares that may be delivered under 2017 Plan and/or the number, and price of shares covered by each outstanding award, in order to prevent diminution or enlargement of benefits or potential benefits intended to be made available under the 2017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named executive officers, while employed by Sema4, are eligible to participate in Sema4’s employee benefit plans on the same basis as Sema4’s other employees, including Sema4’s health and welfare plans. Sema4 generally does not provide Sema4’s named executive officers with perquisites or other personal benefits. However, Sema4 does reimburse Sema4’s named executive officers for their necessary and reasonable business and travel expenses incurred in connection with their services to Sema4.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6"/>
          <w:szCs w:val="16"/>
          <w:i w:val="1"/>
          <w:iCs w:val="1"/>
          <w:color w:val="auto"/>
        </w:rPr>
        <w:t>“Executive Compensation of Sema4—2020 Summary Compensation Table”</w:t>
      </w:r>
      <w:r>
        <w:rPr>
          <w:rFonts w:ascii="Arial" w:cs="Arial" w:eastAsia="Arial" w:hAnsi="Arial"/>
          <w:sz w:val="16"/>
          <w:szCs w:val="16"/>
          <w:color w:val="auto"/>
        </w:rPr>
        <w:t xml:space="preserve"> for a summary of payments made to Dr. Schadt. Other than as described below, none of Sema4’s non-employee directors received any fees or reimbursement of any expenses (other than customary expenses in connection with the attendance of meetings of Sema4’s board of directors) or any equity or non-equity awards in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total compensation earned by each of Sema4’s non-employee directors in the year ended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left="1054"/>
              <w:spacing w:after="0"/>
              <w:rPr>
                <w:sz w:val="20"/>
                <w:szCs w:val="20"/>
                <w:color w:val="auto"/>
              </w:rPr>
            </w:pPr>
            <w:r>
              <w:rPr>
                <w:rFonts w:ascii="Arial" w:cs="Arial" w:eastAsia="Arial" w:hAnsi="Arial"/>
                <w:sz w:val="14"/>
                <w:szCs w:val="14"/>
                <w:b w:val="1"/>
                <w:bCs w:val="1"/>
                <w:color w:val="auto"/>
                <w:w w:val="92"/>
              </w:rPr>
              <w:t>Fees Earned or</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2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All Other Compensation($)</w:t>
            </w:r>
            <w:r>
              <w:rPr>
                <w:rFonts w:ascii="Arial" w:cs="Arial" w:eastAsia="Arial" w:hAnsi="Arial"/>
                <w:sz w:val="18"/>
                <w:szCs w:val="18"/>
                <w:b w:val="1"/>
                <w:bCs w:val="1"/>
                <w:color w:val="auto"/>
                <w:w w:val="99"/>
                <w:vertAlign w:val="superscript"/>
              </w:rPr>
              <w:t>(3)</w:t>
            </w: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60" w:type="dxa"/>
            <w:vAlign w:val="bottom"/>
            <w:vMerge w:val="continue"/>
          </w:tcPr>
          <w:p>
            <w:pPr>
              <w:spacing w:after="0"/>
              <w:rPr>
                <w:sz w:val="11"/>
                <w:szCs w:val="11"/>
                <w:color w:val="auto"/>
              </w:rPr>
            </w:pPr>
          </w:p>
        </w:tc>
        <w:tc>
          <w:tcPr>
            <w:tcW w:w="2520" w:type="dxa"/>
            <w:vAlign w:val="bottom"/>
            <w:gridSpan w:val="2"/>
          </w:tcPr>
          <w:p>
            <w:pPr>
              <w:jc w:val="center"/>
              <w:ind w:left="1054"/>
              <w:spacing w:after="0" w:line="135" w:lineRule="exact"/>
              <w:rPr>
                <w:sz w:val="20"/>
                <w:szCs w:val="20"/>
                <w:color w:val="auto"/>
              </w:rPr>
            </w:pPr>
            <w:r>
              <w:rPr>
                <w:rFonts w:ascii="Arial" w:cs="Arial" w:eastAsia="Arial" w:hAnsi="Arial"/>
                <w:sz w:val="12"/>
                <w:szCs w:val="12"/>
                <w:b w:val="1"/>
                <w:bCs w:val="1"/>
                <w:color w:val="auto"/>
              </w:rPr>
              <w:t>Paid in Cash($)</w:t>
            </w:r>
            <w:r>
              <w:rPr>
                <w:rFonts w:ascii="Arial" w:cs="Arial" w:eastAsia="Arial" w:hAnsi="Arial"/>
                <w:sz w:val="15"/>
                <w:szCs w:val="15"/>
                <w:b w:val="1"/>
                <w:bCs w:val="1"/>
                <w:color w:val="auto"/>
                <w:vertAlign w:val="superscript"/>
              </w:rPr>
              <w:t>(1)</w:t>
            </w:r>
          </w:p>
        </w:tc>
        <w:tc>
          <w:tcPr>
            <w:tcW w:w="1200" w:type="dxa"/>
            <w:vAlign w:val="bottom"/>
          </w:tcPr>
          <w:p>
            <w:pPr>
              <w:jc w:val="right"/>
              <w:ind w:right="456"/>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spacing w:after="0" w:line="1" w:lineRule="exact"/>
        <w:rPr>
          <w:rFonts w:ascii="Arial" w:cs="Arial" w:eastAsia="Arial" w:hAnsi="Arial"/>
          <w:sz w:val="14"/>
          <w:szCs w:val="14"/>
          <w:color w:val="auto"/>
        </w:rPr>
      </w:pPr>
    </w:p>
    <w:p>
      <w:pPr>
        <w:ind w:left="340" w:right="340" w:hanging="332"/>
        <w:spacing w:after="0" w:line="255"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39" w:lineRule="exact"/>
        <w:rPr>
          <w:sz w:val="20"/>
          <w:szCs w:val="20"/>
          <w:color w:val="auto"/>
        </w:rPr>
      </w:pPr>
    </w:p>
    <w:p>
      <w:pPr>
        <w:ind w:left="340" w:right="180"/>
        <w:spacing w:after="0" w:line="247" w:lineRule="auto"/>
        <w:rPr>
          <w:sz w:val="20"/>
          <w:szCs w:val="20"/>
          <w:color w:val="auto"/>
        </w:rPr>
      </w:pPr>
      <w:r>
        <w:rPr>
          <w:rFonts w:ascii="Arial" w:cs="Arial" w:eastAsia="Arial" w:hAnsi="Arial"/>
          <w:sz w:val="14"/>
          <w:szCs w:val="14"/>
          <w:color w:val="auto"/>
        </w:rPr>
        <w:t>assumptions used in calculating the grant date fair value of the awards reported in the Option Awards column are set forth in Note 9 to Sema4’s consolidated financial statements included elsewhere in this proxy statement. Note that the amounts reported in this column reflect the aggregate accounting cost for these awards, and do not necessarily correspond to the actual economic value that may be received by the director from the awards.</w:t>
      </w:r>
    </w:p>
    <w:p>
      <w:pPr>
        <w:spacing w:after="0" w:line="1" w:lineRule="exact"/>
        <w:rPr>
          <w:sz w:val="20"/>
          <w:szCs w:val="20"/>
          <w:color w:val="auto"/>
        </w:rPr>
      </w:pPr>
    </w:p>
    <w:p>
      <w:pPr>
        <w:ind w:left="320" w:hanging="312"/>
        <w:spacing w:after="0"/>
        <w:tabs>
          <w:tab w:leader="none" w:pos="3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40" w:type="dxa"/>
            <w:vAlign w:val="bottom"/>
          </w:tcPr>
          <w:p>
            <w:pPr>
              <w:jc w:val="center"/>
              <w:ind w:left="3155"/>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3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040" w:type="dxa"/>
            <w:vAlign w:val="bottom"/>
          </w:tcPr>
          <w:p>
            <w:pPr>
              <w:jc w:val="center"/>
              <w:ind w:left="3155"/>
              <w:spacing w:after="0" w:line="135" w:lineRule="exact"/>
              <w:rPr>
                <w:sz w:val="20"/>
                <w:szCs w:val="20"/>
                <w:color w:val="auto"/>
              </w:rPr>
            </w:pPr>
            <w:r>
              <w:rPr>
                <w:rFonts w:ascii="Arial" w:cs="Arial" w:eastAsia="Arial" w:hAnsi="Arial"/>
                <w:sz w:val="14"/>
                <w:szCs w:val="14"/>
                <w:b w:val="1"/>
                <w:bCs w:val="1"/>
                <w:color w:val="auto"/>
                <w:w w:val="93"/>
              </w:rPr>
              <w:t>Underlying Options Held as</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5040" w:type="dxa"/>
            <w:vAlign w:val="bottom"/>
            <w:tcBorders>
              <w:bottom w:val="single" w:sz="8" w:color="auto"/>
            </w:tcBorders>
          </w:tcPr>
          <w:p>
            <w:pPr>
              <w:jc w:val="center"/>
              <w:ind w:left="3155"/>
              <w:spacing w:after="0"/>
              <w:rPr>
                <w:sz w:val="20"/>
                <w:szCs w:val="20"/>
                <w:color w:val="auto"/>
              </w:rPr>
            </w:pPr>
            <w:r>
              <w:rPr>
                <w:rFonts w:ascii="Arial" w:cs="Arial" w:eastAsia="Arial" w:hAnsi="Arial"/>
                <w:sz w:val="14"/>
                <w:szCs w:val="14"/>
                <w:b w:val="1"/>
                <w:bCs w:val="1"/>
                <w:color w:val="auto"/>
                <w:w w:val="92"/>
              </w:rPr>
              <w:t>of December 31, 2020</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504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293,315</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5040" w:type="dxa"/>
            <w:vAlign w:val="bottom"/>
          </w:tcPr>
          <w:p>
            <w:pPr>
              <w:jc w:val="right"/>
              <w:spacing w:after="0" w:line="230" w:lineRule="exact"/>
              <w:rPr>
                <w:sz w:val="20"/>
                <w:szCs w:val="20"/>
                <w:color w:val="auto"/>
              </w:rPr>
            </w:pPr>
            <w:r>
              <w:rPr>
                <w:rFonts w:ascii="Arial" w:cs="Arial" w:eastAsia="Arial" w:hAnsi="Arial"/>
                <w:sz w:val="18"/>
                <w:szCs w:val="18"/>
                <w:color w:val="auto"/>
              </w:rPr>
              <w:t>832,199</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20" w:hanging="332"/>
        <w:spacing w:after="0" w:line="241" w:lineRule="auto"/>
        <w:tabs>
          <w:tab w:leader="none" w:pos="332"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40" w:hanging="332"/>
        <w:spacing w:after="0" w:line="246" w:lineRule="auto"/>
        <w:tabs>
          <w:tab w:leader="none" w:pos="332" w:val="left"/>
        </w:tabs>
        <w:numPr>
          <w:ilvl w:val="0"/>
          <w:numId w:val="230"/>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this transaction, the post-combination company intends to adopt a non-employee director compensation policy that will be designed to enable the post-combination company to attract and retain, on a long-term basis, highly qualified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consummation of the business combination, the business and affairs of the post-combination company will be managed by or under the direction of the board of directors of the post-combination company. the directors and executive officers of the post-combination company upon consummation of the business combination will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Officers</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Pr>
          <w:p>
            <w:pPr>
              <w:ind w:lef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Shawn Assad</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James Coffin,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Product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216"/>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Joshua Ruch</w:t>
            </w:r>
          </w:p>
        </w:tc>
        <w:tc>
          <w:tcPr>
            <w:tcW w:w="860" w:type="dxa"/>
            <w:vAlign w:val="bottom"/>
          </w:tcPr>
          <w:p>
            <w:pPr>
              <w:ind w:left="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Chairman of the Board and 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Eli D. Casdin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Emily Leproust,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Jason Ryan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Nat Turner</w:t>
            </w:r>
          </w:p>
        </w:tc>
        <w:tc>
          <w:tcPr>
            <w:tcW w:w="860" w:type="dxa"/>
            <w:vAlign w:val="bottom"/>
          </w:tcPr>
          <w:p>
            <w:pPr>
              <w:ind w:lef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1"/>
                <w:szCs w:val="21"/>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is founder and Chief Executive Officer of Sema4 and has served as a member of Sema4’s board of directors since June 2017.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of the post-combination company.</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Sema4’s Chief Financial Officer since February 2021. Mr. Ro previously served as the Chief Financial Officer of Thrive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Shawn Assad</w:t>
      </w:r>
      <w:r>
        <w:rPr>
          <w:rFonts w:ascii="Arial" w:cs="Arial" w:eastAsia="Arial" w:hAnsi="Arial"/>
          <w:sz w:val="16"/>
          <w:szCs w:val="16"/>
          <w:color w:val="auto"/>
        </w:rPr>
        <w:t>, has served as Sema4’s Chief Accounting Officer since May 2021. Mr. Assad previously served as the New York Office Partner at CFGI,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accounting advisory and consulting services company, from May 2020 until May 2021. Prior to joining CFGI, Mr. Assad served as the Chief Accounting Officer and Global Controller at Vice Media, digital media and broadcasting company, from April 2018 to May 2020. From May 2015 to April 2018, Mr. Assad held roles of increasing responsibility at Endeavor (formerly WME/IMG), a global entertainment, sports and content company, including as the Senior Vice President, Assistant Global Controller and Vice President of Global Technical and SEC Reporting, and from April 2008 to May 2015, Mr. Assad served as the Senior Director at The Seigfried Group LLP, an accounting and financial resources services firm. Mr. Assad holds a graduate degree in Accounting from Northeastern University and a Bachelor of Science in Accounting from Paris School of Business in Paris, France.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James Coffin, Ph.D.</w:t>
      </w:r>
      <w:r>
        <w:rPr>
          <w:rFonts w:ascii="Arial" w:cs="Arial" w:eastAsia="Arial" w:hAnsi="Arial"/>
          <w:sz w:val="16"/>
          <w:szCs w:val="16"/>
          <w:color w:val="auto"/>
        </w:rPr>
        <w:t>, has served as Sema4’s President and Chief Operating Officer since August 2017 and previously served as Sema4’s Treasurer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2021 to March 2021. Dr. Coffin previously served as Chief Executive Officer, Chairman of the Board and President at Source Medical Solutions, a practice management and 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Sema4’s General Counsel since March 2016 and Secretary since March 2020. From 2015 to May 2017, Mr. Clark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Anthony Prentice </w:t>
      </w:r>
      <w:r>
        <w:rPr>
          <w:rFonts w:ascii="Arial" w:cs="Arial" w:eastAsia="Arial" w:hAnsi="Arial"/>
          <w:sz w:val="16"/>
          <w:szCs w:val="16"/>
          <w:color w:val="auto"/>
        </w:rPr>
        <w:t>has served as Sema4’s Chief Product Officer since September 2016. Prior to joining Sema4, Mr. Prentice served in various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Kareem Saad </w:t>
      </w:r>
      <w:r>
        <w:rPr>
          <w:rFonts w:ascii="Arial" w:cs="Arial" w:eastAsia="Arial" w:hAnsi="Arial"/>
          <w:sz w:val="18"/>
          <w:szCs w:val="18"/>
          <w:color w:val="auto"/>
        </w:rPr>
        <w:t>has served as Sema4’s Chief Business Officer since January 2021. Mr. Saad also previously served as the Chief Strategy Officer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Sema4’s Chief People Officer since September 2020. Prior to joining Sema4, Ms. White was Vice President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the post-combination company’s board of directors will consist of up to nine directors, which will be divided into three classes (Class I, II and III) with Class I consisting of three directors, Class II consisting of four directors and Class III consisting of two directors. Pursuant to the Business Combination Agreement, the board of directors of the post-combination company will consist of (i) six individuals designated by Sema4 prior to the mailing of this proxy statement to CMLS shareholders (five of whom are existing members of Sema4’s board of directors) and (ii) three directors designated by CMLS (who are Emily Leproust and Nat Turner, each an existing member of CMLS’s board of directors, and Eli Casdin, an existing member of CMLS’s board of directors and its Chief Executive Officer).</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Dennis Charney, M.D., </w:t>
      </w:r>
      <w:r>
        <w:rPr>
          <w:rFonts w:ascii="Arial" w:cs="Arial" w:eastAsia="Arial" w:hAnsi="Arial"/>
          <w:sz w:val="18"/>
          <w:szCs w:val="18"/>
          <w:color w:val="auto"/>
        </w:rPr>
        <w:t>has served as a member of Sema4’s board of directors since June 2017. Dr. Charney has served as the Anne and Joel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Ehrenkranz Dean of the Icahn School of Medicine at Mount Sinai since January 2007, and as President for Academic Affairs for the Mount Sinai Health System since September 2013. From March 2006 to March 2007,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on the board of directors of the post-combination company.</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will serve on the board of directors of the combined company following completion of the business combination. Mr. Casdin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Exact Sciences Corp., a molecular diagnostics company focused on early cancer detection, treatment and monitoring, since October 2017. Mr. Casdin holds an M.B.A. from Columbia Business School and a B.S. degree from Columbia University School of General Studies. Mr. Casdin’s qualifications to serve on the board of directors of the post-combination company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Emily Leproust, Ph.D., </w:t>
      </w:r>
      <w:r>
        <w:rPr>
          <w:rFonts w:ascii="Arial" w:cs="Arial" w:eastAsia="Arial" w:hAnsi="Arial"/>
          <w:sz w:val="17"/>
          <w:szCs w:val="17"/>
          <w:color w:val="auto"/>
        </w:rPr>
        <w:t>will serve on the board of directors of the combined company following completion of the business combination.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the board of directors of the post-combination company include her extensive professional and educational experience in the life sciences industry.</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Jason Ryan </w:t>
      </w:r>
      <w:r>
        <w:rPr>
          <w:rFonts w:ascii="Arial" w:cs="Arial" w:eastAsia="Arial" w:hAnsi="Arial"/>
          <w:sz w:val="18"/>
          <w:szCs w:val="18"/>
          <w:color w:val="auto"/>
        </w:rPr>
        <w:t>will serve on the board of directors of the combined company following completion of the business combination. Mr. Ryan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and Financial Officer of Magenta Therapeutics, Inc., a biotechnology company, from January 2019 to October 2020. Prior to joining Magenta Therapeutics, Inc., Mr.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Mr. Ryan holds an M.B.A. from Babson College and a B.S. in economics from Bates College, and earned a C.P.A. in Massachusetts. Mr. Ryan’s extensive finance experience and his leadership experience in the life sciences and biopharmaceutical industries qualifies him to serve on the post-combination company’s board of directors.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has served as a member of Sema4’s board of directors since November 2017. Mr. Ruch is also a managing partner and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the post-combination company’s board of directors.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Sema4’s board of directors since August 2019. Since December 2017, Dr. Pellini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of the post-combination company.</w:t>
      </w:r>
    </w:p>
    <w:p>
      <w:pPr>
        <w:spacing w:after="0" w:line="1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Nat Turner </w:t>
      </w:r>
      <w:r>
        <w:rPr>
          <w:rFonts w:ascii="Arial" w:cs="Arial" w:eastAsia="Arial" w:hAnsi="Arial"/>
          <w:sz w:val="16"/>
          <w:szCs w:val="16"/>
          <w:color w:val="auto"/>
        </w:rPr>
        <w:t>will serve on the board of directors of the combined company following the completion of the business combination. Mr. Turner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Co-Founder and Chief Executive Officer of Flatiron Health, Inc., a 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the board of directors of the post-combination company include his significant experience in the life sciences industry, both as an executive and as an angel investor.</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Rachel Sherman, M.D., M.P.H., F.A.C.P., </w:t>
      </w:r>
      <w:r>
        <w:rPr>
          <w:rFonts w:ascii="Arial" w:cs="Arial" w:eastAsia="Arial" w:hAnsi="Arial"/>
          <w:sz w:val="18"/>
          <w:szCs w:val="18"/>
          <w:color w:val="auto"/>
        </w:rPr>
        <w:t>has served as a member of Sema4’s board of directors since March 2020. Dr. Sherman is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Rachel Sherman Partners LLC, a drug development, regulatory, and policy consulting firm she founded in 2019, and a clinical lecturer at Harvard Pilgrim Health Care Institute. 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the post-combination company’s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proposed Amended and Restated Certificate of Incorporation that will be in effect upon the Closing, immediately after the Closing, the board of directors of the post-combination company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will be divided among the three classes as follows:</w:t>
      </w:r>
    </w:p>
    <w:p>
      <w:pPr>
        <w:spacing w:after="0" w:line="134" w:lineRule="exact"/>
        <w:rPr>
          <w:sz w:val="20"/>
          <w:szCs w:val="20"/>
          <w:color w:val="auto"/>
        </w:rPr>
      </w:pPr>
    </w:p>
    <w:p>
      <w:pPr>
        <w:ind w:left="660" w:right="20" w:hanging="328"/>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Class I directors will be Eli D. Casdin, Joshua Ruch and Michael Pellini and their terms will expire at the first annual meeting of stockholders held after the Closing;</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Class II directors will be Rachel Sherman, Eric Schadt, Nat Turner and Dennis Charney, and their terms will expire at the second annual meeting of stockholders held after the Closing;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Class III directors will be Emily Leproust and Jason Ryan and their terms will expire at the third annual meeting of stockholders held after the Closing.</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Each director’s term continues until the election and qualification of his or her successor, or his or her earlier death, resignation or removal. The Amended and Restated Certificate of Incorporation and restated bylaws that will be in effect upon the Closing authorize only the board of directors of the post-combination company to fill vacancies on the board of directors of the post-combination company. Any increase or decrease in the number of directors will be distributed among the three classes so that, as nearly as possible, each class will consist of one-third of the directors. This classification of the board of directors of the post-combination company may have the effect of delaying or preventing changes in control of the post-combination company. See the section titled </w:t>
      </w:r>
      <w:r>
        <w:rPr>
          <w:rFonts w:ascii="Arial" w:cs="Arial" w:eastAsia="Arial" w:hAnsi="Arial"/>
          <w:sz w:val="16"/>
          <w:szCs w:val="16"/>
          <w:i w:val="1"/>
          <w:iCs w:val="1"/>
          <w:color w:val="auto"/>
        </w:rPr>
        <w:t>“Description of Securities— Certain Anti-Takeover Provisions of Delaware Law, the Company’s Certificate of Incorporation and Bylaws.”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rules of Nasdaq require that a majority of the post-combination company’s board of directors be independent. An “independent director” is defined generally as a person other than an executive officer or employee of CMLS, the post-combination company or any other individual having a relationship which, in the opinion of the issuer’s board of directors, would interfere with the exercise of independent judgement in carrying out the responsibilities of a director. It is anticipated that each individual expected to serve on the post-combination company’s board of directors upon consummation of the Business Combination, other than Eric Schadt and Eli Casdin, will qualify as an independent director under Nasdaq listing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post-combination company’s board of directors will have the authority to appoint committees to perform certain management and administration functions. CMLS’s current board of directors has established an audit committee, a compensation committee, and a nominating and corporate governance committee, each of which will have the composition and responsibilities described below following the Closing. The composition and responsibilities of each committee are described below. Members will serve on these committees until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resignation or until otherwise determined by the board of directors. Following the Closing, the charters for each of these committees will be available on Sema4’s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Sema4’s website is not a part of this proxy statement/prospectus, and the inclusion of such website address in this proxy statement/prospectus is an inactive textual reference only.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Closing, the post-combination company’s audit committee will comprise of Dennis Charney, Emily Leproust, and Jason Ryan, with Mr. Ryan as the chairman of the post-combination company’s audit committee. The post-combination company board of directors is expected to determine that the composition of the post-combination company’s audit committee meets the requirements for independence under the current Nasdaq and SEC rules and regulations, and that each member of the audit committee is financially literate. In addition, CMLS’s current board of directors has determined that Jason Ryan is an “audit committee financial expert” as defined in Item 407(d)(5)(ii) of Regulation S-K promulgated under the Securities Act. This designation does not impose on him or her any duties, obligations or liabilities that are greater than are generally imposed on members of the post-combination company’s audit committee and the post-combination company’s board of directors. The post-combination company’s audit committee is directly responsible for, among other things:</w:t>
      </w:r>
    </w:p>
    <w:p>
      <w:pPr>
        <w:spacing w:after="0" w:line="138" w:lineRule="exact"/>
        <w:rPr>
          <w:sz w:val="20"/>
          <w:szCs w:val="20"/>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post-combination company’s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post-combination company’s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post-combination company’s compliance with legal and regulatory requirements;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post-combination company’s accounting and financial reporting processes, including the post-combination company’s financial statement audits and the integrity of the post-combination company’s financial statements;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Closing, the post-combination company’s compensation committee will comprise of Joshua Ruch, Rachel Sherman and and Nat Turner, with Mr. Ruch as the chairman of our compensation committee. The post-combination company board of directors is expected to determine that each member of the post-combination company’s compensation committee is a non-employee director, as defined by Rule 16b-3 promulgated under the Exchange Act, and meets the requirements for independence under the current Nasdaq listing standards and SEC rules and regulations. The post-combination company’s compensation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the post-combination company’s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administering the post-combination company’s cash-based and equity-based compensation plans;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overseeing the post-combination company’s compliance with regulatory requirements associated with the compensation of directors, officers and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Following the Closing, the post-combination company’s nominating and governance committee will comprise of Joshua Ruch and Rachel Sherman, with Ms. Sherman as the chairwoman of the post-combination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nominating and governance committee. The post-combination company board of directors is expected to determine that each member of the post-combination company’s nominating and governance committee meets the requirements for independence under the current Nasdaq listing standards. The post-combination company’s nominating and governance committee is responsible for, among other things:</w:t>
      </w:r>
    </w:p>
    <w:p>
      <w:pPr>
        <w:spacing w:after="0" w:line="130" w:lineRule="exact"/>
        <w:rPr>
          <w:sz w:val="20"/>
          <w:szCs w:val="20"/>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the post-combination company’s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the post-combination company’s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advising the post-combination company’s board of directors on other corporate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post-combination company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Sema4’s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proxy statement/prospectus, and the inclusion of the website address in this proxy statement/prospectus is an inactive textual reference only. The post-combination company intends to disclose any amendments to the Code of Business Conduct and Ethics, or any waivers of its requirements, on its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member of the post-combination company’s compensation committee has ever been an officer or employee of either company. None of the post-combination company’s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attached as Annex B to this proxy statement. We urge you to read our Amended and Restated Certificate of Incorporation in its entirety for a complete description of the rights and preferences of the post-combination company’s securities following the Business Combination.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Amended and Restated Certificate of Incorporation authorizes the issuance of 400,000,000 shares of common stock, $0.0001 par value per share, including 380,000,000 shares of Class A common stock and 20,000,000 shares of Class B common stock. The outstanding shares of our common stock are, and the shares of common stock issuable in connection with the Business Combination pursuant to the Merger Agreement and the PIPE Investment will be, duly authorized, validly issued, fully paid and non-assessable. As of the record date for the Special Meeting, there were 55,343,750 shares of common stock outstanding, held of record by approximately 5 holders of common stock, no shares of preferred stock outstanding and 21,995,000 warrants outstanding held of record by approximately 4 holders of warrants. Such numbers do not include DTC participants or beneficial owners holding shares through nominee names.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Certificate of Incorporation provides that the common stock will have identical rights, powers, preferences and privileges to current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post-combination company under both the current certificate of incorporation and the Amended and Restated Certificate of Incorporation, the holders of common stock will be entitled to receive all the remaining assets of the post-combination company available for distribution to stockholders, ratably in proportion to the number of shares of common stock held by them, after the rights of the holders of the preferred stock have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is currently divided into three classes, Class I, Class II and Class III, with only one class of directors being elected in each year and each class (except for those directors appointed prior to our first annual meeting of stockholders) serving a three-year term. The term of office of the Class I directors will expire at our first annual meeting of stockholders. The term of office of the Class II directors will expire at the second annual meeting of stockholders. The term of office of the Class III directors will expire at the third annual meeting of stockholders. However, if the Business Combination Proposal, the Nasdaq Stock Issuance Proposal, the Charter Approval Proposal and the Incentive Plan Proposal are approved at the Special Meeting, this structure will change.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Amended and Restated Certificate of Incorporation, upon the effectiveness thereof, the term of the Class I Directors in place at such time will expire at the first annual meeting of the stockholders of the post-combination company following the effectiveness of the Amended and Restated Certificate of Incorporation; the term of the Class II Directors in place at such time will expire at the second annual meeting of the stockholders of the post-combination company following the effectiveness of the Amended and Restated Certificate of Incorporation; and the term of the Class III Directors in place at such time will expire at the third annual meeting of the stockholders of the post-combination company following the effectiveness of the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Stock Prior to the Business Combination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common stock upon the consummation of the Business Combination at a per-share price, payable in cash, equal to the aggregate amount on deposit in the Trust Account as of two business days prior to the Closing, including interest not previously released to the Company to pay its franchise and income taxes, divided by the number of then outstanding public shares, subject to the limitations described herein. Our Initial Stockholders, directors and officers have agreed to waive their redemption rights with respect to their shares of common stock in connection with the consummation of the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consummate the Business Combination only if a majority of our outstanding shares of common stock entitled to vote and actually cast thereon at the Special Meeting are voted in favor of the Business Combination Proposal at the Special Meeting. However, the participation of our Sponsor, officers and directors, or their affiliates in privately negotiated transactions (as described in this proxy statement), if any, could result in the approval of the Business Combination even if a majority of the stockholders vote, or indicate their intention to vote, against the Business Combination.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Initial Stockholders have agreed to vote their shares of common stock in favor of the Business Combination. As of the date of filing this proxy statement, our Initial Stockholders, directors and officers do not currently hold any public shares. Public stockholders may elect to redeem their public shares whether they vote for or against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if we are unable to consummate a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agreed to waive their redemption rights with respect to the Founder Shares: (a) in connection with the consummation of a business combination; (b) if we fail to consummate our initial business combination by the applicable deadline; (c) in connection with a tender offer; and (d) otherwise upon our liquidation or in the event our Board resolves to liquidate the Trust Account and ceases to pursue the consummation of a business combination prior to the applicable deadline. Our Initial Stockholders have also agreed to waive their right to a conversion price adjustment with respect to any shares of our common stock they may hold in connection with the consummation of the Business Combination. However, if our Initial Stockholders or any of our officers, directors or affiliates acquire public shares, they will be entitled to redemption rights with respect to such public shares if we fail to consummate our initial business combination within the required time period.</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liquidation, dissolution or winding up of the Company after our initial business combination, holders of our common stock are entitled to share ratably in proportion to the number of shares of common stock in all assets remaining available for distribution to them after payment of the debts and other liabilities and after provision is made for each class of stock, if any, having preference over the common stock.</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their shares of our common stock for cash equal to their pro rata share of the aggregate amount on deposit in the Trust Account as of two business days prior to the Closing, including any amounts representing interest earned on the Trust Account, less any interest released to us released to pay its franchise and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Founder Shares are designated as Class B common stock and, are identical to the shares of common stock, and holders of Founder Shares have the same stockholder rights as public stockholders, except that: (i) the Founder Shares are subject to certain transfer restrictions, as described in more detail below; and (ii) our Initial Stockholders, directors and officers have entered into a letter agreement with us, pursuant to which they have agreed (a) to waive their redemption rights with respect to their shares of common stock in connection with the completion of our business combination and (b) to waive their rights to liquidating distributions from the Trust Account with respect to their Founder Shares if we fail to complete our business combination by the applicable deadline, although they will be entitled to liquidating distributions from the Trust Account with respect to any public shares they hold if we fail to complete our business combination within such time period; (iii) our Initial Stockholders have to waive their right to a conversion price adjustment with respect to any shares of our common stock they may hold in connection with the consummation of the Business Combination; and (iv) are subject to registration rights. Our Initial Stockholders, officers and directors have agreed to vote their shares of common stock in favor of our Business Combination. With certain limited exceptions, the Founder Shares are not transferable, assignable or salable (except to our officers and directors and other persons or entities affiliated with our Sponsor, each of whom will be subject to the same transfer restrictions) until 180 days after the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our initial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 statement, but will use our best efforts to register the shares under applicable blue sky laws to the extent an exemption is not available.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Redemption procedures and cashless exercise. </w:t>
      </w:r>
      <w:r>
        <w:rPr>
          <w:rFonts w:ascii="Arial" w:cs="Arial" w:eastAsia="Arial" w:hAnsi="Arial"/>
          <w:sz w:val="18"/>
          <w:szCs w:val="18"/>
          <w:color w:val="auto"/>
        </w:rPr>
        <w:t>If we call the public warrants for redemption as described above, our management will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any holder that wishes to exercise his, her or its public warrant to do so on a “cashless basis.” In determining whether to require all holders to exercise their public warrants on a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 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6"/>
          <w:szCs w:val="16"/>
          <w:i w:val="1"/>
          <w:iCs w:val="1"/>
          <w:color w:val="auto"/>
        </w:rPr>
        <w:t>The Business Combination Proposal — Related Agreements — Forfeiture Agreement</w:t>
      </w:r>
      <w:r>
        <w:rPr>
          <w:rFonts w:ascii="Arial" w:cs="Arial" w:eastAsia="Arial" w:hAnsi="Arial"/>
          <w:sz w:val="16"/>
          <w:szCs w:val="16"/>
          <w:color w:val="auto"/>
        </w:rPr>
        <w:t>”.</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common stock is increased by a stock dividend payable in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6" w:lineRule="exact"/>
        <w:rPr>
          <w:sz w:val="20"/>
          <w:szCs w:val="20"/>
          <w:color w:val="auto"/>
        </w:rPr>
      </w:pPr>
    </w:p>
    <w:p>
      <w:pPr>
        <w:jc w:val="both"/>
        <w:ind w:firstLine="8"/>
        <w:spacing w:after="0" w:line="255" w:lineRule="auto"/>
        <w:tabs>
          <w:tab w:leader="none" w:pos="26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the Company’s current certificate of incorporation to modify the substance or timing of the Company’s obligation to redeem 100% of our public shares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complete a business combination within 24 months from the closing of the IPO, or (v)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3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current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reduced as specified in the warrant agreement based on the per share consideration minus Black-Scholes Warrant Value (as defined in the warrant agreement) of the public warrant.</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our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Related Agreements — Forfeiture Agreement</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Provisions of the DGCL and our current certificate of incorporation and bylaws as well as provisions of the Amended and Restated Certificate of Incorporation could make it more difficult to acquire the post-combination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the post-combination company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both our current certificate of incorporation and our Amended and Restated Certificate of Incorporation provide for certain other provisions that may have an anti-takeover effect:</w:t>
      </w:r>
    </w:p>
    <w:p>
      <w:pPr>
        <w:spacing w:after="0" w:line="116"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certificate of incorporation includes and the Amended and Restated Certificate of Incorporation will include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0" w:lineRule="exact"/>
        <w:rPr>
          <w:sz w:val="20"/>
          <w:szCs w:val="20"/>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4" w:lineRule="exact"/>
        <w:rPr>
          <w:sz w:val="20"/>
          <w:szCs w:val="20"/>
          <w:color w:val="auto"/>
        </w:rPr>
      </w:pPr>
    </w:p>
    <w:p>
      <w:pPr>
        <w:jc w:val="both"/>
        <w:ind w:left="660" w:hanging="328"/>
        <w:spacing w:after="0" w:line="263"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DGCL, the Company’s Amended and Restated Certificate of Incorporation or Bylaws or as to which the DGCL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The Company intends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 — The proposed Amended and Restated Certificate of Incorporation designates the Court of Chancery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 of Delaware and federal court within the State of Delaware as the exclusive forum for certain types of actions and proceedings that the Company’s stockholders may initiate, which could limit a stockholder’s ability to obtain a favorable judicial forum for disputes with the Company or its directors, officers or employees.” </w:t>
      </w:r>
      <w:r>
        <w:rPr>
          <w:rFonts w:ascii="Arial" w:cs="Arial" w:eastAsia="Arial" w:hAnsi="Arial"/>
          <w:sz w:val="17"/>
          <w:szCs w:val="17"/>
          <w:color w:val="auto"/>
        </w:rPr>
        <w:t>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117" w:lineRule="exact"/>
        <w:rPr>
          <w:sz w:val="20"/>
          <w:szCs w:val="20"/>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34" w:lineRule="exact"/>
        <w:rPr>
          <w:sz w:val="20"/>
          <w:szCs w:val="20"/>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295</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left="6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proxy statement, we had 55,343,750 shares of common stock outstanding, of which 44,275,000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If the Business Combination is approved, the shares of our common stock we issue to the PIPE Investors pursuant to the Subscription Agreements will be restricted securities for purposes of Rule 144.</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the date of this proxy statement, there are 21,995,000 warrants of the Company outstanding, consisting of 14,758,333 public warrants originally sold as part of the units issued in the Company’s IPO and 7,236,667 private placement warrants that were sold by the Company to our Sponsor in a private sale concurrently with the Company’s IPO (which up to a maximum of 33% of private placement warrants may be automatically cancelled immediately prior to Closing pursuant to the Forfeiture Agreement; for additional information on the potential forfeiture of private placement warrants by the Sponsor,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 In addition, we will be obligated to file no later than 15 business days after the Closing, a registration statement under the Securities Act covering the 44,275,000 shares of our Class A common stock that may be issued upon the exercise of the public warrants, and cause such registration statement to become effective and maintain the effectiveness of such registration statement until the expiration of the warrants.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The Company will within five days of the Company’s receipt of the demand, notify, in writing all other Holders of registrable securities of such demand. Each holder who will want to participate in the registration will notify the Company, in writing, within five days after the receipt by the holder of the notice from the Company. Upon receipt by the Company of any such written notification from a holder(s) to the Company such holder(s)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be entitled to have their registrable securities included in a registration more than 60 days immediately after the Company’s receipt of the demand.</w:t>
      </w:r>
    </w:p>
    <w:p>
      <w:pPr>
        <w:spacing w:after="0" w:line="1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no circumstances will the Company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foregoing, (i) the Company shall not be required to give effect to a demand from a holder if the Company has registered registrable securities pursuant to a demand (which has become effective) from such holder in the preceding 120 days, and (ii) the Company’s obligations with respect to any demand will be deemed satisfied so long as the registration statement filed includes all of such holder’s registrable securities and is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w:t>
      </w:r>
      <w:r>
        <w:rPr>
          <w:rFonts w:ascii="Arial" w:cs="Arial" w:eastAsia="Arial" w:hAnsi="Arial"/>
          <w:sz w:val="17"/>
          <w:szCs w:val="17"/>
          <w:i w:val="1"/>
          <w:iCs w:val="1"/>
          <w:color w:val="auto"/>
        </w:rPr>
        <w:t>(a)</w:t>
      </w:r>
      <w:r>
        <w:rPr>
          <w:rFonts w:ascii="Arial" w:cs="Arial" w:eastAsia="Arial" w:hAnsi="Arial"/>
          <w:sz w:val="17"/>
          <w:szCs w:val="17"/>
          <w:color w:val="auto"/>
        </w:rPr>
        <w:t xml:space="preserve"> filed in connection with any employee stock option or other benefit plan, </w:t>
      </w:r>
      <w:r>
        <w:rPr>
          <w:rFonts w:ascii="Arial" w:cs="Arial" w:eastAsia="Arial" w:hAnsi="Arial"/>
          <w:sz w:val="17"/>
          <w:szCs w:val="17"/>
          <w:i w:val="1"/>
          <w:iCs w:val="1"/>
          <w:color w:val="auto"/>
        </w:rPr>
        <w:t>(b)</w:t>
      </w:r>
      <w:r>
        <w:rPr>
          <w:rFonts w:ascii="Arial" w:cs="Arial" w:eastAsia="Arial" w:hAnsi="Arial"/>
          <w:sz w:val="17"/>
          <w:szCs w:val="17"/>
          <w:color w:val="auto"/>
        </w:rPr>
        <w:t xml:space="preserve"> for an exchange offer or offering of securities solely to the Company’s existing stockholders, </w:t>
      </w:r>
      <w:r>
        <w:rPr>
          <w:rFonts w:ascii="Arial" w:cs="Arial" w:eastAsia="Arial" w:hAnsi="Arial"/>
          <w:sz w:val="17"/>
          <w:szCs w:val="17"/>
          <w:i w:val="1"/>
          <w:iCs w:val="1"/>
          <w:color w:val="auto"/>
        </w:rPr>
        <w:t>(c)</w:t>
      </w:r>
      <w:r>
        <w:rPr>
          <w:rFonts w:ascii="Arial" w:cs="Arial" w:eastAsia="Arial" w:hAnsi="Arial"/>
          <w:sz w:val="17"/>
          <w:szCs w:val="17"/>
          <w:color w:val="auto"/>
        </w:rPr>
        <w:t xml:space="preserve"> for an offering solely of debt that is convertible into equity securities of the Company, </w:t>
      </w:r>
      <w:r>
        <w:rPr>
          <w:rFonts w:ascii="Arial" w:cs="Arial" w:eastAsia="Arial" w:hAnsi="Arial"/>
          <w:sz w:val="17"/>
          <w:szCs w:val="17"/>
          <w:i w:val="1"/>
          <w:iCs w:val="1"/>
          <w:color w:val="auto"/>
        </w:rPr>
        <w:t>(d)</w:t>
      </w:r>
      <w:r>
        <w:rPr>
          <w:rFonts w:ascii="Arial" w:cs="Arial" w:eastAsia="Arial" w:hAnsi="Arial"/>
          <w:sz w:val="17"/>
          <w:szCs w:val="17"/>
          <w:color w:val="auto"/>
        </w:rPr>
        <w:t xml:space="preserve"> for a dividend reinvestment plan, </w:t>
      </w:r>
      <w:r>
        <w:rPr>
          <w:rFonts w:ascii="Arial" w:cs="Arial" w:eastAsia="Arial" w:hAnsi="Arial"/>
          <w:sz w:val="17"/>
          <w:szCs w:val="17"/>
          <w:i w:val="1"/>
          <w:iCs w:val="1"/>
          <w:color w:val="auto"/>
        </w:rPr>
        <w:t>(e)</w:t>
      </w:r>
      <w:r>
        <w:rPr>
          <w:rFonts w:ascii="Arial" w:cs="Arial" w:eastAsia="Arial" w:hAnsi="Arial"/>
          <w:sz w:val="17"/>
          <w:szCs w:val="17"/>
          <w:color w:val="auto"/>
        </w:rPr>
        <w:t xml:space="preserve"> for any issuances of securities in connection with a transaction involving a merger, consolidation, sale, exchange, issuance, transfer, reorganization or other extraordinary transaction between the Company or any of its affiliates and any third party, or </w:t>
      </w:r>
      <w:r>
        <w:rPr>
          <w:rFonts w:ascii="Arial" w:cs="Arial" w:eastAsia="Arial" w:hAnsi="Arial"/>
          <w:sz w:val="17"/>
          <w:szCs w:val="17"/>
          <w:i w:val="1"/>
          <w:iCs w:val="1"/>
          <w:color w:val="auto"/>
        </w:rPr>
        <w:t>(f)</w:t>
      </w:r>
      <w:r>
        <w:rPr>
          <w:rFonts w:ascii="Arial" w:cs="Arial" w:eastAsia="Arial" w:hAnsi="Arial"/>
          <w:sz w:val="17"/>
          <w:szCs w:val="17"/>
          <w:color w:val="auto"/>
        </w:rPr>
        <w:t xml:space="preserve"> filed pursuant to subsection 2.1.1 of the registration rights agreement, then, the Company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shall, in good faith, cause such Registrable Securities identified in a Holder’s response to be included in such Piggyback Registration and shall use its commercially reasonable efforts to cause the managing underwriter or underwriters of a proposed Underwritten Offering, if any, to permit the Registrable Securities requested by the Holders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as soon as practicable, but in any event within 30 days after the Business Combination, file a Registration Statement under the Securities Act to permit the public resale of all the registrable securities held by the holders from time to time as permitted by Rule 415 under the Securities Act on the terms and conditions specified in registration rights agreement and will use its commercially reasonable efforts to cause such registration statement to be declared effective as soon as practicable after the filing thereof, but in no event later than the earlier of (i) 60 days following the Business Combination and (ii) five business days after the SEC notifies the Company that it will not review the registration statement.</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Without limiting the foregoing, as soon as practicable, but in no event later than three business days, following the resolution or clearance of all SEC comments or, if applicable, following notification by the SEC that the registration statement will not be subject to review, the Company will file a request for acceleration of effectiveness of such registration statement to a time and date not later than two business days after the submission of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registration statement filed with the SEC will be on Form S-1 or such other form of registration statement as is then available to effect a registration for resale of the registrable securities, provided, that the Company will file, within 30 days of such time as Form S-3 is available for the registration, a post-effective amendment to the registration statement then in effect, or otherwise file a registration statement on Form S-3, registering the registrable securities for resale on Form S-3 (provided that the Company will use commercially reasonable efforts to maintain the effectiveness of the Registration Statement then in effect until such time as a registration statement (or post-effective amendment) on Form S-3 covering such registrable securities has been declared effective by the SEC.</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registration statement will cover all registrable securities, and will contain a prospectus in such form as permits any holder to sell such registrable securities pursuant to Rule 415 under the Securities Act at any time beginning on the effective date for such registration statement and the Company will file with the SEC the final form of such prospectus pursuant to Rule 424 (or successor thereto) under the Securities Act no later than the second Business Day after the Registration Statement becomes effective. The registration statement will provide for the resale pursuant to any method or combination of methods legally available to, and requested by, the holders and will include a customary “plan of distribution”. The Company will use its commercially reasonable efforts to cause the registration statement to remain effective, and to be supplemented and amended to the extent necessary to ensure that the registration statement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registration statement, but in any event within three business days of such date, the Company will notify the Holders of the effectiveness of such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Subscription Agreements, the Company, as soon as practicable, but in no event later than 30 calendar days after the Business Combination, will file with the Commission (at the Company’s sole cost and expense) a Registration Statement registering the resale of the Acquired Shares, and the Company will use its commercially reasonable efforts to cause the Registration Statement to be declared effective as soon as practicable after the filing thereof, but no later than the earlier of (i) the 60th calendar day (or 100th calendar day if the Commission notifies the Company that it will “review” the Registration Statement) following the Business Combination and (ii) the tenth business day after the date the Company is notified by the Commission that the Registration Statement will not be “reviewed” or will not be subject to further review. Under no circumstances shall Subscriber be required to sign any type of lock-up agreement.</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Commission prevents the Company from including any or all of the shares proposed to be registered under the Registration Statement due to limitations on the use of Rule 415 of the Securities Act for the resale of the Acquired Shares by the applicable stockholders or otherwise, such Registration Statement will register for resale such number of Acquired Shares which is equal to the maximum number of Acquired Shares as is permitted by the Commission. In such event, the number of Acquired Shares to be registered for each selling shareholder named in the Registration Statement will be reduced pro rata among all such selling shareholders. In the event the Company amends the Registration Statement in accordance with the foregoing, the Company will use its commercially reasonable efforts to file with the Commission, as promptly as allowed by the Commission, one or more registration statements to register the resale of those Registrable Securities that were not registered on the initial Registration Statement. The Company will use its commercially reasonable efforts to maintain the continuous effectiveness of the Registration Statement until all such securities cease to be Registrable Securities or such shorter period upon which each undersigned party with Registrable Securities included in such Registration Statement have notified the Company that such Registrable Securities have actually been sold.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provide all customary and commercially reasonable cooperation necessary to enable the holders to resell Registrable Securities pursuant to the Registration Statement or Rule 144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terms of the warrant agreement pursuant to which the public warrants were issued, the Company agreed that as soon as practicable, but in no event later than 15 business days after the closing of the Business Combination, it will use its best efforts to file with the SEC a registration statement for the registration under the Securities Act of the shares of common stock issuable upon exercise of the warrants. The Company will thereafter use its best efforts to cause the same to become effective within 60 business days following the Business Combination and to maintain a current prospectus relating to the common stock issuable upon exercise of the public warrants, until the expiration of the public warrants in accordance with the provisions of the warrant agreement. If any such registration statement has not been declared effective by the 60th Business Day following the Business Combination, holders of the Warrants shall have the right, during the period beginning on the sixty-first Business Day after the closing of the Business Combination and ending upon such registration statement being declared effective by the Commission, and during any other period when the Company failed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in accordance with the provisions of the warrant agreement.</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and (ii) in the event the Company so elects, the Company shall (x) not be required to file or maintain in effect a registration statement for the registration, under the Securities Act, of the shares of common stock issuable upon exercise of the warrants, notwithstanding anything in the warrant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apply to list of the post-combination company’s common stock and warrants on Nasdaq under the symbols “SMFR” and “SMFRW,” respectively,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regarding (i) the actual beneficial ownership of the common stock of the Company as of March 31, 2021 and (ii) expected beneficial ownership of the common stock of the post-combination company immediately following the Closing, assuming that no public shares are redeemed, and alternatively that 29,474,795 public shares are redeemed, which represents the maximum number of public shares that can be redeemed while satisfying the applicable closing conditions under the Merger Agreement, by:</w:t>
      </w:r>
    </w:p>
    <w:p>
      <w:pPr>
        <w:spacing w:after="0" w:line="117" w:lineRule="exact"/>
        <w:rPr>
          <w:sz w:val="20"/>
          <w:szCs w:val="20"/>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the outstanding common stock of CMLS as of March 31, 2021;</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person who may become beneficial owner of more than 5% of outstanding common stock of the post-combination company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of CMLS’s current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of CMLS’s current executive officers and directors as a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a director of the post-combination company upon consummation of the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of the executive officers and directors of the post-combination company as a group after the consummation of the Business Combination.</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record date. Shares subject to warrants or options that are currently exercisable or exercisable within 60 days of the record date or subject to restricted stock units that vest within 60 days of the record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beneficial ownership of shares of common stock prior to the Business Combination is based on 55,343,750 shares of common stock of the Company (including 44,275,000 public shares and 11,068,750 Founder Shares) issued and outstanding as of March 31, 2021.</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none of the public shares are redeemed (the no redemptions scenario) has been determined based upon the following: (i) that no public stockholders exercise their redemption rights, (ii) that none of the investors set forth in the table below has purchased or purchases additional shares of common stock (prior to or after the Business Combination), (iii) that 35,000,000 shares of post-combination company common stock are issued to the PIPE Investors, (iv) that 147,922,735 shares of post-combination company common stock are issued to the former Sema4 equity holders as merger consideration, the former Sema4 equity holders who have elected to receive their pro rata share of Closing Available Cash receive an aggregate of $243.8 million in cash, and 29,120,955 Company Options are issued to the former Sema4 equity award holders, (v) the Sponsor forfeits no Founder Shares pursuant to the terms of the Sponsor Forfeiture Agreement and the remaining Founder Shares convert into 11,068,750 shares of Class A common stock in connection with the Business Combination, and (vi) there will be an aggregate of 238,266,485 shares of the post-combination company’s common stock issued and outstanding at Closing.</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the maximum number of public shares have been redeemed (the maximum redemption scenario) has been determined based on the following: (i) that holders of 29,474,795 public shares exercise their redemption rights, which represents the maximum number of public shares that can be redeemed while satisfying the applicable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under the Merger Agreement, (ii) that none of the investors set forth in the table below has purchased or purchases additional shares of common stock (prior to or after the Business Combination), (iii) that 35,000,000 shares of post-combination company common stock are issued to the PIPE Investors, (iv) that 172,304,223 shares of post-combination company common stock are issued to the former Sema4 equity holders as merger consideration, the former Sema4 equity holders who have elected to receive their pro rata share of Closing Available Cash receive no cash consideration, and 29,120,955 Company Options are issued to the former Sema4 equity award holders, (v) the Sponsor forfeits an aggregate of 2,439,452 Founder Shares pursuant to the Sponsor Forfeiture Agreement and the remaining Founder Shares convert into 8,629,298 shares of Class A common stock in connection with the Business Combination, and (vi) there will be an aggregate of 230,733,726 shares of the post-combination company’s common stock issued and outstanding at Closing.</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the calculations of the expected number of Company securities to be issued in the Business Combination under each of the no redemptions and maximum redemption scenarios has been determined based upon the number of shares of Sema4 Class A common stock, Sema4 Class B common stock and Sema4 preferred stock and the number of Sema4 Options that were issued and outstanding as of March 31,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does not include any Earn-Out Shares that may be issued after the closing of the Business Combination.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CMLS and Sema4, respectively, the persons and entities named in the table below have sole voting and investment power with respect to all shares shown as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After Business Combination</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9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Prior to Business Combination</w:t>
            </w:r>
          </w:p>
        </w:tc>
        <w:tc>
          <w:tcPr>
            <w:tcW w:w="2840" w:type="dxa"/>
            <w:vAlign w:val="bottom"/>
            <w:gridSpan w:val="4"/>
          </w:tcPr>
          <w:p>
            <w:pPr>
              <w:ind w:left="540"/>
              <w:spacing w:after="0" w:line="135" w:lineRule="exact"/>
              <w:rPr>
                <w:sz w:val="20"/>
                <w:szCs w:val="20"/>
                <w:color w:val="auto"/>
              </w:rPr>
            </w:pPr>
            <w:r>
              <w:rPr>
                <w:rFonts w:ascii="Arial" w:cs="Arial" w:eastAsia="Arial" w:hAnsi="Arial"/>
                <w:sz w:val="14"/>
                <w:szCs w:val="14"/>
                <w:b w:val="1"/>
                <w:bCs w:val="1"/>
                <w:color w:val="auto"/>
              </w:rPr>
              <w:t>Assuming No Redemptions</w:t>
            </w:r>
          </w:p>
        </w:tc>
        <w:tc>
          <w:tcPr>
            <w:tcW w:w="19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0"/>
              </w:rPr>
              <w:t>Redemptions</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8"/>
                <w:szCs w:val="18"/>
                <w:b w:val="1"/>
                <w:bCs w:val="1"/>
                <w:color w:val="auto"/>
                <w:vertAlign w:val="superscript"/>
              </w:rPr>
              <w:t>(1)</w:t>
            </w: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80" w:type="dxa"/>
            <w:vAlign w:val="bottom"/>
            <w:gridSpan w:val="2"/>
            <w:vMerge w:val="continue"/>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52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4"/>
                <w:szCs w:val="14"/>
                <w:i w:val="1"/>
                <w:iCs w:val="1"/>
                <w:color w:val="auto"/>
              </w:rPr>
              <w:t xml:space="preserve">CMLS Holdings LLC </w:t>
            </w:r>
            <w:r>
              <w:rPr>
                <w:rFonts w:ascii="Arial" w:cs="Arial" w:eastAsia="Arial" w:hAnsi="Arial"/>
                <w:sz w:val="18"/>
                <w:szCs w:val="18"/>
                <w:i w:val="1"/>
                <w:iCs w:val="1"/>
                <w:color w:val="auto"/>
                <w:vertAlign w:val="superscript"/>
              </w:rPr>
              <w:t>(2)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508"/>
              <w:spacing w:after="0"/>
              <w:rPr>
                <w:sz w:val="20"/>
                <w:szCs w:val="20"/>
                <w:color w:val="auto"/>
              </w:rPr>
            </w:pPr>
            <w:r>
              <w:rPr>
                <w:rFonts w:ascii="Arial" w:cs="Arial" w:eastAsia="Arial" w:hAnsi="Arial"/>
                <w:sz w:val="14"/>
                <w:szCs w:val="14"/>
                <w:color w:val="auto"/>
                <w:w w:val="92"/>
              </w:rPr>
              <w:t>4.8</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Keith A. Meister</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Brian Emes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Shaun Rodriguez</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Sean George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Munib Islam</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6"/>
              </w:rPr>
              <w:t>All directors and officers of the Company as a Group prior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220" w:type="dxa"/>
            <w:vAlign w:val="bottom"/>
            <w:gridSpan w:val="2"/>
            <w:vMerge w:val="restart"/>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3"/>
              </w:rPr>
              <w:t>8,629,298</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to the Business Combination (eight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Directors and officers after the Business Combination:</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Eric Schadt</w:t>
            </w:r>
            <w:r>
              <w:rPr>
                <w:rFonts w:ascii="Arial" w:cs="Arial" w:eastAsia="Arial" w:hAnsi="Arial"/>
                <w:sz w:val="18"/>
                <w:szCs w:val="18"/>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Isaac Ro</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Shawn Assad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Daniel Clark</w:t>
            </w:r>
            <w:r>
              <w:rPr>
                <w:rFonts w:ascii="Arial" w:cs="Arial" w:eastAsia="Arial" w:hAnsi="Arial"/>
                <w:sz w:val="18"/>
                <w:szCs w:val="18"/>
                <w:color w:val="auto"/>
                <w:vertAlign w:val="superscript"/>
              </w:rPr>
              <w:t>(4)</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James Coffin</w:t>
            </w:r>
            <w:r>
              <w:rPr>
                <w:rFonts w:ascii="Arial" w:cs="Arial" w:eastAsia="Arial" w:hAnsi="Arial"/>
                <w:sz w:val="18"/>
                <w:szCs w:val="18"/>
                <w:color w:val="auto"/>
                <w:vertAlign w:val="superscript"/>
              </w:rPr>
              <w:t>(5)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Anthony Prentice</w:t>
            </w:r>
            <w:r>
              <w:rPr>
                <w:rFonts w:ascii="Arial" w:cs="Arial" w:eastAsia="Arial" w:hAnsi="Arial"/>
                <w:sz w:val="18"/>
                <w:szCs w:val="18"/>
                <w:color w:val="auto"/>
                <w:vertAlign w:val="superscript"/>
              </w:rPr>
              <w:t>(6)</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Kareem Saad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Karen White</w:t>
            </w:r>
            <w:r>
              <w:rPr>
                <w:rFonts w:ascii="Arial" w:cs="Arial" w:eastAsia="Arial" w:hAnsi="Arial"/>
                <w:sz w:val="18"/>
                <w:szCs w:val="18"/>
                <w:color w:val="auto"/>
                <w:vertAlign w:val="superscript"/>
              </w:rPr>
              <w:t>(7)</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Dennis Charney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Pellini</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Jason Ryan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Rachel Sherman</w:t>
            </w:r>
            <w:r>
              <w:rPr>
                <w:rFonts w:ascii="Arial" w:cs="Arial" w:eastAsia="Arial" w:hAnsi="Arial"/>
                <w:sz w:val="18"/>
                <w:szCs w:val="18"/>
                <w:color w:val="auto"/>
                <w:vertAlign w:val="superscript"/>
              </w:rPr>
              <w:t>(8)</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8"/>
              </w:rPr>
              <w:t>All directors and officers after the Business Combination</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11.042,750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23,186,606</w:t>
            </w:r>
          </w:p>
        </w:tc>
        <w:tc>
          <w:tcPr>
            <w:tcW w:w="122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87"/>
              </w:rPr>
              <w:t>10.0</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4"/>
              </w:rPr>
              <w:t>20,263,144</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9.0</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as a group (16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Five Percent Holders:</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Blackstone Group Inc.</w:t>
            </w:r>
            <w:r>
              <w:rPr>
                <w:rFonts w:ascii="Arial" w:cs="Arial" w:eastAsia="Arial" w:hAnsi="Arial"/>
                <w:sz w:val="18"/>
                <w:szCs w:val="18"/>
                <w:color w:val="auto"/>
                <w:vertAlign w:val="superscript"/>
              </w:rPr>
              <w:t>(9)</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89" w:lineRule="exact"/>
              <w:rPr>
                <w:sz w:val="20"/>
                <w:szCs w:val="20"/>
                <w:color w:val="auto"/>
              </w:rPr>
            </w:pPr>
            <w:r>
              <w:rPr>
                <w:rFonts w:ascii="Arial" w:cs="Arial" w:eastAsia="Arial" w:hAnsi="Arial"/>
                <w:sz w:val="14"/>
                <w:szCs w:val="14"/>
                <w:color w:val="auto"/>
                <w:w w:val="87"/>
              </w:rPr>
              <w:t>23,949,870</w:t>
            </w:r>
            <w:r>
              <w:rPr>
                <w:rFonts w:ascii="Arial" w:cs="Arial" w:eastAsia="Arial" w:hAnsi="Arial"/>
                <w:sz w:val="18"/>
                <w:szCs w:val="18"/>
                <w:color w:val="auto"/>
                <w:w w:val="87"/>
                <w:vertAlign w:val="superscript"/>
              </w:rPr>
              <w:t>(10)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4"/>
                <w:szCs w:val="14"/>
                <w:color w:val="auto"/>
                <w:w w:val="87"/>
              </w:rPr>
              <w:t>29,902,446</w:t>
            </w:r>
            <w:r>
              <w:rPr>
                <w:rFonts w:ascii="Arial" w:cs="Arial" w:eastAsia="Arial" w:hAnsi="Arial"/>
                <w:sz w:val="18"/>
                <w:szCs w:val="18"/>
                <w:color w:val="auto"/>
                <w:w w:val="87"/>
                <w:vertAlign w:val="superscript"/>
              </w:rPr>
              <w:t>(11)</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13.8</w:t>
            </w: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Entities affiliated with Deerfield Management Company,</w:t>
            </w:r>
          </w:p>
        </w:tc>
        <w:tc>
          <w:tcPr>
            <w:tcW w:w="16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13,849,786</w:t>
            </w:r>
            <w:r>
              <w:rPr>
                <w:rFonts w:ascii="Arial" w:cs="Arial" w:eastAsia="Arial" w:hAnsi="Arial"/>
                <w:sz w:val="18"/>
                <w:szCs w:val="18"/>
                <w:color w:val="auto"/>
                <w:w w:val="87"/>
                <w:vertAlign w:val="superscript"/>
              </w:rPr>
              <w:t>(13)</w:t>
            </w:r>
          </w:p>
        </w:tc>
        <w:tc>
          <w:tcPr>
            <w:tcW w:w="1220" w:type="dxa"/>
            <w:vAlign w:val="bottom"/>
            <w:gridSpan w:val="2"/>
            <w:vMerge w:val="restart"/>
            <w:shd w:val="clear" w:color="auto" w:fill="CCEEFF"/>
          </w:tcPr>
          <w:p>
            <w:pPr>
              <w:jc w:val="center"/>
              <w:ind w:right="408"/>
              <w:spacing w:after="0"/>
              <w:rPr>
                <w:sz w:val="20"/>
                <w:szCs w:val="20"/>
                <w:color w:val="auto"/>
              </w:rPr>
            </w:pPr>
            <w:r>
              <w:rPr>
                <w:rFonts w:ascii="Arial" w:cs="Arial" w:eastAsia="Arial" w:hAnsi="Arial"/>
                <w:sz w:val="14"/>
                <w:szCs w:val="14"/>
                <w:color w:val="auto"/>
                <w:w w:val="92"/>
              </w:rPr>
              <w:t>5.9</w:t>
            </w:r>
          </w:p>
        </w:tc>
        <w:tc>
          <w:tcPr>
            <w:tcW w:w="10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13,849,786</w:t>
            </w:r>
            <w:r>
              <w:rPr>
                <w:rFonts w:ascii="Arial" w:cs="Arial" w:eastAsia="Arial" w:hAnsi="Arial"/>
                <w:sz w:val="18"/>
                <w:szCs w:val="18"/>
                <w:color w:val="auto"/>
                <w:w w:val="89"/>
                <w:vertAlign w:val="superscript"/>
              </w:rPr>
              <w:t>(14)</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21"/>
                <w:szCs w:val="21"/>
                <w:color w:val="auto"/>
                <w:vertAlign w:val="subscript"/>
              </w:rPr>
              <w:t>L.P.</w:t>
            </w:r>
            <w:r>
              <w:rPr>
                <w:rFonts w:ascii="Arial" w:cs="Arial" w:eastAsia="Arial" w:hAnsi="Arial"/>
                <w:sz w:val="8"/>
                <w:szCs w:val="8"/>
                <w:color w:val="auto"/>
              </w:rPr>
              <w:t>(12)</w:t>
            </w:r>
          </w:p>
        </w:tc>
        <w:tc>
          <w:tcPr>
            <w:tcW w:w="166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80" w:type="dxa"/>
            <w:vAlign w:val="bottom"/>
            <w:gridSpan w:val="2"/>
          </w:tcPr>
          <w:p>
            <w:pPr>
              <w:ind w:left="20"/>
              <w:spacing w:after="0" w:line="170" w:lineRule="exact"/>
              <w:rPr>
                <w:sz w:val="20"/>
                <w:szCs w:val="20"/>
                <w:color w:val="auto"/>
              </w:rPr>
            </w:pPr>
            <w:r>
              <w:rPr>
                <w:rFonts w:ascii="Arial" w:cs="Arial" w:eastAsia="Arial" w:hAnsi="Arial"/>
                <w:sz w:val="14"/>
                <w:szCs w:val="14"/>
                <w:color w:val="auto"/>
              </w:rPr>
              <w:t>Icahn School of Medicine at Mount Sinai</w:t>
            </w:r>
            <w:r>
              <w:rPr>
                <w:rFonts w:ascii="Arial" w:cs="Arial" w:eastAsia="Arial" w:hAnsi="Arial"/>
                <w:sz w:val="18"/>
                <w:szCs w:val="18"/>
                <w:color w:val="auto"/>
                <w:vertAlign w:val="superscript"/>
              </w:rPr>
              <w:t>(15)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70" w:lineRule="exact"/>
              <w:rPr>
                <w:sz w:val="20"/>
                <w:szCs w:val="20"/>
                <w:color w:val="auto"/>
              </w:rPr>
            </w:pPr>
            <w:r>
              <w:rPr>
                <w:rFonts w:ascii="Arial" w:cs="Arial" w:eastAsia="Arial" w:hAnsi="Arial"/>
                <w:sz w:val="14"/>
                <w:szCs w:val="14"/>
                <w:color w:val="auto"/>
                <w:w w:val="87"/>
              </w:rPr>
              <w:t>83,402,170</w:t>
            </w:r>
            <w:r>
              <w:rPr>
                <w:rFonts w:ascii="Arial" w:cs="Arial" w:eastAsia="Arial" w:hAnsi="Arial"/>
                <w:sz w:val="18"/>
                <w:szCs w:val="18"/>
                <w:color w:val="auto"/>
                <w:w w:val="87"/>
                <w:vertAlign w:val="superscript"/>
              </w:rPr>
              <w:t>(16)</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35.8</w:t>
            </w:r>
          </w:p>
        </w:tc>
        <w:tc>
          <w:tcPr>
            <w:tcW w:w="100" w:type="dxa"/>
            <w:vAlign w:val="bottom"/>
          </w:tcPr>
          <w:p>
            <w:pPr>
              <w:spacing w:after="0"/>
              <w:rPr>
                <w:sz w:val="14"/>
                <w:szCs w:val="14"/>
                <w:color w:val="auto"/>
              </w:rPr>
            </w:pPr>
          </w:p>
        </w:tc>
        <w:tc>
          <w:tcPr>
            <w:tcW w:w="1380" w:type="dxa"/>
            <w:vAlign w:val="bottom"/>
          </w:tcPr>
          <w:p>
            <w:pPr>
              <w:jc w:val="center"/>
              <w:spacing w:after="0" w:line="170" w:lineRule="exact"/>
              <w:rPr>
                <w:sz w:val="20"/>
                <w:szCs w:val="20"/>
                <w:color w:val="auto"/>
              </w:rPr>
            </w:pPr>
            <w:r>
              <w:rPr>
                <w:rFonts w:ascii="Arial" w:cs="Arial" w:eastAsia="Arial" w:hAnsi="Arial"/>
                <w:sz w:val="14"/>
                <w:szCs w:val="14"/>
                <w:color w:val="auto"/>
                <w:w w:val="86"/>
              </w:rPr>
              <w:t>105,441,409</w:t>
            </w:r>
            <w:r>
              <w:rPr>
                <w:rFonts w:ascii="Arial" w:cs="Arial" w:eastAsia="Arial" w:hAnsi="Arial"/>
                <w:sz w:val="18"/>
                <w:szCs w:val="18"/>
                <w:color w:val="auto"/>
                <w:w w:val="86"/>
                <w:vertAlign w:val="superscript"/>
              </w:rPr>
              <w:t>(17)</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48.6</w:t>
            </w:r>
          </w:p>
        </w:tc>
        <w:tc>
          <w:tcPr>
            <w:tcW w:w="0" w:type="dxa"/>
            <w:vAlign w:val="bottom"/>
          </w:tcPr>
          <w:p>
            <w:pPr>
              <w:spacing w:after="0"/>
              <w:rPr>
                <w:sz w:val="1"/>
                <w:szCs w:val="1"/>
                <w:color w:val="auto"/>
              </w:rPr>
            </w:pPr>
          </w:p>
        </w:tc>
      </w:tr>
      <w:tr>
        <w:trPr>
          <w:trHeight w:val="162"/>
        </w:trPr>
        <w:tc>
          <w:tcPr>
            <w:tcW w:w="348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340" w:type="dxa"/>
            <w:vAlign w:val="bottom"/>
          </w:tcPr>
          <w:p>
            <w:pPr>
              <w:ind w:left="200"/>
              <w:spacing w:after="0"/>
              <w:rPr>
                <w:sz w:val="20"/>
                <w:szCs w:val="20"/>
                <w:color w:val="auto"/>
              </w:rPr>
            </w:pPr>
            <w:r>
              <w:rPr>
                <w:rFonts w:ascii="Arial" w:cs="Arial" w:eastAsia="Arial" w:hAnsi="Arial"/>
                <w:sz w:val="14"/>
                <w:szCs w:val="14"/>
                <w:color w:val="auto"/>
              </w:rPr>
              <w:t>Less than 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100" w:hanging="332"/>
        <w:spacing w:after="0" w:line="241" w:lineRule="auto"/>
        <w:tabs>
          <w:tab w:leader="none" w:pos="33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Unless otherwise indicated, the business address of each beneficial owner listed in the table below before the Business Combination is c/o Corvex Management LP, Inc., 667 Madison Ave, New York, NY 10065 and the business address of each of the directors and officers after the Business Combination is c/o Sema4 Holdings Corp, 333 Ludlow Street, Stamford, Connecticut 06902.</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The Sponsor is the record holder of the shares reported herein. The Board of Managers of the Sponsor is comprised of Mr. Casdin and Mr. Meister who share voting and investment discretion with respect to the common stock held of record by the Sponsor. Messrs. Casdin and Meister disclaim beneficial ownership of these shares except to the extent of their respective pecuniary interests therein.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Consists of 6,437,494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Consists of 1,296,449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Consists of 2,252,860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Consists of 2,016,767 shares of the post-combination company common stock subject to options exercisable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39" w:lineRule="exact"/>
        <w:rPr>
          <w:sz w:val="20"/>
          <w:szCs w:val="20"/>
          <w:color w:val="auto"/>
        </w:rPr>
      </w:pPr>
    </w:p>
    <w:p>
      <w:pPr>
        <w:ind w:left="312" w:hanging="312"/>
        <w:spacing w:after="0"/>
        <w:tabs>
          <w:tab w:leader="none" w:pos="31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25,767 shares of the post-combination company common stock subject to options exercisable within 60 days of March 31, 2021.</w:t>
      </w:r>
    </w:p>
    <w:p>
      <w:pPr>
        <w:spacing w:after="0" w:line="13" w:lineRule="exact"/>
        <w:rPr>
          <w:rFonts w:ascii="Arial" w:cs="Arial" w:eastAsia="Arial" w:hAnsi="Arial"/>
          <w:sz w:val="14"/>
          <w:szCs w:val="14"/>
          <w:color w:val="auto"/>
        </w:rPr>
      </w:pPr>
    </w:p>
    <w:p>
      <w:pPr>
        <w:ind w:left="312" w:hanging="312"/>
        <w:spacing w:after="0"/>
        <w:tabs>
          <w:tab w:leader="none" w:pos="31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113,519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32" w:right="20" w:hanging="332"/>
        <w:spacing w:after="0" w:line="260" w:lineRule="auto"/>
        <w:tabs>
          <w:tab w:leader="none" w:pos="324" w:val="left"/>
        </w:tabs>
        <w:numPr>
          <w:ilvl w:val="0"/>
          <w:numId w:val="246"/>
        </w:numPr>
        <w:rPr>
          <w:rFonts w:ascii="Arial" w:cs="Arial" w:eastAsia="Arial" w:hAnsi="Arial"/>
          <w:sz w:val="13"/>
          <w:szCs w:val="13"/>
          <w:color w:val="auto"/>
        </w:rPr>
      </w:pPr>
      <w:r>
        <w:rPr>
          <w:rFonts w:ascii="Arial" w:cs="Arial" w:eastAsia="Arial" w:hAnsi="Arial"/>
          <w:sz w:val="13"/>
          <w:szCs w:val="13"/>
          <w:color w:val="auto"/>
        </w:rPr>
        <w:t>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hanging="332"/>
        <w:spacing w:after="0" w:line="241" w:lineRule="auto"/>
        <w:tabs>
          <w:tab w:leader="none" w:pos="3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23,326,038 shares of post-combination company common stock to be held by BTO Sema4 Holdings L.P., 482,778 shares of post-combination company common stock to be held by Blackstone Tactical Opportunities Fund - FD L.P. and 141,054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hanging="332"/>
        <w:spacing w:after="0" w:line="241" w:lineRule="auto"/>
        <w:tabs>
          <w:tab w:leader="none" w:pos="323"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29,123,564 shares of post-combination company common stock to be held by BTO Sema4 Holdings L.P., 602,770 shares of post-combination company common stock to be held by Blackstone Tactical Opportunities Fund - FD L.P. and 176,112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ind w:left="332" w:right="60" w:hanging="332"/>
        <w:spacing w:after="0" w:line="241" w:lineRule="auto"/>
        <w:tabs>
          <w:tab w:leader="none" w:pos="3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jc w:val="both"/>
        <w:ind w:left="332" w:right="120" w:hanging="332"/>
        <w:spacing w:after="0" w:line="241" w:lineRule="auto"/>
        <w:tabs>
          <w:tab w:leader="none" w:pos="329"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shares are held by Icahn School of Medicine at Mount Sinai, or ISMMS, a New York Education Corporation. The responsibility and authority for the voting and investment decisions with respect to the shares of Sema4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83,402,170 shares of post-combination company common stock to be held by Icahn School of Medicine at Mount Sinai.</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105,441,409 shares of post-combination company common stock to be held by 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12"/>
          </w:cols>
          <w:pgMar w:left="328" w:top="1440" w:right="359" w:bottom="1440" w:gutter="0" w:footer="0" w:header="0"/>
        </w:sectPr>
      </w:pPr>
    </w:p>
    <w:bookmarkStart w:id="313" w:name="page314"/>
    <w:bookmarkEnd w:id="313"/>
    <w:p>
      <w:pPr>
        <w:spacing w:after="0" w:line="14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w:t>
      </w:r>
      <w:r>
        <w:rPr>
          <w:rFonts w:ascii="Arial" w:cs="Arial" w:eastAsia="Arial" w:hAnsi="Arial"/>
          <w:sz w:val="17"/>
          <w:szCs w:val="17"/>
          <w:color w:val="auto"/>
        </w:rPr>
        <w:t>For additional information on the potential forfeiture of private placement warrants by the Sponsor, see the section entitled “</w:t>
      </w:r>
      <w:r>
        <w:rPr>
          <w:rFonts w:ascii="Arial" w:cs="Arial" w:eastAsia="Arial" w:hAnsi="Arial"/>
          <w:sz w:val="17"/>
          <w:szCs w:val="17"/>
          <w:i w:val="1"/>
          <w:iCs w:val="1"/>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 Proposal — Related Agreements — Forfeiture Agreement</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termination of the applicable lock-up period. The Company will bear the expenses incurred in connection with the filing of any such registration statements.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Related Agreements — Forfeiture 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Business Combination Registration Rights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Sponsor and certain stockholders will enter into a registration rights agreement (the “Post Business Combination Registration Rights Agreement”) with respect to the Company’s common stock that will be issued and outstanding following the Business Combination. Pursuant to the terms of the Post Business Combination Registration Rights Agreement, the Company will be obligated to file a resale shelf registration statement on behalf of the stockholder parties within 30 calendar days after the Closing. The Post Business Combination Registration Rights Agreement will also provide the parties thereto with demand, “piggy-back” and Form S-3 registration rights, subject to certain minimum requirements and customary conditions. In addition, subject to certain exceptions, each party to the Post Business Combination Registration Rights Agreement will agree for a period of time not to transfer or dispose of the Company’s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there were no amounts outstanding under the Working Capital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entered into separate forward purchase agreements with affiliates of the Sponsor, Casdin Capital, LLC (“</w:t>
      </w:r>
      <w:r>
        <w:rPr>
          <w:rFonts w:ascii="Arial" w:cs="Arial" w:eastAsia="Arial" w:hAnsi="Arial"/>
          <w:sz w:val="18"/>
          <w:szCs w:val="18"/>
          <w:i w:val="1"/>
          <w:iCs w:val="1"/>
          <w:color w:val="auto"/>
        </w:rPr>
        <w:t>Casdin</w:t>
      </w:r>
      <w:r>
        <w:rPr>
          <w:rFonts w:ascii="Arial" w:cs="Arial" w:eastAsia="Arial" w:hAnsi="Arial"/>
          <w:sz w:val="18"/>
          <w:szCs w:val="18"/>
          <w:color w:val="auto"/>
        </w:rPr>
        <w:t>”) and Corvex Management LP (“</w:t>
      </w:r>
      <w:r>
        <w:rPr>
          <w:rFonts w:ascii="Arial" w:cs="Arial" w:eastAsia="Arial" w:hAnsi="Arial"/>
          <w:sz w:val="18"/>
          <w:szCs w:val="18"/>
          <w:i w:val="1"/>
          <w:iCs w:val="1"/>
          <w:color w:val="auto"/>
        </w:rPr>
        <w:t>Corvex</w:t>
      </w:r>
      <w:r>
        <w:rPr>
          <w:rFonts w:ascii="Arial" w:cs="Arial" w:eastAsia="Arial" w:hAnsi="Arial"/>
          <w:sz w:val="18"/>
          <w:szCs w:val="18"/>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consummation of our IPO, we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audit committee, pursuant to a written charter that we adopted prior to the consummation of our IPO,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We also require each of our directors and executive officers to complete a directors’ and officers’ questionnaire that elicits information about related party transactions.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60" w:hanging="328"/>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Sema4 has been or is to be a participant;</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 amount involved exceeded or exceeds $120,000;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4" w:lineRule="exact"/>
        <w:rPr>
          <w:sz w:val="20"/>
          <w:szCs w:val="20"/>
          <w:color w:val="auto"/>
        </w:rPr>
      </w:pPr>
    </w:p>
    <w:p>
      <w:pPr>
        <w:ind w:left="660" w:hanging="328"/>
        <w:spacing w:after="0" w:line="342" w:lineRule="auto"/>
        <w:tabs>
          <w:tab w:leader="none" w:pos="655" w:val="left"/>
        </w:tabs>
        <w:numPr>
          <w:ilvl w:val="0"/>
          <w:numId w:val="248"/>
        </w:numPr>
        <w:rPr>
          <w:rFonts w:ascii="Arial" w:cs="Arial" w:eastAsia="Arial" w:hAnsi="Arial"/>
          <w:sz w:val="16"/>
          <w:szCs w:val="16"/>
          <w:b w:val="1"/>
          <w:bCs w:val="1"/>
          <w:color w:val="auto"/>
        </w:rPr>
      </w:pPr>
      <w:r>
        <w:rPr>
          <w:rFonts w:ascii="Arial" w:cs="Arial" w:eastAsia="Arial" w:hAnsi="Arial"/>
          <w:sz w:val="16"/>
          <w:szCs w:val="16"/>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will be cancelled and represent the right to receive a portion of the merger consideration in connection with the completion of the Business Combination, as provided in the Merger Agreement. See “Proposal No.1 – Approval of the Business Combination—The Merger Agreement—Merger Consideration.”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Shares of Series C Preferred Stock</w:t>
            </w:r>
          </w:p>
        </w:tc>
        <w:tc>
          <w:tcPr>
            <w:tcW w:w="0" w:type="dxa"/>
            <w:vAlign w:val="bottom"/>
          </w:tcPr>
          <w:p>
            <w:pPr>
              <w:spacing w:after="0"/>
              <w:rPr>
                <w:sz w:val="1"/>
                <w:szCs w:val="1"/>
                <w:color w:val="auto"/>
              </w:rPr>
            </w:pPr>
          </w:p>
        </w:tc>
      </w:tr>
      <w:tr>
        <w:trPr>
          <w:trHeight w:val="135"/>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1"/>
                <w:szCs w:val="11"/>
                <w:color w:val="auto"/>
              </w:rPr>
            </w:pPr>
          </w:p>
        </w:tc>
        <w:tc>
          <w:tcPr>
            <w:tcW w:w="156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78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Consideration ($)</w:t>
            </w:r>
          </w:p>
        </w:tc>
        <w:tc>
          <w:tcPr>
            <w:tcW w:w="0" w:type="dxa"/>
            <w:vAlign w:val="bottom"/>
          </w:tcPr>
          <w:p>
            <w:pPr>
              <w:spacing w:after="0"/>
              <w:rPr>
                <w:sz w:val="1"/>
                <w:szCs w:val="1"/>
                <w:color w:val="auto"/>
              </w:rPr>
            </w:pPr>
          </w:p>
        </w:tc>
      </w:tr>
      <w:tr>
        <w:trPr>
          <w:trHeight w:val="224"/>
        </w:trPr>
        <w:tc>
          <w:tcPr>
            <w:tcW w:w="78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r>
        <w:trPr>
          <w:trHeight w:val="155"/>
        </w:trPr>
        <w:tc>
          <w:tcPr>
            <w:tcW w:w="78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20" w:hanging="332"/>
        <w:spacing w:after="0" w:line="255" w:lineRule="auto"/>
        <w:tabs>
          <w:tab w:leader="none" w:pos="332" w:val="left"/>
        </w:tabs>
        <w:numPr>
          <w:ilvl w:val="0"/>
          <w:numId w:val="249"/>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27, 2020, Sema4 entered into a second amended and restated stockholders’ agreement, as amended, or the Stockholders’ Agreement, with certain holders of Sema4’s capital stock. The Stockholders’ Agreement provides for certain customary rights with respect to the management of Sema4, rights of first offer and pre-emptive rights, transfer restrictions, tag-along rights and drag-along rights, which rights and restrictions will terminate upon the consummation of the Business Combination. In addition, the Stockholders’ Agreement provides for certain customary registration rights. In connection with the consummation of the Business Combination, certain stockholders of Sema4 will enter into an amended and restated registration rights agreement with the post-combination company, which will terminate the registration rights under the Stockholders’ Agreement. For a description of the amended and restated registration rights agreement, see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 </w:t>
      </w:r>
      <w:r>
        <w:rPr>
          <w:rFonts w:ascii="Arial" w:cs="Arial" w:eastAsia="Arial" w:hAnsi="Arial"/>
          <w:sz w:val="17"/>
          <w:szCs w:val="17"/>
          <w:i w:val="1"/>
          <w:iCs w:val="1"/>
          <w:color w:val="auto"/>
        </w:rPr>
        <w:t>The Company’s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 Post Business Combination Registration Rights Agreement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28, 2016, Sema4 entered into a registration rights agreement, or the ISMMS Registration Rights Agreement, with Icahn School of Medicine at Mount Sinai, or ISMMS. The ISMMS Registration Rights Agreement provides for certain customary registration rights. In connection with the consummation of the Business Combination, ISMMS will enter into an amended and restated registration rights agreement with the post-combination company, which will terminate the registration rights under the ISMMS Registration Rights Agreement. For a description of the amended and restated registration rights agreement,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 </w:t>
      </w:r>
      <w:r>
        <w:rPr>
          <w:rFonts w:ascii="Arial" w:cs="Arial" w:eastAsia="Arial" w:hAnsi="Arial"/>
          <w:sz w:val="18"/>
          <w:szCs w:val="18"/>
          <w:i w:val="1"/>
          <w:iCs w:val="1"/>
          <w:color w:val="auto"/>
        </w:rPr>
        <w:t>The Company’s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Post Business Combination Registration Rights Agreement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Rick Wallsten, the brother of Eric Schadt, Sema4’s Chief Executive Officer and a director, has been employed by Sema4 since November 2017 as a clinical pharmacist. As a clinical pharmacist for Sema4, Mr. Wallsten is responsible for certain aspects of Sema4’s pharmacogenomics program. During the year ended December 31, 2020, Mr. Wallsten had total cash compensation, including base salary and bonus, of $157,620.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Kelly Peterson, the sister of James Coffin, Sema4’s President, Chief Operating Officer and Treasurer, has been employed by Sema4 since February 2019 as an account manager. As an account manager for Sema4, Ms. Peterson is responsible for managing certain of Sema4’s oncology customer accounts. During the year ended December 31, 2020, Ms. Peterson had total cash compensation, including base salary, commission and other compensation, of $160,223.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and $1.4 million for the three months ended March 31, 2021. Future minimum lease payments are expected to total $4.8 million related to all facilities subleased by ISMMS to Sema4 for the year ending December 31, 2021. It is expected that the post-combination company will continue to operate out of the office and laboratory space in Stamford, Connecticut for its headquarters and laboratory operations, and certain of the subleased office space in New York, New York, following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and $0.7 million for the year ended December 31, 2020 and the three months ended March 31, 2021 pursuant to the transition services agreement. It is expected that Sema4 will negotiate and enter into a new transition services agreement prior to the completion of the Business Combination.</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provides partial reimbursement to Mount Sinai for limited compensation, services, and related expenses for certain individuals employed by Mount Sinai and certain individuals employed at both Mount Sinai and Sema4. For the year ended December 31, 2020 and the three months ended March 31, 2021, the total amount of reimbursement for employee compensation and expenses paid by Sema4 to Mount Sinai was equal to approximately $1.3 million and $0.3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provides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Sema4 provides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Sema4 is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 Mount Sinai of its material obligations, and by either party if certain insolvency or bankruptcy events occur with respect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also receives products and services from Mount Sinai at fair market value, including for certain research and clinical services, development services and lab services, and licenses certain intellectual property from Mount Sinai. Pursuant to these arrangements, Sema4 made direct payments to Mount Sinai of approximately $3.7 million and $0.3 million for the year ended December 31, 2020 and the three months ended March 31,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These agreements include:</w:t>
      </w:r>
    </w:p>
    <w:p>
      <w:pPr>
        <w:spacing w:after="0" w:line="116" w:lineRule="exact"/>
        <w:rPr>
          <w:sz w:val="20"/>
          <w:szCs w:val="20"/>
          <w:color w:val="auto"/>
        </w:rPr>
      </w:pPr>
    </w:p>
    <w:p>
      <w:pPr>
        <w:ind w:left="66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(see the section entitled “</w:t>
      </w:r>
      <w:r>
        <w:rPr>
          <w:rFonts w:ascii="Arial" w:cs="Arial" w:eastAsia="Arial" w:hAnsi="Arial"/>
          <w:sz w:val="18"/>
          <w:szCs w:val="18"/>
          <w:i w:val="1"/>
          <w:iCs w:val="1"/>
          <w:color w:val="auto"/>
        </w:rPr>
        <w:t>The Business Combination Proposal — Related Agreements —</w:t>
      </w:r>
      <w:r>
        <w:rPr>
          <w:rFonts w:ascii="Arial" w:cs="Arial" w:eastAsia="Arial" w:hAnsi="Arial"/>
          <w:sz w:val="18"/>
          <w:szCs w:val="18"/>
          <w:color w:val="auto"/>
        </w:rPr>
        <w:t xml:space="preserve"> </w:t>
      </w:r>
      <w:r>
        <w:rPr>
          <w:rFonts w:ascii="Arial" w:cs="Arial" w:eastAsia="Arial" w:hAnsi="Arial"/>
          <w:sz w:val="18"/>
          <w:szCs w:val="18"/>
          <w:i w:val="1"/>
          <w:iCs w:val="1"/>
          <w:color w:val="auto"/>
        </w:rPr>
        <w:t>Amended and Restated Registration Rights 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Forfeiture Agreement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ISMMS Lock-Up Agreement (see the section entitled “</w:t>
      </w:r>
      <w:r>
        <w:rPr>
          <w:rFonts w:ascii="Arial" w:cs="Arial" w:eastAsia="Arial" w:hAnsi="Arial"/>
          <w:sz w:val="18"/>
          <w:szCs w:val="18"/>
          <w:i w:val="1"/>
          <w:iCs w:val="1"/>
          <w:color w:val="auto"/>
        </w:rPr>
        <w:t>The Business Combination Proposal — Related Agreements —ISMMS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Shareholder-Lockup Agreement (see the section entitled “</w:t>
      </w:r>
      <w:r>
        <w:rPr>
          <w:rFonts w:ascii="Arial" w:cs="Arial" w:eastAsia="Arial" w:hAnsi="Arial"/>
          <w:sz w:val="18"/>
          <w:szCs w:val="18"/>
          <w:i w:val="1"/>
          <w:iCs w:val="1"/>
          <w:color w:val="auto"/>
        </w:rPr>
        <w:t>The Business Combination Proposal — Related Agreements —Shareholder-Lockup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Sponsor Support Agreement (see the section entitled “</w:t>
      </w:r>
      <w:r>
        <w:rPr>
          <w:rFonts w:ascii="Arial" w:cs="Arial" w:eastAsia="Arial" w:hAnsi="Arial"/>
          <w:sz w:val="18"/>
          <w:szCs w:val="18"/>
          <w:i w:val="1"/>
          <w:iCs w:val="1"/>
          <w:color w:val="auto"/>
        </w:rPr>
        <w:t>The Business Combination Proposal — Related Agreements — Sponsor 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Insider Letter (see the section entitled “</w:t>
      </w:r>
      <w:r>
        <w:rPr>
          <w:rFonts w:ascii="Arial" w:cs="Arial" w:eastAsia="Arial" w:hAnsi="Arial"/>
          <w:sz w:val="18"/>
          <w:szCs w:val="18"/>
          <w:i w:val="1"/>
          <w:iCs w:val="1"/>
          <w:color w:val="auto"/>
        </w:rPr>
        <w:t>The Business Combination Proposal — Related Agreements —Insider Letter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Amended and Restated Certificate of Incorporation, which will be effective upon the completion of the Business Combination, will contain provisions limiting the liability of directors, and Company’s bylaws, which will be effective upon the completion of the Business Combination, will provide that the post-combination company will indemnify each of its directors to the fullest extent permitted under Delaware law. The Amended and Restated Certificate of Incorporation and the bylaws will also provide the board of directors with discretion to indemnify officers and employees when determined appropriate by the post-combination company’s board of directors.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post-combination company intends to enter into new indemnification agreements with each of its directors and executive officers and certain other key employees. The indemnification agreements will provide that the post-combination company will indemnify each of its directors, executive officers, and such other key employees against any and all expenses incurred by that director, executive officer, or other key employee because of his or her status as one of the post-combination company’s directors, executive officers, or other key employees, to the fullest extent permitted by Delaware law, the Amended and Restated Certificate of Incorporation and the post-combination company’s bylaws. In addition, the indemnification agreements will provide that, to the fullest extent permitted by Delaware law, the post-combination company will advance all expenses incurred by its directors, executive officers, and other key employees in connection with a legal proceeding involving his or her status as a director, executive officer, or key employee.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post-combination company intends to adopt a new written related party transaction policy to be effective upon the completion of the Business Combination. The policy will provide that officers, directors, holders of more than 5% of any class of the post-combination company’s voting securities, and any member of the immediate family of and any entity affiliated with any of the foregoing persons, will not be permitted to enter into a related-party transaction with the post-combination company without the prior consent of the audit committee, or other independent members of the post-combination company’s board of directors in the event it is inappropriate for the audit committee to review such transaction due to a conflict of interest. Any request for the post-combination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units, common stock and warrants are currently listed on Nasdaq under the symbols “CMLFU”, “CMLF” and “CMLFW”,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July 1, 2021, the trading date immediately prior to the date of this proxy statement, the Company’s units, common stock and warrants closed at $15.41, $13.99 and $4.73,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15, 2021, there was 1 holder of record of our units, 1 holder of record of our common stock, and 4 holders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post-combination company’s board of directors at such time. We currently expect that the post-combination company will retain future earnings to finance operations and grow its business, and we do not expect the post-combination company to declare or pay cash dividends for the foreseeable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public market for shares of Sema4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Withum,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common stock in connection with the Business Combination.</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the stockholder should contact us at our offices at CM Life Sciences, Inc., 667 Madison Avenue, New York, New York 10065 or by telephone at (212) 474-6745, to inform us of his or her request;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2022 annual meeting of stockholders will be held no later than June 2022. For any proposal to be considered for inclusion in the proxy statement and form of proxy for the post-combination company’s 2022 annual meeting of stockholders, it must be submitted in writing and comply with the requirements of Rule 14a-8 of the Exchange Act. Such proposals must be received by the post-combination company at its principal executive offices a reasonable time before the post-combination company begins to print and mail its 2022 annual meeting proxy materials in order to be considered for inclusion in the proxy materials for the 2022 annual meeting.</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post-combination company bylaws will provide that the stockholder must give timely notice in proper written form to our secretary at the post-combination company’s principal executive offices and such business must otherwise be a proper matter for stockholder action. Such notice, to be timely, must be received not less than 90 days nor more than 120 days prior to the first anniversary of the preceding year’s annual meeting (which date shall, for purposes of the annual meeting of the post-combination company in the year of the Business Combination, be deemed to have occurred on May 15 of such year). As a result, any notice given by or on behalf of a shareholder pursuant to these provisions of the post-combination company bylaws (and not pursuant to SEC Rule 14a-8) must be received by February 14, 2022 (but not before January 15, 2022). However,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event that the date of the annual meeting is advanced by more than thirty (30) days, or delayed by more than seventy (70) days,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474-6745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Eli Casdin</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Sema4 has been supplied by Sema4. Information provided by either the Company or Sema4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Sema4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1"/>
              </w:rPr>
              <w:t>Mount Sinai Genomics, Inc.</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89"/>
              </w:rPr>
              <w:t>Years Ended December 31, 2020, 2019 and 2018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83"/>
        </w:trPr>
        <w:tc>
          <w:tcPr>
            <w:tcW w:w="10620" w:type="dxa"/>
            <w:vAlign w:val="bottom"/>
            <w:gridSpan w:val="12"/>
          </w:tcPr>
          <w:p>
            <w:pPr>
              <w:spacing w:after="0" w:line="182" w:lineRule="exact"/>
              <w:rPr>
                <w:rFonts w:ascii="Arial" w:cs="Arial" w:eastAsia="Arial" w:hAnsi="Arial"/>
                <w:sz w:val="18"/>
                <w:szCs w:val="18"/>
                <w:color w:val="0000FF"/>
              </w:rPr>
            </w:pPr>
            <w:hyperlink w:anchor="page324">
              <w:r>
                <w:rPr>
                  <w:rFonts w:ascii="Arial" w:cs="Arial" w:eastAsia="Arial" w:hAnsi="Arial"/>
                  <w:sz w:val="18"/>
                  <w:szCs w:val="18"/>
                  <w:color w:val="0000FF"/>
                </w:rPr>
                <w:t>Report of Independent Registered Public Accounting Firm</w:t>
              </w:r>
            </w:hyperlink>
          </w:p>
        </w:tc>
        <w:tc>
          <w:tcPr>
            <w:tcW w:w="180" w:type="dxa"/>
            <w:vAlign w:val="bottom"/>
          </w:tcPr>
          <w:p>
            <w:pPr>
              <w:spacing w:after="0"/>
              <w:rPr>
                <w:sz w:val="15"/>
                <w:szCs w:val="15"/>
                <w:color w:val="auto"/>
              </w:rPr>
            </w:pPr>
          </w:p>
        </w:tc>
        <w:tc>
          <w:tcPr>
            <w:tcW w:w="420" w:type="dxa"/>
            <w:vAlign w:val="bottom"/>
            <w:gridSpan w:val="2"/>
          </w:tcPr>
          <w:p>
            <w:pPr>
              <w:jc w:val="center"/>
              <w:ind w:right="180"/>
              <w:spacing w:after="0" w:line="182" w:lineRule="exact"/>
              <w:rPr>
                <w:rFonts w:ascii="Arial" w:cs="Arial" w:eastAsia="Arial" w:hAnsi="Arial"/>
                <w:sz w:val="18"/>
                <w:szCs w:val="18"/>
                <w:color w:val="0000FF"/>
                <w:w w:val="88"/>
              </w:rPr>
            </w:pPr>
            <w:hyperlink w:anchor="page324">
              <w:r>
                <w:rPr>
                  <w:rFonts w:ascii="Arial" w:cs="Arial" w:eastAsia="Arial" w:hAnsi="Arial"/>
                  <w:sz w:val="18"/>
                  <w:szCs w:val="18"/>
                  <w:color w:val="0000FF"/>
                  <w:w w:val="88"/>
                </w:rPr>
                <w:t>F-2</w:t>
              </w:r>
            </w:hyperlink>
          </w:p>
        </w:tc>
      </w:tr>
      <w:tr>
        <w:trPr>
          <w:trHeight w:val="249"/>
        </w:trPr>
        <w:tc>
          <w:tcPr>
            <w:tcW w:w="42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640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r>
      <w:tr>
        <w:trPr>
          <w:trHeight w:val="190"/>
        </w:trPr>
        <w:tc>
          <w:tcPr>
            <w:tcW w:w="1100" w:type="dxa"/>
            <w:vAlign w:val="bottom"/>
          </w:tcPr>
          <w:p>
            <w:pPr>
              <w:spacing w:after="0" w:line="190" w:lineRule="exact"/>
              <w:rPr>
                <w:rFonts w:ascii="Arial" w:cs="Arial" w:eastAsia="Arial" w:hAnsi="Arial"/>
                <w:sz w:val="18"/>
                <w:szCs w:val="18"/>
                <w:color w:val="0000FF"/>
                <w:w w:val="85"/>
              </w:rPr>
            </w:pPr>
            <w:hyperlink w:anchor="page325">
              <w:r>
                <w:rPr>
                  <w:rFonts w:ascii="Arial" w:cs="Arial" w:eastAsia="Arial" w:hAnsi="Arial"/>
                  <w:sz w:val="18"/>
                  <w:szCs w:val="18"/>
                  <w:color w:val="0000FF"/>
                  <w:w w:val="85"/>
                </w:rPr>
                <w:t>Balance Sheets</w:t>
              </w:r>
            </w:hyperlink>
          </w:p>
        </w:tc>
        <w:tc>
          <w:tcPr>
            <w:tcW w:w="952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90" w:lineRule="exact"/>
              <w:rPr>
                <w:rFonts w:ascii="Arial" w:cs="Arial" w:eastAsia="Arial" w:hAnsi="Arial"/>
                <w:sz w:val="18"/>
                <w:szCs w:val="18"/>
                <w:color w:val="0000FF"/>
                <w:w w:val="88"/>
              </w:rPr>
            </w:pPr>
            <w:hyperlink w:anchor="page325">
              <w:r>
                <w:rPr>
                  <w:rFonts w:ascii="Arial" w:cs="Arial" w:eastAsia="Arial" w:hAnsi="Arial"/>
                  <w:sz w:val="18"/>
                  <w:szCs w:val="18"/>
                  <w:color w:val="0000FF"/>
                  <w:w w:val="88"/>
                </w:rPr>
                <w:t>F-3</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27">
              <w:r>
                <w:rPr>
                  <w:rFonts w:ascii="Arial" w:cs="Arial" w:eastAsia="Arial" w:hAnsi="Arial"/>
                  <w:sz w:val="18"/>
                  <w:szCs w:val="18"/>
                  <w:color w:val="0000FF"/>
                </w:rPr>
                <w:t>Statements of Operations and Comprehensive Loss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7">
              <w:r>
                <w:rPr>
                  <w:rFonts w:ascii="Arial" w:cs="Arial" w:eastAsia="Arial" w:hAnsi="Arial"/>
                  <w:sz w:val="18"/>
                  <w:szCs w:val="18"/>
                  <w:color w:val="0000FF"/>
                  <w:w w:val="88"/>
                </w:rPr>
                <w:t>F-5</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w w:val="90"/>
              </w:rPr>
            </w:pPr>
            <w:hyperlink w:anchor="page328">
              <w:r>
                <w:rPr>
                  <w:rFonts w:ascii="Arial" w:cs="Arial" w:eastAsia="Arial" w:hAnsi="Arial"/>
                  <w:sz w:val="18"/>
                  <w:szCs w:val="18"/>
                  <w:color w:val="0000FF"/>
                  <w:w w:val="90"/>
                </w:rPr>
                <w:t>Statement of Redeemable Convertible Preferred Stock and Stockholders’ Deficit</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8">
              <w:r>
                <w:rPr>
                  <w:rFonts w:ascii="Arial" w:cs="Arial" w:eastAsia="Arial" w:hAnsi="Arial"/>
                  <w:sz w:val="18"/>
                  <w:szCs w:val="18"/>
                  <w:color w:val="0000FF"/>
                  <w:w w:val="88"/>
                </w:rPr>
                <w:t>F-6</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rPr>
            </w:pPr>
            <w:hyperlink w:anchor="page329">
              <w:r>
                <w:rPr>
                  <w:rFonts w:ascii="Arial" w:cs="Arial" w:eastAsia="Arial" w:hAnsi="Arial"/>
                  <w:sz w:val="18"/>
                  <w:szCs w:val="18"/>
                  <w:color w:val="0000FF"/>
                </w:rPr>
                <w:t>Statements of Cash Flows</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9">
              <w:r>
                <w:rPr>
                  <w:rFonts w:ascii="Arial" w:cs="Arial" w:eastAsia="Arial" w:hAnsi="Arial"/>
                  <w:sz w:val="18"/>
                  <w:szCs w:val="18"/>
                  <w:color w:val="0000FF"/>
                  <w:w w:val="88"/>
                </w:rPr>
                <w:t>F-7</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30">
              <w:r>
                <w:rPr>
                  <w:rFonts w:ascii="Arial" w:cs="Arial" w:eastAsia="Arial" w:hAnsi="Arial"/>
                  <w:sz w:val="18"/>
                  <w:szCs w:val="18"/>
                  <w:color w:val="0000FF"/>
                </w:rPr>
                <w:t>Notes to Financial Statements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30">
              <w:r>
                <w:rPr>
                  <w:rFonts w:ascii="Arial" w:cs="Arial" w:eastAsia="Arial" w:hAnsi="Arial"/>
                  <w:sz w:val="18"/>
                  <w:szCs w:val="18"/>
                  <w:color w:val="0000FF"/>
                  <w:w w:val="88"/>
                </w:rPr>
                <w:t>F-8</w:t>
              </w:r>
            </w:hyperlink>
          </w:p>
        </w:tc>
      </w:tr>
      <w:tr>
        <w:trPr>
          <w:trHeight w:val="493"/>
        </w:trPr>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92"/>
              </w:rPr>
              <w:t>Three Months Ended March 31, 2021 and 2020</w:t>
            </w:r>
          </w:p>
        </w:tc>
        <w:tc>
          <w:tcPr>
            <w:tcW w:w="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062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0"/>
        </w:trPr>
        <w:tc>
          <w:tcPr>
            <w:tcW w:w="2820" w:type="dxa"/>
            <w:vAlign w:val="bottom"/>
            <w:tcBorders>
              <w:bottom w:val="single" w:sz="8" w:color="0000FF"/>
            </w:tcBorders>
            <w:gridSpan w:val="4"/>
          </w:tcPr>
          <w:p>
            <w:pPr>
              <w:spacing w:after="0" w:line="190" w:lineRule="exact"/>
              <w:rPr>
                <w:rFonts w:ascii="Arial" w:cs="Arial" w:eastAsia="Arial" w:hAnsi="Arial"/>
                <w:sz w:val="18"/>
                <w:szCs w:val="18"/>
                <w:color w:val="0000FF"/>
                <w:w w:val="87"/>
              </w:rPr>
            </w:pPr>
            <w:hyperlink w:anchor="page362">
              <w:r>
                <w:rPr>
                  <w:rFonts w:ascii="Arial" w:cs="Arial" w:eastAsia="Arial" w:hAnsi="Arial"/>
                  <w:sz w:val="18"/>
                  <w:szCs w:val="18"/>
                  <w:color w:val="0000FF"/>
                  <w:w w:val="87"/>
                </w:rPr>
                <w:t>Condensed Balance Sheets (unaudited)</w:t>
              </w:r>
            </w:hyperlink>
          </w:p>
        </w:tc>
        <w:tc>
          <w:tcPr>
            <w:tcW w:w="7800" w:type="dxa"/>
            <w:vAlign w:val="bottom"/>
            <w:gridSpan w:val="8"/>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90" w:lineRule="exact"/>
              <w:rPr>
                <w:rFonts w:ascii="Arial" w:cs="Arial" w:eastAsia="Arial" w:hAnsi="Arial"/>
                <w:sz w:val="18"/>
                <w:szCs w:val="18"/>
                <w:color w:val="0000FF"/>
                <w:w w:val="80"/>
              </w:rPr>
            </w:pPr>
            <w:hyperlink w:anchor="page362">
              <w:r>
                <w:rPr>
                  <w:rFonts w:ascii="Arial" w:cs="Arial" w:eastAsia="Arial" w:hAnsi="Arial"/>
                  <w:sz w:val="18"/>
                  <w:szCs w:val="18"/>
                  <w:color w:val="0000FF"/>
                  <w:w w:val="80"/>
                </w:rPr>
                <w:t>F-39</w:t>
              </w:r>
            </w:hyperlink>
          </w:p>
        </w:tc>
        <w:tc>
          <w:tcPr>
            <w:tcW w:w="180" w:type="dxa"/>
            <w:vAlign w:val="bottom"/>
          </w:tcPr>
          <w:p>
            <w:pPr>
              <w:spacing w:after="0"/>
              <w:rPr>
                <w:sz w:val="16"/>
                <w:szCs w:val="16"/>
                <w:color w:val="auto"/>
              </w:rPr>
            </w:pPr>
          </w:p>
        </w:tc>
      </w:tr>
      <w:tr>
        <w:trPr>
          <w:trHeight w:val="210"/>
        </w:trPr>
        <w:tc>
          <w:tcPr>
            <w:tcW w:w="10620" w:type="dxa"/>
            <w:vAlign w:val="bottom"/>
            <w:gridSpan w:val="12"/>
          </w:tcPr>
          <w:p>
            <w:pPr>
              <w:spacing w:after="0"/>
              <w:rPr>
                <w:rFonts w:ascii="Arial" w:cs="Arial" w:eastAsia="Arial" w:hAnsi="Arial"/>
                <w:sz w:val="18"/>
                <w:szCs w:val="18"/>
                <w:color w:val="0000FF"/>
              </w:rPr>
            </w:pPr>
            <w:hyperlink w:anchor="page363">
              <w:r>
                <w:rPr>
                  <w:rFonts w:ascii="Arial" w:cs="Arial" w:eastAsia="Arial" w:hAnsi="Arial"/>
                  <w:sz w:val="18"/>
                  <w:szCs w:val="18"/>
                  <w:color w:val="0000FF"/>
                </w:rPr>
                <w:t>Condensed Statements of Operations and Comprehensive Loss (unaudited)</w:t>
              </w:r>
            </w:hyperlink>
          </w:p>
        </w:tc>
        <w:tc>
          <w:tcPr>
            <w:tcW w:w="180" w:type="dxa"/>
            <w:vAlign w:val="bottom"/>
          </w:tcPr>
          <w:p>
            <w:pPr>
              <w:spacing w:after="0"/>
              <w:rPr>
                <w:sz w:val="18"/>
                <w:szCs w:val="18"/>
                <w:color w:val="auto"/>
              </w:rPr>
            </w:pPr>
          </w:p>
        </w:tc>
        <w:tc>
          <w:tcPr>
            <w:tcW w:w="420" w:type="dxa"/>
            <w:vAlign w:val="bottom"/>
            <w:gridSpan w:val="2"/>
          </w:tcPr>
          <w:p>
            <w:pPr>
              <w:jc w:val="center"/>
              <w:ind w:right="120"/>
              <w:spacing w:after="0"/>
              <w:rPr>
                <w:rFonts w:ascii="Arial" w:cs="Arial" w:eastAsia="Arial" w:hAnsi="Arial"/>
                <w:sz w:val="18"/>
                <w:szCs w:val="18"/>
                <w:color w:val="0000FF"/>
                <w:w w:val="80"/>
              </w:rPr>
            </w:pPr>
            <w:hyperlink w:anchor="page363">
              <w:r>
                <w:rPr>
                  <w:rFonts w:ascii="Arial" w:cs="Arial" w:eastAsia="Arial" w:hAnsi="Arial"/>
                  <w:sz w:val="18"/>
                  <w:szCs w:val="18"/>
                  <w:color w:val="0000FF"/>
                  <w:w w:val="80"/>
                </w:rPr>
                <w:t>F-41</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75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64">
              <w:r>
                <w:rPr>
                  <w:rFonts w:ascii="Arial" w:cs="Arial" w:eastAsia="Arial" w:hAnsi="Arial"/>
                  <w:sz w:val="18"/>
                  <w:szCs w:val="18"/>
                  <w:color w:val="0000FF"/>
                  <w:w w:val="90"/>
                </w:rPr>
                <w:t>Condensed Statement of Redeemable Convertible Preferred Stock and Stockholders’ Deficit (unaudited)</w:t>
              </w:r>
            </w:hyperlink>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4">
              <w:r>
                <w:rPr>
                  <w:rFonts w:ascii="Arial" w:cs="Arial" w:eastAsia="Arial" w:hAnsi="Arial"/>
                  <w:sz w:val="18"/>
                  <w:szCs w:val="18"/>
                  <w:color w:val="0000FF"/>
                  <w:w w:val="80"/>
                </w:rPr>
                <w:t>F-42</w:t>
              </w:r>
            </w:hyperlink>
          </w:p>
        </w:tc>
        <w:tc>
          <w:tcPr>
            <w:tcW w:w="180" w:type="dxa"/>
            <w:vAlign w:val="bottom"/>
          </w:tcPr>
          <w:p>
            <w:pPr>
              <w:spacing w:after="0"/>
              <w:rPr>
                <w:sz w:val="18"/>
                <w:szCs w:val="18"/>
                <w:color w:val="auto"/>
              </w:rPr>
            </w:pPr>
          </w:p>
        </w:tc>
      </w:tr>
      <w:tr>
        <w:trPr>
          <w:trHeight w:val="209"/>
        </w:trPr>
        <w:tc>
          <w:tcPr>
            <w:tcW w:w="36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65">
              <w:r>
                <w:rPr>
                  <w:rFonts w:ascii="Arial" w:cs="Arial" w:eastAsia="Arial" w:hAnsi="Arial"/>
                  <w:sz w:val="18"/>
                  <w:szCs w:val="18"/>
                  <w:color w:val="0000FF"/>
                  <w:w w:val="88"/>
                </w:rPr>
                <w:t>Condensed Statements of Cash Flows (unaudited)</w:t>
              </w:r>
            </w:hyperlink>
          </w:p>
        </w:tc>
        <w:tc>
          <w:tcPr>
            <w:tcW w:w="702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5">
              <w:r>
                <w:rPr>
                  <w:rFonts w:ascii="Arial" w:cs="Arial" w:eastAsia="Arial" w:hAnsi="Arial"/>
                  <w:sz w:val="18"/>
                  <w:szCs w:val="18"/>
                  <w:color w:val="0000FF"/>
                  <w:w w:val="80"/>
                </w:rPr>
                <w:t>F-43</w:t>
              </w:r>
            </w:hyperlink>
          </w:p>
        </w:tc>
        <w:tc>
          <w:tcPr>
            <w:tcW w:w="180" w:type="dxa"/>
            <w:vAlign w:val="bottom"/>
          </w:tcPr>
          <w:p>
            <w:pPr>
              <w:spacing w:after="0"/>
              <w:rPr>
                <w:sz w:val="18"/>
                <w:szCs w:val="18"/>
                <w:color w:val="auto"/>
              </w:rPr>
            </w:pPr>
          </w:p>
        </w:tc>
      </w:tr>
      <w:tr>
        <w:trPr>
          <w:trHeight w:val="210"/>
        </w:trPr>
        <w:tc>
          <w:tcPr>
            <w:tcW w:w="38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66">
              <w:r>
                <w:rPr>
                  <w:rFonts w:ascii="Arial" w:cs="Arial" w:eastAsia="Arial" w:hAnsi="Arial"/>
                  <w:sz w:val="18"/>
                  <w:szCs w:val="18"/>
                  <w:color w:val="0000FF"/>
                  <w:w w:val="89"/>
                </w:rPr>
                <w:t>Notes to Unaudited Condensed Financial Statements</w:t>
              </w:r>
            </w:hyperlink>
          </w:p>
        </w:tc>
        <w:tc>
          <w:tcPr>
            <w:tcW w:w="682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6">
              <w:r>
                <w:rPr>
                  <w:rFonts w:ascii="Arial" w:cs="Arial" w:eastAsia="Arial" w:hAnsi="Arial"/>
                  <w:sz w:val="18"/>
                  <w:szCs w:val="18"/>
                  <w:color w:val="0000FF"/>
                  <w:w w:val="80"/>
                </w:rPr>
                <w:t>F-44</w:t>
              </w:r>
            </w:hyperlink>
          </w:p>
        </w:tc>
        <w:tc>
          <w:tcPr>
            <w:tcW w:w="1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324" w:name="page325"/>
    <w:bookmarkEnd w:id="324"/>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6"/>
        </w:trPr>
        <w:tc>
          <w:tcPr>
            <w:tcW w:w="80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December 31, 2020 and 2019; aggregate liquidation preference of $55,000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4"/>
              </w:rPr>
              <w:t>Series A-2 redeemable convertible preferred stock, $0.00001 par value: 522,627 shares authorized at December 31, 2020 and 2019;</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2"/>
              </w:rPr>
              <w:t>401,347 shares authorized, issued and outstanding at December 31, 2020 and 2019; aggregate liquidation preference of $49,342 at</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2020 and 2019</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2"/>
              </w:rPr>
              <w:t>Series B redeemable convertible preferred stock, $0.00001 par value: 338,663 shares authorized, issued and outstanding at December</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31, 2020 and 2019; aggregate liquidation preference of $204,302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8"/>
              </w:rPr>
              <w:t>authorized at December 31, 2019; 197,821 shares issued and outstanding at December 31, 2020 and no shares issued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December 31, 2019; aggregate liquidation preference of $121,397 at December 31, 2020</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60" w:type="dxa"/>
            <w:vAlign w:val="bottom"/>
          </w:tcPr>
          <w:p>
            <w:pPr>
              <w:spacing w:after="0"/>
              <w:rPr>
                <w:sz w:val="11"/>
                <w:szCs w:val="11"/>
                <w:color w:val="auto"/>
              </w:rPr>
            </w:pPr>
          </w:p>
        </w:tc>
        <w:tc>
          <w:tcPr>
            <w:tcW w:w="7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outstanding at December 31, 2020 and 2019</w:t>
            </w:r>
          </w:p>
        </w:tc>
        <w:tc>
          <w:tcPr>
            <w:tcW w:w="9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80" w:lineRule="exact"/>
        <w:rPr>
          <w:sz w:val="20"/>
          <w:szCs w:val="20"/>
          <w:color w:val="auto"/>
        </w:rPr>
      </w:pPr>
    </w:p>
    <w:p>
      <w:pPr>
        <w:ind w:left="440" w:right="3600" w:hanging="161"/>
        <w:spacing w:after="0" w:line="260" w:lineRule="auto"/>
        <w:rPr>
          <w:sz w:val="20"/>
          <w:szCs w:val="20"/>
          <w:color w:val="auto"/>
        </w:rPr>
      </w:pPr>
      <w:r>
        <w:rPr>
          <w:rFonts w:ascii="Arial" w:cs="Arial" w:eastAsia="Arial" w:hAnsi="Arial"/>
          <w:sz w:val="13"/>
          <w:szCs w:val="13"/>
          <w:color w:val="auto"/>
        </w:rPr>
        <w:t>Class B convertible common stock, $0.00001 par value: 15,000,000 shares authorized at December 31, 2020 and 2019; 105,429 shares issued and outstanding at December 31, 2020 and no shares issued and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r>
      <w:tr>
        <w:trPr>
          <w:trHeight w:val="211"/>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line="176" w:lineRule="exact"/>
              <w:rPr>
                <w:sz w:val="20"/>
                <w:szCs w:val="20"/>
                <w:color w:val="auto"/>
              </w:rPr>
            </w:pPr>
            <w:r>
              <w:rPr>
                <w:rFonts w:ascii="Arial" w:cs="Arial" w:eastAsia="Arial" w:hAnsi="Arial"/>
                <w:sz w:val="18"/>
                <w:szCs w:val="18"/>
                <w:color w:val="auto"/>
                <w:w w:val="92"/>
              </w:rPr>
              <w:t>Diagnostic test revenue (including related party revenue of $285, $0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30"/>
        </w:trPr>
        <w:tc>
          <w:tcPr>
            <w:tcW w:w="6360" w:type="dxa"/>
            <w:vAlign w:val="bottom"/>
          </w:tcPr>
          <w:p>
            <w:pPr>
              <w:ind w:left="44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services (including related party expenses of $2,189, $1,859 and $4,122 for the</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2240" w:type="dxa"/>
            <w:vAlign w:val="bottom"/>
            <w:tcBorders>
              <w:right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40" w:type="dxa"/>
            <w:vAlign w:val="bottom"/>
          </w:tcPr>
          <w:p>
            <w:pPr>
              <w:jc w:val="center"/>
              <w:ind w:right="14"/>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B,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Common stock class B</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issued pursuant to stock</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(241,340)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118,960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440" w:right="339" w:bottom="1440" w:gutter="0" w:footer="0" w:header="0"/>
          <w:type w:val="continuous"/>
        </w:sectPr>
      </w:pPr>
    </w:p>
    <w:bookmarkStart w:id="330" w:name="page331"/>
    <w:bookmarkEnd w:id="3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(the “Contribution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(see Note 6) in exchange for equity in the Company (the “Spin-out”). Following the Spin-out, the Company commenced operations and began providing the services and performing research.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accumulated 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 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Accounts Receivable</w:t>
            </w:r>
          </w:p>
        </w:tc>
      </w:t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80" w:type="dxa"/>
            <w:vAlign w:val="bottom"/>
          </w:tcPr>
          <w:p>
            <w:pPr>
              <w:spacing w:after="0"/>
              <w:rPr>
                <w:sz w:val="15"/>
                <w:szCs w:val="15"/>
                <w:color w:val="auto"/>
              </w:rPr>
            </w:pPr>
          </w:p>
        </w:tc>
        <w:tc>
          <w:tcPr>
            <w:tcW w:w="1040" w:type="dxa"/>
            <w:vAlign w:val="bottom"/>
          </w:tcPr>
          <w:p>
            <w:pPr>
              <w:jc w:val="center"/>
              <w:ind w:left="173"/>
              <w:spacing w:after="0"/>
              <w:rPr>
                <w:sz w:val="20"/>
                <w:szCs w:val="20"/>
                <w:color w:val="auto"/>
              </w:rPr>
            </w:pPr>
            <w:r>
              <w:rPr>
                <w:rFonts w:ascii="Arial" w:cs="Arial" w:eastAsia="Arial" w:hAnsi="Arial"/>
                <w:sz w:val="14"/>
                <w:szCs w:val="14"/>
                <w:b w:val="1"/>
                <w:bCs w:val="1"/>
                <w:color w:val="auto"/>
                <w:w w:val="96"/>
              </w:rPr>
              <w:t>2020</w:t>
            </w:r>
          </w:p>
        </w:tc>
        <w:tc>
          <w:tcPr>
            <w:tcW w:w="16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4"/>
              </w:rPr>
              <w:t>27%</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3"/>
              <w:spacing w:after="0"/>
              <w:rPr>
                <w:sz w:val="20"/>
                <w:szCs w:val="20"/>
                <w:color w:val="auto"/>
              </w:rPr>
            </w:pPr>
            <w:r>
              <w:rPr>
                <w:rFonts w:ascii="Arial" w:cs="Arial" w:eastAsia="Arial" w:hAnsi="Arial"/>
                <w:sz w:val="18"/>
                <w:szCs w:val="18"/>
                <w:color w:val="auto"/>
                <w:w w:val="88"/>
              </w:rPr>
              <w:t>37%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w w:val="94"/>
              </w:rPr>
              <w:t>14%</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143"/>
        </w:trPr>
        <w:tc>
          <w:tcPr>
            <w:tcW w:w="428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    less than 10%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(1) its operations have been fully or partially suspended because of COVID-19 or (2) its gross receipts in a calendar quarter in 2020 declined by more than 50% from the same period in 2019. At the time of applying for the ERC, the Company concluded that it was reasonably possible the eligibility requirements would be met; however, due to a change in circumstances, the Company re-evaluated its position, deferred the recognition of the ERC distribution and recorded the proceeds in other liabilities as of December 31, 2020.</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 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adopted Accounting Standards Codification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its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its customers by transferring each good or service independently.</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Company recognized revenue pursuant to ASC Topic 605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 year ended December 31, 2018 prior to the adoption of ASC 606. Under ASC 605, diagnostic test revenue was recognized when persuasive evidence of a final agreement existed; delivery had occurred or services were rendered; 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 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which was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simplify accounting for nonemployee share-based payment transactions by making the treatment of nonemployee share-based compensation similar to that of employee share-based compensation. Adoption of ASU 2018-07 did not have a material impact on the Company’s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 collaborative arrangement should be accounted for under ASC 606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The provisions of ASU 2018-18 are effective for the Company 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 606. 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at year-end. The revenues under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service agreements with original expected durations of more than one year are estimated to be approximately $12.0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75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1,097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0" w:lineRule="exact"/>
        <w:rPr>
          <w:sz w:val="20"/>
          <w:szCs w:val="20"/>
          <w:color w:val="auto"/>
        </w:rPr>
      </w:pPr>
    </w:p>
    <w:p>
      <w:pPr>
        <w:ind w:left="320" w:hanging="312"/>
        <w:spacing w:after="0"/>
        <w:tabs>
          <w:tab w:leader="none" w:pos="32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ind w:left="320" w:hanging="312"/>
        <w:spacing w:after="0"/>
        <w:tabs>
          <w:tab w:leader="none" w:pos="3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1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its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16" w:lineRule="exact"/>
        <w:rPr>
          <w:sz w:val="20"/>
          <w:szCs w:val="20"/>
          <w:color w:val="auto"/>
        </w:rPr>
      </w:pPr>
    </w:p>
    <w:p>
      <w:pPr>
        <w:jc w:val="center"/>
        <w:ind w:left="660" w:right="20" w:hanging="324"/>
        <w:spacing w:after="0" w:line="342" w:lineRule="auto"/>
        <w:rPr>
          <w:sz w:val="20"/>
          <w:szCs w:val="20"/>
          <w:color w:val="auto"/>
        </w:rPr>
      </w:pPr>
      <w:r>
        <w:rPr>
          <w:rFonts w:ascii="Arial" w:cs="Arial" w:eastAsia="Arial" w:hAnsi="Arial"/>
          <w:sz w:val="16"/>
          <w:szCs w:val="16"/>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phased funding and potential loan forgiveness milestones set forth in the Amended DECD Loan Agreement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$5.3 million, $0.8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space for a base term of 325 months. 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the Company granted stock appreciation rights (“SAR”) to one employee and one consultant. In 2019 and 2020, the Company did not grant SARs to any employees or consultants. The awards granted vest in tranches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4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80" w:type="dxa"/>
            <w:vAlign w:val="bottom"/>
            <w:vMerge w:val="continue"/>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Shares Available for</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6"/>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w w:val="92"/>
              </w:rPr>
              <w:t>Increase in share reserve for issuance under the 2017</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9"/>
        </w:trPr>
        <w:tc>
          <w:tcPr>
            <w:tcW w:w="4260" w:type="dxa"/>
            <w:vAlign w:val="bottom"/>
          </w:tcPr>
          <w:p>
            <w:pPr>
              <w:ind w:left="400"/>
              <w:spacing w:after="0"/>
              <w:rPr>
                <w:sz w:val="20"/>
                <w:szCs w:val="20"/>
                <w:color w:val="auto"/>
              </w:rPr>
            </w:pPr>
            <w:r>
              <w:rPr>
                <w:rFonts w:ascii="Arial" w:cs="Arial" w:eastAsia="Arial" w:hAnsi="Arial"/>
                <w:sz w:val="18"/>
                <w:szCs w:val="18"/>
                <w:color w:val="auto"/>
              </w:rPr>
              <w:t>Plan</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3,247,815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(369,000)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9,245,190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5,615,734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00" w:space="100"/>
            <w:col w:w="5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320" w:top="1440" w:right="339" w:bottom="1440" w:gutter="0" w:footer="0" w:header="0"/>
          <w:type w:val="continuous"/>
        </w:sectPr>
      </w:pPr>
    </w:p>
    <w:bookmarkStart w:id="352" w:name="page353"/>
    <w:bookmarkEnd w:id="35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6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Remaining Contractual Life (years)</w:t>
            </w: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60" w:type="dxa"/>
            <w:vAlign w:val="bottom"/>
            <w:tcBorders>
              <w:top w:val="single" w:sz="8" w:color="auto"/>
            </w:tcBorders>
            <w:shd w:val="clear" w:color="auto" w:fill="CCEEFF"/>
          </w:tcPr>
          <w:p>
            <w:pPr>
              <w:jc w:val="center"/>
              <w:ind w:left="1734"/>
              <w:spacing w:after="0"/>
              <w:rPr>
                <w:sz w:val="20"/>
                <w:szCs w:val="20"/>
                <w:color w:val="auto"/>
              </w:rPr>
            </w:pPr>
            <w:r>
              <w:rPr>
                <w:rFonts w:ascii="Arial" w:cs="Arial" w:eastAsia="Arial" w:hAnsi="Arial"/>
                <w:sz w:val="18"/>
                <w:szCs w:val="18"/>
                <w:color w:val="auto"/>
                <w:w w:val="89"/>
              </w:rPr>
              <w:t>1,834,028</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60" w:type="dxa"/>
            <w:vAlign w:val="bottom"/>
          </w:tcPr>
          <w:p>
            <w:pPr>
              <w:jc w:val="center"/>
              <w:ind w:left="1754"/>
              <w:spacing w:after="0"/>
              <w:rPr>
                <w:sz w:val="20"/>
                <w:szCs w:val="20"/>
                <w:color w:val="auto"/>
              </w:rPr>
            </w:pPr>
            <w:r>
              <w:rPr>
                <w:rFonts w:ascii="Arial" w:cs="Arial" w:eastAsia="Arial" w:hAnsi="Arial"/>
                <w:sz w:val="18"/>
                <w:szCs w:val="18"/>
                <w:color w:val="auto"/>
                <w:w w:val="90"/>
              </w:rPr>
              <w:t>50,000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60" w:type="dxa"/>
            <w:vAlign w:val="bottom"/>
            <w:shd w:val="clear" w:color="auto" w:fill="CCEEFF"/>
          </w:tcPr>
          <w:p>
            <w:pPr>
              <w:jc w:val="center"/>
              <w:ind w:left="1734"/>
              <w:spacing w:after="0"/>
              <w:rPr>
                <w:sz w:val="20"/>
                <w:szCs w:val="20"/>
                <w:color w:val="auto"/>
              </w:rPr>
            </w:pPr>
            <w:r>
              <w:rPr>
                <w:rFonts w:ascii="Arial" w:cs="Arial" w:eastAsia="Arial" w:hAnsi="Arial"/>
                <w:sz w:val="18"/>
                <w:szCs w:val="18"/>
                <w:color w:val="auto"/>
                <w:w w:val="89"/>
              </w:rPr>
              <w:t>9,611,633</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60" w:type="dxa"/>
            <w:vAlign w:val="bottom"/>
          </w:tcPr>
          <w:p>
            <w:pPr>
              <w:jc w:val="center"/>
              <w:ind w:left="1734"/>
              <w:spacing w:after="0"/>
              <w:rPr>
                <w:sz w:val="20"/>
                <w:szCs w:val="20"/>
                <w:color w:val="auto"/>
              </w:rPr>
            </w:pPr>
            <w:r>
              <w:rPr>
                <w:rFonts w:ascii="Arial" w:cs="Arial" w:eastAsia="Arial" w:hAnsi="Arial"/>
                <w:sz w:val="18"/>
                <w:szCs w:val="18"/>
                <w:color w:val="auto"/>
                <w:w w:val="89"/>
              </w:rPr>
              <w:t>2,419,943</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14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$59.60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$0.5960</w:t>
            </w:r>
          </w:p>
        </w:tc>
      </w:tr>
    </w:tbl>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38" w:lineRule="exact"/>
        <w:rPr>
          <w:sz w:val="20"/>
          <w:szCs w:val="20"/>
          <w:color w:val="auto"/>
        </w:rPr>
      </w:pPr>
    </w:p>
    <w:p>
      <w:pPr>
        <w:ind w:right="1940" w:firstLine="324"/>
        <w:spacing w:after="0" w:line="438"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expense/(benefit) computed by applying the statutory federal income tax rate of 21% to income before taxes to the amount reported in the statement of operations and comprehensive loss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66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(22.2)</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reconciliation of the beginning and ending amounts of unrecognized tax benefits for the years ended December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8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statutes of limitations remain open for all years until the net operating loss carryforwards are utilized or expire prior to utilization.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Class A shares outstanding used in computing allocation of net loss</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Class B shares on an as converted to Class A basis used in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computing allocation</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would have been anti-dilutive. The following table sets forth the computation of diluted net loss per share of Class A common stock for the year ended December 31, 2020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Class A common stock</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14.</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Subsequent Events</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Current contract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Series A-1 redeemable convertible preferred stock, $0.00001 par value: 447,373 shares authorized, issued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and outstanding at March 31, 2021 and December 31, 2020; aggregate liquidation preference of $55,000</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Series A-2 redeemable convertible preferred stock, $0.00001 par value: 522,627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1"/>
              </w:rPr>
              <w:t>31, 2021 and December 31, 2020; 401,347 shares authorized, issued and outstanding at March 31, 2021</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and December 31, 2020; aggregate liquidation preference of $49,342 at March 31, 2021 and</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Series B redeemable convertible preferred stock, $0.00001 par value: 338,663 shares authorized, issued and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outstanding at March 31, 2021 and December 31, 2020; aggregate liquidation preference of $204,302 at</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Series C redeemable convertible preferred stock, $0.00001 par value: 197,824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8"/>
              </w:rPr>
              <w:t>31, 2021 and December 31, 2020; 197,821 shares issued and outstanding at March 31, 2021 and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2"/>
              </w:rPr>
              <w:t>December 31, 2020; aggregate liquidation preference of $121,397 at March 31, 2021 and December 31,</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A common stock, $0.00001 par value: 2,500,000 shares authorized at March 31, 2021 and December</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 2020; 1 share issued and outstanding at March 31, 2021 and December 31, 2020</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Class B convertible common stock, $0.00001 par value: 15,000,000 shares authorized at March 31, 2021</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4"/>
              </w:rPr>
              <w:t>and December 31, 2020; 604,649 and 105,429 shares issued and outstanding at March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Diagnostic test revenue (including related party revenue of $33 and $61 for the three months ended March</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31, 2021 and 2020,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Other revenue (including related party revenue of $27 and $0 for the three months ended March 31, 2021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Cost of services (including related party expenses of $278 and $574 for the three months ended March 31,</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Borders>
              <w:right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right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940" w:type="dxa"/>
            <w:vAlign w:val="bottom"/>
          </w:tcPr>
          <w:p>
            <w:pPr>
              <w:jc w:val="center"/>
              <w:ind w:right="17"/>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1,385,204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class B issued</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pursuant to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1,385,204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604,649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r>
      <w:tr>
        <w:trPr>
          <w:trHeight w:val="38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paid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40"/>
          </w:cols>
          <w:pgMar w:left="320" w:top="121" w:right="339" w:bottom="1440" w:gutter="0" w:footer="0" w:header="0"/>
          <w:type w:val="continuous"/>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party to a Transition Services Agreement (“TSA”) as well as service agreements (“Service Agreements”) with ISMMS (see Note 6).</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elsewhere in this proxy statement.</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accompanying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ISMMS pursuant to the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condensed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1"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March 31, 2021, the Company has funded its operations primarily with proceeds from the issuance of its redeemable convertible preferred stock and the issuance of long-term debt. The Company has incurred recurring losses since its inception, including net losses of $191.0 million and $27.0 million for the three months ended March 31, 2021 and 2020, respectively. As of March 31, 2021, the Company had an accumulated deficit of $521.0 million. The Company expects to continue to generate significant operating losses for the foreseeable future. As of June 10, 2021, the issuance date of the condensed financial statements for the three months ended March 31, 2021, the Company expects that its existing cash and cash equivalents of $58.7 million (excluding restricted cash) will be sufficient to fund its operating expenses and capital expenditure requirements into the third quarter of 2021. The future viability of the Company beyond that point is dependent on its ability to raise additional capital to finance its operations.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June 10 2021, the issuance date of the accompanying condensed financial statements, the Company has concluded that there is substantial doubt about its ability to continue as a going concern for a period of one year from the date that these condensed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condensed financial statements do not include any adjustments that might result from the outcome of this uncertainty. Accordingly, the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condensed financial statements in conformity with U.S. GAAP requires management to make certain estimates, judgments and assumptions that affect the reported amounts of assets and liabilities and the related disclosures at the date of the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March 31, 2021 and December 31,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Revenue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82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 of</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14 %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*less than 10%</w:t>
            </w:r>
          </w:p>
        </w:tc>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11% and 12% of purchases of lab supplies, reagents and kits for the three months ended March 31, 2021 and 2020, respectively. This risk is managed by maintaining a target quantity of surplus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March 31, 2021 and December 31, 2020.</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 At this time, the Company is not certain of the availability, extent or impact of any future relief provided under the CARES Act or other stimulus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March 31, 2021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capitalizes deferred transaction costs, which primarily consist of direct, incremental legal, professional, accounting and other third-party fees relating to the anticipated Merger. As of March 31, 2021, the Company has deferred $5.5 million of transaction costs in prepaid expenses and other current assets on the condensed balance sheets that will be reclassified and offset against equity upon consummation of the Merger. Should the planned Merger be abandoned, the deferred offering costs will be expensed immediately as a charge to operating expenses in the condensed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Effective January 1, 2021, the Company adopted Accounting Standards Update (“ASU”) 2018-18, </w:t>
      </w:r>
      <w:r>
        <w:rPr>
          <w:rFonts w:ascii="Arial" w:cs="Arial" w:eastAsia="Arial" w:hAnsi="Arial"/>
          <w:sz w:val="16"/>
          <w:szCs w:val="16"/>
          <w:i w:val="1"/>
          <w:iCs w:val="1"/>
          <w:color w:val="auto"/>
        </w:rPr>
        <w:t>Collaborative Arrangements: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Interaction between Topic 808 and Topic 606 </w:t>
      </w:r>
      <w:r>
        <w:rPr>
          <w:rFonts w:ascii="Arial" w:cs="Arial" w:eastAsia="Arial" w:hAnsi="Arial"/>
          <w:sz w:val="16"/>
          <w:szCs w:val="16"/>
          <w:color w:val="auto"/>
        </w:rPr>
        <w:t>(“ASU 2018-18”), which clarifies that certain transactions between participants in a collaborative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 should be accounted for under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when the counterparty is a customer. In addition, ASC Topic 808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precludes an entity from presenting consideration from a transaction in a collaborative arrangement as revenue from contracts with customers if the counterparty is not a customer for that transaction. Adoption of ASU 2018-18 did not have an impact on the Company’s condensed financial statements as the Company is not currently a participant in any such collaborative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44,396</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quarterly change in estimate resulted in a $3.5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March 31, 2020, the quarterly change in estimate did not result in material adjustments to the Company’s previously reported revenue or accounts receivable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as of March 31, 2021. The revenues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existing collaboration service agreements with original expected durations of more than one year are estimated to be approximately $11.8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contract liabilities as of March 31, 2021 is primarily due to the execution of a collaboration service agreement with a customer. The Company presents contracts assets and contract liabilities arising from another customer contract on a net basis on its condensed balance sheets. As of March 31, 2021 and December 31, 2020, $2.8 million and $1.8 million is recorded as current contract liabilities,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recognized for the three months ended March 31, 2021 and March 31, 2020 that were included in the contract liability balance at the beginning of each period were $0.5 million and $0.1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March 31, 2021 and December 31, 2020, the Company had outstanding deferred costs to fulfill contracts of $2.8 million and $3.0 million, respectively. As of March 31, 2021 and December 31, 2020, all outstanding deferred costs were recorded as prepaid expenses and other current assets.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$0.3 million and $0.3 million for the three months ended March 31, 2021 and 2020, respectively. The amortization of these costs is recorded in cost of services on the condensed statements of operations and comprehensive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As of March 31,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 2020</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134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and 2020, depreciation and amortization expense was $4.9 million and $2.4 million, respectively, which included software amortization expense of $1.2 million and $0.5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three months ended March 31, 2021 and 2020, respectively. Depreciation and amortization expense is included within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and 2020, there were no sales of property and equipment made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March 31, 2021 and totaled $0.1 million for the three months ended March 31, 2020. Related party revenues from collaborative service agreements were nominal for the three months ended March 31, 2021, while there were none for the three months ended March 31, 2020.</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$0.3 million and $0.3 million as of March 31, 2021 and December 31, 2020, respectively. These amounts are presented as due from related parties on the Company’s condensed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Expenses recognized under the TSA totaled $1.4 million and $1.9 million for the three months ended March 31, 2021 and 2020, respectively, and are presented within related party expenses in the condensed statements of operations and comprehensive loss. The Company had TSA payables due to ISMMS of $0.7 million and $0.6 million at March 31, 2021 and December 31, 2020, respectively. These amounts are included within due to related parties on the Company’s condensed balance sheets.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$0.7 million and $0.9 million for the three months ended March 31, 2021 and 2020, respectively. These amounts are included in either cost of services or related party expenses on the condensed statements of operations and comprehensive loss depending on the particular activity to which the costs relate. Payables due to ISMMS for the Service Agreements and other service arrangements were nominal at March 31, 2021 and totaled $0.8 million at December 31, 2020. These amounts are included within due to related parties on the Company’s condensed balance sheets.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outstanding loan balance from the DECD was $11.0 million and $11.0 million at March 31,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March 31, 2021 and December 31, 2020. The outstanding loan balance was $5.8 million and $6.1 million at March 31,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 The Company is required to make sixty consecutive monthly payments of principal and interest at a fixed monthly amount of $0.1 million beginning in February 2021. Interest payments are fixed at an annual interest rate of 3.54%.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March 31, 2021.</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March 31, 2021 and December 31, 2020. The outstanding loan balance was $3.5 million and $3.6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long-term debt matures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three months ended March 31, 2021 and 2020. Pursuant to the terms of a lease agreement, the Company was required to have issued an irrevocable standby letter of credit to the lessor for $0.9 million, which was included in restricted cash on the condensed balance sheets as of March 31, 2021 and December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under non-cancelable operating leases as of March 31, 2021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$1.4 million and $1.3 million for the three months ended March 31, 2021 and 2020, respectively. Rent expense related to month-to-month operating leases was $0.3 million and $0.8 million for the three months ended March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under capital leases was $27.6 million and $27.0 million as of March 31, 2021 and December 31,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on capital lease assets was $10.7 million and $9.7 million at March 31, 2021 and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condensed balance sheets in accordance with repayment terms. Future payments under capital leases at March 31, 2021,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80" w:firstLine="324"/>
        <w:spacing w:after="0" w:line="438" w:lineRule="auto"/>
        <w:rPr>
          <w:sz w:val="20"/>
          <w:szCs w:val="20"/>
          <w:color w:val="auto"/>
        </w:rPr>
      </w:pPr>
      <w:r>
        <w:rPr>
          <w:rFonts w:ascii="Arial" w:cs="Arial" w:eastAsia="Arial" w:hAnsi="Arial"/>
          <w:sz w:val="18"/>
          <w:szCs w:val="18"/>
          <w:color w:val="auto"/>
        </w:rPr>
        <w:t xml:space="preserve">Interest expense related to capital leases was $0.6 million and $0.5 million for the three months ended March 31, 2021 and 2020, respectively. </w:t>
      </w:r>
      <w:r>
        <w:rPr>
          <w:rFonts w:ascii="Arial" w:cs="Arial" w:eastAsia="Arial" w:hAnsi="Arial"/>
          <w:sz w:val="18"/>
          <w:szCs w:val="18"/>
          <w:b w:val="1"/>
          <w:bCs w:val="1"/>
          <w:i w:val="1"/>
          <w:iCs w:val="1"/>
          <w:color w:val="auto"/>
        </w:rPr>
        <w:t>Contingencies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March 31, 2021, nor is it a party to any legal proceedings as of the date of issuance of these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adopted the 2017 Stock Incentive Plan (the 2017 Plan) in April of 2017. The 2017 Plan was amended in February 2018, offering total aggregate shares of up to 279,192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 B common stock, collectively, on an as-converted to Class A common stock basis. Following the amendment to the 2017 Plan, the Company intends to use available shares to grant Class B common stock awards.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March 31, 2021. As a result, no expense related to the SAR was recognized by the Company during the three months ended March 31, 2021 and 2020. The Company did not grant SARs to any employees or consultants during the three months ended March 31, 2021.</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March 31, 2021 and December 31, 2020, stock-based compensation liabilities were $297.0 million and $132.0 million, respectively. Stock-based compensation expense is included within the condensed statements of operations and comprehensive loss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Available</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1"/>
                <w:szCs w:val="11"/>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23"/>
        </w:trPr>
        <w:tc>
          <w:tcPr>
            <w:tcW w:w="480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2"/>
                <w:szCs w:val="12"/>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85"/>
        </w:trPr>
        <w:tc>
          <w:tcPr>
            <w:tcW w:w="4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Shares Available for</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Option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3,014,526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5,552,271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March 31, 2021.</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estimated fair value of the stock option awards as of March 31, 2021 and March 31, 2020,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1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3"/>
              </w:rPr>
              <w:t>Three Months ended March 31,</w:t>
            </w:r>
          </w:p>
        </w:tc>
        <w:tc>
          <w:tcPr>
            <w:tcW w:w="124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68.50%- 75.60%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68.30%-73.30%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0.50- 1.75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3.00-5.00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0.05%- 0.16%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0.29%-0.37%</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$565.85-$1,549.43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$5.66-$15.49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2021, the fair value associated with the Company’s stock options totaled $340.5 million. The vested portion of this fair value at March 31, 2021 was $174.2 million and $122.8 million for Class A and Class B stock options, respectively, and is included in stock-based compensation liabilities on the Company’s condensed balance sheets. As of March 31, 2021, unrecognized stock-based compensation cost related to the unvested portion of the Company’s stock options were $0.6 million and $42.9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three months ended March 31, 2021 was $0.4 million. No cash was received from stock option exercise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Redeemable Convertible Preferred Stock at March 31, 2021 and December 31, 2020 consists of the following (in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three months ended March 31, 2021. As of March 31, 2021 and December 31, 2020,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three months ended March 31, 2021 and 2020, as a deemed liquidation event was not considered probable.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was one share of Class A common stock issued and outstanding at March 31, 2021 and December 31, 2020. There were 604,649 and 105,429 shares of Class B common stock issued and outstanding at March 31, 2021 and December 31, 2020, respectively. The shares of Class B common stock issued and outstanding at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2021 remained liability-classified since the Company concluded that the stockholder did not yet bear the risks and rewards of equity ownership for a reasonable period of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Income taxes for the three months ended March 31, 2021 and March 31, 2020 are recorded at the Company’s estimated annual effective income tax rate, subject to adjustments for discrete events, should they occur. The Company’s estimated annual effective tax rate was 0.0% for the three months ended March 31, 2021 and March 31,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2021 and March 31, 2020 since management believes that based on the earnings history of the Company, it is more likely than not that the benefits of these assets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months ended March 31, 2021 and 2020, the net loss attributable to common stockholders was equivalent to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and comprehensive loss. The following table sets forth the computation of basic net loss per share attributable to common stockholders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Class A shares outstanding used in computing allocation of net loss attributable to common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 average Class B shares on an as converted to Class A basis used in computing allocation of net loss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A common stockholders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B common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w:t>
            </w:r>
          </w:p>
        </w:tc>
        <w:tc>
          <w:tcPr>
            <w:tcW w:w="3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the three months ended March 31, 2020 as the inclusion of potentially dilutive shares would have been anti-dilutive.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Company’s diluted net loss per share of Class A common stock assumed the conversion of all Class B common stock into Class A common stock in accordance with the if-converted method. For the three months ended March 31, 2021,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three months ended March 31, 2021 (in thousands, except for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2"/>
              </w:rPr>
              <w:t>Three months ended March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80" w:type="dxa"/>
            <w:vAlign w:val="bottom"/>
          </w:tcPr>
          <w:p>
            <w:pPr>
              <w:spacing w:after="0"/>
              <w:rPr>
                <w:sz w:val="11"/>
                <w:szCs w:val="11"/>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2"/>
              </w:rPr>
              <w:t>Loss per share</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21" w:right="33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12,073,090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13,217,229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13,382,473</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evaluated subsequent events through June 10, 2021, the date the condensed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384" w:name="page385"/>
    <w:bookmarkEnd w:id="38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tcPr>
          <w:p>
            <w:pPr>
              <w:jc w:val="center"/>
              <w:ind w:right="1950"/>
              <w:spacing w:after="0"/>
              <w:rPr>
                <w:sz w:val="20"/>
                <w:szCs w:val="20"/>
                <w:color w:val="auto"/>
              </w:rPr>
            </w:pPr>
            <w:r>
              <w:rPr>
                <w:rFonts w:ascii="Arial" w:cs="Arial" w:eastAsia="Arial" w:hAnsi="Arial"/>
                <w:sz w:val="18"/>
                <w:szCs w:val="18"/>
                <w:b w:val="1"/>
                <w:bCs w:val="1"/>
                <w:color w:val="auto"/>
              </w:rPr>
              <w:t>CM LIFE SCIENCES, INC.</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40" w:type="dxa"/>
            <w:vAlign w:val="bottom"/>
            <w:gridSpan w:val="8"/>
          </w:tcPr>
          <w:p>
            <w:pPr>
              <w:spacing w:after="0"/>
              <w:rPr>
                <w:rFonts w:ascii="Arial" w:cs="Arial" w:eastAsia="Arial" w:hAnsi="Arial"/>
                <w:sz w:val="18"/>
                <w:szCs w:val="18"/>
                <w:color w:val="0000FF"/>
              </w:rPr>
            </w:pPr>
            <w:hyperlink w:anchor="page385">
              <w:r>
                <w:rPr>
                  <w:rFonts w:ascii="Arial" w:cs="Arial" w:eastAsia="Arial" w:hAnsi="Arial"/>
                  <w:sz w:val="18"/>
                  <w:szCs w:val="18"/>
                  <w:color w:val="0000FF"/>
                </w:rPr>
                <w:t>Report of Independent Registered Public Accounting Firm</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385">
              <w:r>
                <w:rPr>
                  <w:rFonts w:ascii="Arial" w:cs="Arial" w:eastAsia="Arial" w:hAnsi="Arial"/>
                  <w:sz w:val="18"/>
                  <w:szCs w:val="18"/>
                  <w:color w:val="0000FF"/>
                  <w:w w:val="86"/>
                </w:rPr>
                <w:t>F-63</w:t>
              </w:r>
            </w:hyperlink>
          </w:p>
        </w:tc>
        <w:tc>
          <w:tcPr>
            <w:tcW w:w="0" w:type="dxa"/>
            <w:vAlign w:val="bottom"/>
          </w:tcPr>
          <w:p>
            <w:pPr>
              <w:spacing w:after="0"/>
              <w:rPr>
                <w:sz w:val="1"/>
                <w:szCs w:val="1"/>
                <w:color w:val="auto"/>
              </w:rPr>
            </w:pPr>
          </w:p>
        </w:tc>
      </w:tr>
      <w:tr>
        <w:trPr>
          <w:trHeight w:val="453"/>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 as of March 31, 2021:</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20" w:type="dxa"/>
            <w:vAlign w:val="bottom"/>
            <w:vMerge w:val="restart"/>
          </w:tcPr>
          <w:p>
            <w:pPr>
              <w:spacing w:after="0"/>
              <w:rPr>
                <w:rFonts w:ascii="Arial" w:cs="Arial" w:eastAsia="Arial" w:hAnsi="Arial"/>
                <w:sz w:val="18"/>
                <w:szCs w:val="18"/>
                <w:color w:val="0000FF"/>
                <w:w w:val="85"/>
              </w:rPr>
            </w:pPr>
            <w:hyperlink w:anchor="page387">
              <w:r>
                <w:rPr>
                  <w:rFonts w:ascii="Arial" w:cs="Arial" w:eastAsia="Arial" w:hAnsi="Arial"/>
                  <w:sz w:val="18"/>
                  <w:szCs w:val="18"/>
                  <w:color w:val="0000FF"/>
                  <w:w w:val="85"/>
                </w:rPr>
                <w:t>Balance Sheet</w:t>
              </w:r>
            </w:hyperlink>
          </w:p>
        </w:tc>
        <w:tc>
          <w:tcPr>
            <w:tcW w:w="7900" w:type="dxa"/>
            <w:vAlign w:val="bottom"/>
            <w:gridSpan w:val="6"/>
            <w:vMerge w:val="restart"/>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Borders>
              <w:bottom w:val="single" w:sz="8" w:color="0000FF"/>
            </w:tcBorders>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64</w:t>
              </w:r>
            </w:hyperlink>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1020" w:type="dxa"/>
            <w:vAlign w:val="bottom"/>
            <w:tcBorders>
              <w:bottom w:val="single" w:sz="8" w:color="0000FF"/>
            </w:tcBorders>
            <w:vMerge w:val="continue"/>
          </w:tcPr>
          <w:p>
            <w:pPr>
              <w:spacing w:after="0"/>
              <w:rPr>
                <w:sz w:val="14"/>
                <w:szCs w:val="14"/>
                <w:color w:val="auto"/>
              </w:rPr>
            </w:pPr>
          </w:p>
        </w:tc>
        <w:tc>
          <w:tcPr>
            <w:tcW w:w="7900" w:type="dxa"/>
            <w:vAlign w:val="bottom"/>
            <w:gridSpan w:val="6"/>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65</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7">
              <w:r>
                <w:rPr>
                  <w:rFonts w:ascii="Arial" w:cs="Arial" w:eastAsia="Arial" w:hAnsi="Arial"/>
                  <w:sz w:val="18"/>
                  <w:szCs w:val="18"/>
                  <w:color w:val="0000FF"/>
                </w:rPr>
                <w:t>Statement of Operations</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w:t>
              </w:r>
            </w:hyperlink>
            <w:hyperlink w:anchor="page388">
              <w:r>
                <w:rPr>
                  <w:rFonts w:ascii="Arial" w:cs="Arial" w:eastAsia="Arial" w:hAnsi="Arial"/>
                  <w:sz w:val="18"/>
                  <w:szCs w:val="18"/>
                  <w:color w:val="0000FF"/>
                  <w:w w:val="86"/>
                </w:rPr>
                <w:t>66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8">
              <w:r>
                <w:rPr>
                  <w:rFonts w:ascii="Arial" w:cs="Arial" w:eastAsia="Arial" w:hAnsi="Arial"/>
                  <w:sz w:val="18"/>
                  <w:szCs w:val="18"/>
                  <w:color w:val="0000FF"/>
                </w:rPr>
                <w:t>Statement of Changes in Stockholders’ Equity</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w:t>
              </w:r>
            </w:hyperlink>
            <w:hyperlink w:anchor="page389">
              <w:r>
                <w:rPr>
                  <w:rFonts w:ascii="Arial" w:cs="Arial" w:eastAsia="Arial" w:hAnsi="Arial"/>
                  <w:sz w:val="18"/>
                  <w:szCs w:val="18"/>
                  <w:color w:val="0000FF"/>
                  <w:w w:val="86"/>
                </w:rPr>
                <w:t>67</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800" w:type="dxa"/>
            <w:vAlign w:val="bottom"/>
            <w:tcBorders>
              <w:top w:val="single" w:sz="8" w:color="0000FF"/>
              <w:bottom w:val="single" w:sz="8" w:color="0000FF"/>
            </w:tcBorders>
            <w:gridSpan w:val="3"/>
            <w:vMerge w:val="restart"/>
          </w:tcPr>
          <w:p>
            <w:pPr>
              <w:spacing w:after="0"/>
              <w:rPr>
                <w:rFonts w:ascii="Arial" w:cs="Arial" w:eastAsia="Arial" w:hAnsi="Arial"/>
                <w:sz w:val="18"/>
                <w:szCs w:val="18"/>
                <w:color w:val="0000FF"/>
                <w:w w:val="88"/>
              </w:rPr>
            </w:pPr>
            <w:hyperlink w:anchor="page389">
              <w:r>
                <w:rPr>
                  <w:rFonts w:ascii="Arial" w:cs="Arial" w:eastAsia="Arial" w:hAnsi="Arial"/>
                  <w:sz w:val="18"/>
                  <w:szCs w:val="18"/>
                  <w:color w:val="0000FF"/>
                  <w:w w:val="88"/>
                </w:rPr>
                <w:t>Statement of Cash Flows</w:t>
              </w:r>
            </w:hyperlink>
          </w:p>
        </w:tc>
        <w:tc>
          <w:tcPr>
            <w:tcW w:w="1520" w:type="dxa"/>
            <w:vAlign w:val="bottom"/>
            <w:tcBorders>
              <w:top w:val="single" w:sz="8" w:color="0000FF"/>
              <w:bottom w:val="single" w:sz="8" w:color="0000FF"/>
            </w:tcBorders>
            <w:gridSpan w:val="2"/>
            <w:vMerge w:val="restart"/>
          </w:tcPr>
          <w:p>
            <w:pPr>
              <w:spacing w:after="0"/>
              <w:rPr>
                <w:sz w:val="19"/>
                <w:szCs w:val="19"/>
                <w:color w:val="auto"/>
              </w:rPr>
            </w:pPr>
          </w:p>
        </w:tc>
        <w:tc>
          <w:tcPr>
            <w:tcW w:w="5600" w:type="dxa"/>
            <w:vAlign w:val="bottom"/>
            <w:gridSpan w:val="2"/>
            <w:vMerge w:val="restart"/>
          </w:tcPr>
          <w:p>
            <w:pPr>
              <w:spacing w:after="0"/>
              <w:rPr>
                <w:sz w:val="19"/>
                <w:szCs w:val="19"/>
                <w:color w:val="auto"/>
              </w:rPr>
            </w:pPr>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800" w:type="dxa"/>
            <w:vAlign w:val="bottom"/>
            <w:tcBorders>
              <w:bottom w:val="single" w:sz="8" w:color="0000FF"/>
            </w:tcBorders>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2160" w:type="dxa"/>
            <w:vAlign w:val="bottom"/>
            <w:gridSpan w:val="2"/>
            <w:vMerge w:val="restart"/>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w:t>
              </w:r>
            </w:hyperlink>
            <w:hyperlink w:anchor="page390">
              <w:r>
                <w:rPr>
                  <w:rFonts w:ascii="Arial" w:cs="Arial" w:eastAsia="Arial" w:hAnsi="Arial"/>
                  <w:sz w:val="18"/>
                  <w:szCs w:val="18"/>
                  <w:color w:val="0000FF"/>
                  <w:w w:val="86"/>
                </w:rPr>
                <w:t>68</w:t>
              </w:r>
            </w:hyperlink>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90">
              <w:r>
                <w:rPr>
                  <w:rFonts w:ascii="Arial" w:cs="Arial" w:eastAsia="Arial" w:hAnsi="Arial"/>
                  <w:sz w:val="18"/>
                  <w:szCs w:val="18"/>
                  <w:color w:val="0000FF"/>
                </w:rPr>
                <w:t>Notes to Financial Statements</w:t>
              </w:r>
            </w:hyperlink>
          </w:p>
        </w:tc>
        <w:tc>
          <w:tcPr>
            <w:tcW w:w="2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9040" w:type="dxa"/>
            <w:vAlign w:val="bottom"/>
            <w:gridSpan w:val="8"/>
          </w:tcPr>
          <w:p>
            <w:pPr>
              <w:spacing w:after="0"/>
              <w:rPr>
                <w:sz w:val="20"/>
                <w:szCs w:val="20"/>
                <w:color w:val="auto"/>
              </w:rPr>
            </w:pPr>
            <w:r>
              <w:rPr>
                <w:rFonts w:ascii="Arial" w:cs="Arial" w:eastAsia="Arial" w:hAnsi="Arial"/>
                <w:sz w:val="18"/>
                <w:szCs w:val="18"/>
                <w:color w:val="auto"/>
              </w:rPr>
              <w:t>Financial Statement as of December 31, 2020</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6">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F-84</w:t>
              </w:r>
            </w:hyperlink>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3320" w:type="dxa"/>
            <w:vAlign w:val="bottom"/>
            <w:tcBorders>
              <w:top w:val="single" w:sz="8" w:color="0000FF"/>
            </w:tcBorders>
            <w:gridSpan w:val="5"/>
          </w:tcPr>
          <w:p>
            <w:pPr>
              <w:spacing w:after="0"/>
              <w:rPr>
                <w:rFonts w:ascii="Arial" w:cs="Arial" w:eastAsia="Arial" w:hAnsi="Arial"/>
                <w:sz w:val="18"/>
                <w:szCs w:val="18"/>
                <w:color w:val="0000FF"/>
              </w:rPr>
            </w:pPr>
            <w:hyperlink w:anchor="page407">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6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F-85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8">
              <w:r>
                <w:rPr>
                  <w:rFonts w:ascii="Arial" w:cs="Arial" w:eastAsia="Arial" w:hAnsi="Arial"/>
                  <w:sz w:val="18"/>
                  <w:szCs w:val="18"/>
                  <w:color w:val="0000FF"/>
                </w:rPr>
                <w:t>Notes to Financial Statements</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F-86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340" w:top="1440" w:right="359" w:bottom="1440" w:gutter="0" w:footer="0" w:header="0"/>
        </w:sectPr>
      </w:pPr>
    </w:p>
    <w:bookmarkStart w:id="385" w:name="page386"/>
    <w:bookmarkEnd w:id="385"/>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6"/>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(1,845,158)</w:t>
            </w:r>
          </w:p>
        </w:tc>
      </w:tr>
      <w:tr>
        <w:trPr>
          <w:trHeight w:val="257"/>
        </w:trPr>
        <w:tc>
          <w:tcPr>
            <w:tcW w:w="9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(56,637,684)</w:t>
            </w: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share, Class A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(5.28)</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60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Class B</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26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2300" w:type="dxa"/>
            <w:vAlign w:val="bottom"/>
            <w:gridSpan w:val="4"/>
          </w:tcPr>
          <w:p>
            <w:pPr>
              <w:jc w:val="right"/>
              <w:ind w:right="594"/>
              <w:spacing w:after="0" w:line="13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4"/>
                <w:szCs w:val="4"/>
                <w:color w:val="auto"/>
              </w:rPr>
            </w:pPr>
          </w:p>
        </w:tc>
        <w:tc>
          <w:tcPr>
            <w:tcW w:w="132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4"/>
                <w:szCs w:val="4"/>
                <w:color w:val="auto"/>
              </w:rPr>
            </w:pPr>
          </w:p>
        </w:tc>
        <w:tc>
          <w:tcPr>
            <w:tcW w:w="1220" w:type="dxa"/>
            <w:vAlign w:val="bottom"/>
            <w:vMerge w:val="restart"/>
          </w:tcPr>
          <w:p>
            <w:pPr>
              <w:jc w:val="center"/>
              <w:ind w:right="118"/>
              <w:spacing w:after="0" w:line="12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48"/>
        </w:trPr>
        <w:tc>
          <w:tcPr>
            <w:tcW w:w="1680" w:type="dxa"/>
            <w:vAlign w:val="bottom"/>
          </w:tcPr>
          <w:p>
            <w:pPr>
              <w:spacing w:after="0"/>
              <w:rPr>
                <w:sz w:val="4"/>
                <w:szCs w:val="4"/>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7"/>
        </w:trPr>
        <w:tc>
          <w:tcPr>
            <w:tcW w:w="16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2"/>
              </w:rPr>
              <w:t>Balance – January 1,</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8,953,013</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44,905,602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(39,907,599)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 in value of</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subject to possible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58,471,920</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 March 31,</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14,800,205</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103,376,937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(98,379,522)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22"/>
        </w:trPr>
        <w:tc>
          <w:tcPr>
            <w:tcW w:w="1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56,637,684</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9"/>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1,394,615</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3"/>
        </w:trPr>
        <w:tc>
          <w:tcPr>
            <w:tcW w:w="9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627,415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r>
      <w:tr>
        <w:trPr>
          <w:trHeight w:val="21"/>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21" w:right="3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Three</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6"/>
              </w:rPr>
              <w:t>Months</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March 31,</w:t>
            </w:r>
          </w:p>
        </w:tc>
      </w:tr>
      <w:tr>
        <w:trPr>
          <w:trHeight w:val="188"/>
        </w:trPr>
        <w:tc>
          <w:tcPr>
            <w:tcW w:w="9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Numerator: Earnings allocable to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and Franchise Tax</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Denominator: Weighted Average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 Basic and Diluted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Earnings/Basic and Diluted Class A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148"/>
        </w:trPr>
        <w:tc>
          <w:tcPr>
            <w:tcW w:w="9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A and B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minus Net Earnings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5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Class A and B Common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9680" w:type="dxa"/>
            <w:vAlign w:val="bottom"/>
          </w:tcPr>
          <w:p>
            <w:pPr>
              <w:ind w:left="360"/>
              <w:spacing w:after="0"/>
              <w:rPr>
                <w:sz w:val="20"/>
                <w:szCs w:val="20"/>
                <w:color w:val="auto"/>
              </w:rPr>
            </w:pPr>
            <w:r>
              <w:rPr>
                <w:rFonts w:ascii="Arial" w:cs="Arial" w:eastAsia="Arial" w:hAnsi="Arial"/>
                <w:sz w:val="18"/>
                <w:szCs w:val="18"/>
                <w:color w:val="auto"/>
              </w:rPr>
              <w:t>Class A and B Common Stock, Basic and Diluted</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11,068,750</w:t>
            </w: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Loss/Basic and Diluted Class A and B Common Stock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21" w:right="3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21" w:right="3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21" w:right="3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21" w:right="3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March 31, 2021 and December 31, 2020, there were no shares of preferred stock issued or outstanding.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 </w:t>
      </w:r>
      <w:r>
        <w:rPr>
          <w:rFonts w:ascii="Arial" w:cs="Arial" w:eastAsia="Arial" w:hAnsi="Arial"/>
          <w:sz w:val="18"/>
          <w:szCs w:val="18"/>
          <w:color w:val="auto"/>
        </w:rPr>
        <w:t>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21"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21" w:right="3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21" w:right="3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initial purchasers or their permitted transferees, the Private Placement Warrants will be redeemable by the Company and exercisable by such holders on the same basis as the Public Warrants.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980" w:hanging="647"/>
        <w:spacing w:after="0" w:line="308"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w w:val="93"/>
              </w:rPr>
              <w:t>Investments held in Trust Account – U.S. Treasury Securities Money Market Fund</w:t>
            </w:r>
          </w:p>
        </w:tc>
        <w:tc>
          <w:tcPr>
            <w:tcW w:w="1560" w:type="dxa"/>
            <w:vAlign w:val="bottom"/>
          </w:tcPr>
          <w:p>
            <w:pPr>
              <w:jc w:val="right"/>
              <w:ind w:right="65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
              <w:spacing w:after="0"/>
              <w:rPr>
                <w:sz w:val="20"/>
                <w:szCs w:val="20"/>
                <w:color w:val="auto"/>
              </w:rPr>
            </w:pPr>
            <w:r>
              <w:rPr>
                <w:rFonts w:ascii="Arial" w:cs="Arial" w:eastAsia="Arial" w:hAnsi="Arial"/>
                <w:sz w:val="18"/>
                <w:szCs w:val="18"/>
                <w:color w:val="auto"/>
              </w:rPr>
              <w:t>442,774,870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Warrant Liability – Public Warrants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76,448,164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40,290,250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Warrant Liability – Private Placement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21" w:right="3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11.04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42.8 %</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5.42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r>
      <w:tr>
        <w:trPr>
          <w:trHeight w:val="473"/>
        </w:trPr>
        <w:tc>
          <w:tcPr>
            <w:tcW w:w="636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changes in the fair value of warrant liabilities: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9"/>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Private Placement</w:t>
            </w:r>
          </w:p>
        </w:tc>
        <w:tc>
          <w:tcPr>
            <w:tcW w:w="20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Arial" w:cs="Arial" w:eastAsia="Arial" w:hAnsi="Arial"/>
                <w:sz w:val="14"/>
                <w:szCs w:val="14"/>
                <w:b w:val="1"/>
                <w:bCs w:val="1"/>
                <w:color w:val="auto"/>
              </w:rPr>
              <w:t>Warrant Liabilities</w:t>
            </w:r>
          </w:p>
        </w:tc>
      </w:tr>
      <w:tr>
        <w:trPr>
          <w:trHeight w:val="26"/>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40,290,250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70,322,418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1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20,479,768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36,157,914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56,637,682</w:t>
            </w:r>
          </w:p>
        </w:tc>
      </w:tr>
      <w:tr>
        <w:trPr>
          <w:trHeight w:val="27"/>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76,448,164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120" w:firstLine="324"/>
        <w:spacing w:after="0" w:line="438" w:lineRule="auto"/>
        <w:rPr>
          <w:sz w:val="20"/>
          <w:szCs w:val="20"/>
          <w:color w:val="auto"/>
        </w:rPr>
      </w:pPr>
      <w:r>
        <w:rPr>
          <w:rFonts w:ascii="Arial" w:cs="Arial" w:eastAsia="Arial" w:hAnsi="Arial"/>
          <w:sz w:val="18"/>
          <w:szCs w:val="18"/>
          <w:color w:val="auto"/>
        </w:rPr>
        <w:t xml:space="preserve">There were no transfers in or out of Level 3 from other levels in the fair value hierarchy during the three months ended March 31, 2021. </w:t>
      </w:r>
      <w:r>
        <w:rPr>
          <w:rFonts w:ascii="Arial" w:cs="Arial" w:eastAsia="Arial" w:hAnsi="Arial"/>
          <w:sz w:val="18"/>
          <w:szCs w:val="18"/>
          <w:b w:val="1"/>
          <w:bCs w:val="1"/>
          <w:color w:val="auto"/>
        </w:rPr>
        <w:t>NOTE 9. SUBSEQUENT EVENTS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21" w:right="339" w:bottom="1440" w:gutter="0" w:footer="0" w:header="0"/>
        </w:sectPr>
      </w:pPr>
    </w:p>
    <w:bookmarkStart w:id="404" w:name="page405"/>
    <w:bookmarkEnd w:id="404"/>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DECEMBER 31, 2020 (As Restated)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50"/>
        </w:trPr>
        <w:tc>
          <w:tcPr>
            <w:tcW w:w="9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$0.0001 par value; 380,000,000 shares authorized; 1,920,771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42,354,229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A</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B</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 Paid-in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1"/>
              </w:rPr>
              <w:t>Accumulated Deficit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Balance – July 10, 2020</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(Inception)</w:t>
            </w:r>
          </w:p>
        </w:tc>
        <w:tc>
          <w:tcPr>
            <w:tcW w:w="26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Issuance of Class B common stock</w:t>
            </w: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11,068,750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initial stockholders</w:t>
            </w: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Sale of 44,275,000 Units, net of</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44,275,000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398,098,047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398,102,474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Common stock subject to possible</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94"/>
              </w:rPr>
              <w:t>(353,216,338)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(39,907,599)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(39,907,599)</w:t>
            </w:r>
          </w:p>
        </w:tc>
        <w:tc>
          <w:tcPr>
            <w:tcW w:w="0" w:type="dxa"/>
            <w:vAlign w:val="bottom"/>
          </w:tcPr>
          <w:p>
            <w:pPr>
              <w:spacing w:after="0"/>
              <w:rPr>
                <w:sz w:val="1"/>
                <w:szCs w:val="1"/>
                <w:color w:val="auto"/>
              </w:rPr>
            </w:pPr>
          </w:p>
        </w:tc>
      </w:tr>
      <w:tr>
        <w:trPr>
          <w:trHeight w:val="253"/>
        </w:trPr>
        <w:tc>
          <w:tcPr>
            <w:tcW w:w="20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8,953,013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11,068,750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44,905,602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w w:val="93"/>
              </w:rPr>
              <w:t>(39,907,599)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30"/>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(386,106)</w:t>
            </w:r>
          </w:p>
        </w:tc>
      </w:tr>
      <w:tr>
        <w:trPr>
          <w:trHeight w:val="250"/>
        </w:trPr>
        <w:tc>
          <w:tcPr>
            <w:tcW w:w="9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of cash into Trust Account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(442,750,000)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10,855,000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ind w:left="568"/>
        <w:spacing w:after="0"/>
        <w:rPr>
          <w:sz w:val="20"/>
          <w:szCs w:val="20"/>
          <w:color w:val="auto"/>
        </w:rPr>
      </w:pPr>
      <w:r>
        <w:rPr>
          <w:rFonts w:ascii="Arial" w:cs="Arial" w:eastAsia="Arial" w:hAnsi="Arial"/>
          <w:sz w:val="17"/>
          <w:szCs w:val="17"/>
          <w:b w:val="1"/>
          <w:bCs w:val="1"/>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944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8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8" w:hanging="748"/>
        <w:spacing w:after="0"/>
        <w:tabs>
          <w:tab w:leader="none" w:pos="748"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Initial classification of warrant liabilities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31,811,834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1440" w:right="339" w:bottom="1440" w:gutter="0" w:footer="0" w:header="0"/>
          <w:type w:val="continuous"/>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364" w:right="3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364" w:right="3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364" w:right="3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 Previously</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4, 2020 (audited)</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380,268,982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17,856,761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(12,858,486)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375,529,126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22,596,570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December 31, 2020 (audited)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Period from July 10, 2020 (inception) to December 31, 2020 (audited)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320" w:top="364" w:right="3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4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44,275,000</w:t>
            </w:r>
          </w:p>
        </w:tc>
        <w:tc>
          <w:tcPr>
            <w:tcW w:w="3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10,633,062</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September 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(unaudited)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(17,541,422)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(17,598,345)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16,336,651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16,336,651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(4,685,617)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(4,739,857)</w:t>
            </w:r>
          </w:p>
        </w:tc>
      </w:tr>
      <w:tr>
        <w:trPr>
          <w:trHeight w:val="230"/>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December 31,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(192,244)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(39,715,355)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38,510,584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(1,539,252)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(25,509,860)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320" w:top="364" w:right="3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company nor an emerging growth company which has opted out of using the extended transition period difficult or impossible because of the potential differences in accounting standards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320" w:top="364" w:right="3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320" w:top="364" w:right="33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88"/>
        </w:trPr>
        <w:tc>
          <w:tcPr>
            <w:tcW w:w="9680" w:type="dxa"/>
            <w:vAlign w:val="bottom"/>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Class A Common Stock</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and Franchise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tcPr>
          <w:p>
            <w:pPr>
              <w:ind w:left="56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Non-Redeemable Class A and B Common Stock, Basic and Diluted</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F-93</w:t>
      </w:r>
    </w:p>
    <w:p>
      <w:pPr>
        <w:sectPr>
          <w:pgSz w:w="11900" w:h="16838" w:orient="portrait"/>
          <w:cols w:equalWidth="0" w:num="1">
            <w:col w:w="11240"/>
          </w:cols>
          <w:pgMar w:left="320" w:top="364" w:right="3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hanging="328"/>
        <w:spacing w:after="0" w:line="277" w:lineRule="auto"/>
        <w:tabs>
          <w:tab w:leader="none" w:pos="6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320" w:top="364" w:right="3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320" w:top="364" w:right="3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holders have certain “piggy-back” registration rights with respect to registration statements filed subsequent to the completion of a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bear the expenses incurred in connection with the filing of any such registration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 </w:t>
      </w:r>
      <w:r>
        <w:rPr>
          <w:rFonts w:ascii="Arial" w:cs="Arial" w:eastAsia="Arial" w:hAnsi="Arial"/>
          <w:sz w:val="17"/>
          <w:szCs w:val="17"/>
          <w:color w:val="auto"/>
        </w:rPr>
        <w:t>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29,474,795 shares of Class A common stock subject to possible redemption.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320" w:top="364" w:right="3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320" w:top="364" w:right="33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like) for any 20 trading days within a 30-trading day period ending on the third trading day prior to the date on which the Company sends the notice of redemption to the warrant holders.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Redemption of Warrants When the Price per Share of Class A Common Stock Equals or Exceeds $10.00 —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700" w:hanging="368"/>
        <w:spacing w:after="0"/>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71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40"/>
          </w:cols>
          <w:pgMar w:left="320" w:top="364" w:right="3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40"/>
          </w:cols>
          <w:pgMar w:left="320" w:top="364" w:right="3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1300" w:hanging="971"/>
        <w:spacing w:after="0" w:line="308"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1300" w:right="20" w:hanging="971"/>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gridSpan w:val="2"/>
            <w:vMerge w:val="restart"/>
          </w:tcPr>
          <w:p>
            <w:pPr>
              <w:jc w:val="center"/>
              <w:ind w:left="675"/>
              <w:spacing w:after="0"/>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0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w w:val="89"/>
              </w:rPr>
              <w:t>442,763,951</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40,290,250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30,032,168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240"/>
          </w:cols>
          <w:pgMar w:left="320" w:top="364" w:right="3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detachment of the warrants from the Units, the close price of the public warrant price will be used as the fair value as of each relevant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Private Placement</w:t>
            </w:r>
          </w:p>
        </w:tc>
        <w:tc>
          <w:tcPr>
            <w:tcW w:w="280" w:type="dxa"/>
            <w:vAlign w:val="bottom"/>
          </w:tcPr>
          <w:p>
            <w:pPr>
              <w:spacing w:after="0"/>
              <w:rPr>
                <w:sz w:val="24"/>
                <w:szCs w:val="2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Warrant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31,811,834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40"/>
          </w:cols>
          <w:pgMar w:left="320" w:top="364" w:right="3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9,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9,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320" w:top="364" w:right="3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S-IV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9, 2021</w:t>
      </w:r>
    </w:p>
    <w:p>
      <w:pPr>
        <w:sectPr>
          <w:pgSz w:w="11900" w:h="16838" w:orient="portrait"/>
          <w:cols w:equalWidth="0" w:num="1">
            <w:col w:w="9019"/>
          </w:cols>
          <w:pgMar w:left="1440" w:top="364" w:right="1440"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720" w:type="dxa"/>
            <w:vAlign w:val="bottom"/>
          </w:tcPr>
          <w:p>
            <w:pPr>
              <w:jc w:val="center"/>
              <w:ind w:left="970"/>
              <w:spacing w:after="0"/>
              <w:rPr>
                <w:sz w:val="20"/>
                <w:szCs w:val="20"/>
                <w:color w:val="auto"/>
              </w:rPr>
            </w:pPr>
            <w:r>
              <w:rPr>
                <w:rFonts w:ascii="Arial" w:cs="Arial" w:eastAsia="Arial" w:hAnsi="Arial"/>
                <w:sz w:val="18"/>
                <w:szCs w:val="18"/>
                <w:b w:val="1"/>
                <w:bCs w:val="1"/>
                <w:color w:val="auto"/>
              </w:rPr>
              <w:t>CM LIFE SCIENCES, INC.</w:t>
            </w:r>
          </w:p>
        </w:tc>
        <w:tc>
          <w:tcPr>
            <w:tcW w:w="22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720" w:type="dxa"/>
            <w:vAlign w:val="bottom"/>
          </w:tcPr>
          <w:p>
            <w:pPr>
              <w:jc w:val="center"/>
              <w:ind w:left="970"/>
              <w:spacing w:after="0"/>
              <w:rPr>
                <w:sz w:val="20"/>
                <w:szCs w:val="20"/>
                <w:color w:val="auto"/>
              </w:rPr>
            </w:pPr>
            <w:r>
              <w:rPr>
                <w:rFonts w:ascii="Arial" w:cs="Arial" w:eastAsia="Arial" w:hAnsi="Arial"/>
                <w:sz w:val="18"/>
                <w:szCs w:val="18"/>
                <w:b w:val="1"/>
                <w:bCs w:val="1"/>
                <w:color w:val="auto"/>
              </w:rPr>
              <w:t>NOTES TO FINANCIAL STATEMENTS</w:t>
            </w:r>
          </w:p>
        </w:tc>
        <w:tc>
          <w:tcPr>
            <w:tcW w:w="22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772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DECEMBER 31, 2020</w:t>
            </w:r>
          </w:p>
        </w:tc>
        <w:tc>
          <w:tcPr>
            <w:tcW w:w="2280" w:type="dxa"/>
            <w:vAlign w:val="bottom"/>
          </w:tcPr>
          <w:p>
            <w:pPr>
              <w:spacing w:after="0"/>
              <w:rPr>
                <w:sz w:val="20"/>
                <w:szCs w:val="20"/>
                <w:color w:val="auto"/>
              </w:rPr>
            </w:pPr>
          </w:p>
        </w:tc>
      </w:tr>
      <w:tr>
        <w:trPr>
          <w:trHeight w:val="432"/>
        </w:trPr>
        <w:tc>
          <w:tcPr>
            <w:tcW w:w="896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 THE 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Financing Certificate</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1.3</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 Documents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r>
      <w:tr>
        <w:trPr>
          <w:trHeight w:val="229"/>
        </w:trPr>
        <w:tc>
          <w:tcPr>
            <w:tcW w:w="896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II 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2.3</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Documents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2.5</w:t>
            </w:r>
          </w:p>
        </w:tc>
        <w:tc>
          <w:tcPr>
            <w:tcW w:w="7720" w:type="dxa"/>
            <w:vAlign w:val="bottom"/>
          </w:tcPr>
          <w:p>
            <w:pPr>
              <w:ind w:left="320"/>
              <w:spacing w:after="0"/>
              <w:rPr>
                <w:sz w:val="20"/>
                <w:szCs w:val="20"/>
                <w:color w:val="auto"/>
              </w:rPr>
            </w:pPr>
            <w:r>
              <w:rPr>
                <w:rFonts w:ascii="Arial" w:cs="Arial" w:eastAsia="Arial" w:hAnsi="Arial"/>
                <w:sz w:val="18"/>
                <w:szCs w:val="18"/>
                <w:color w:val="auto"/>
              </w:rPr>
              <w:t>Directors and Officers of the Surviving Corporation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2.6</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2.7</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 on the Company Common Stock and Company Preferred Stock</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2.8</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Company Certificates and Disbursement of Closing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2.9</w:t>
            </w:r>
          </w:p>
        </w:tc>
        <w:tc>
          <w:tcPr>
            <w:tcW w:w="7720" w:type="dxa"/>
            <w:vAlign w:val="bottom"/>
          </w:tcPr>
          <w:p>
            <w:pPr>
              <w:ind w:left="320"/>
              <w:spacing w:after="0"/>
              <w:rPr>
                <w:sz w:val="20"/>
                <w:szCs w:val="20"/>
                <w:color w:val="auto"/>
              </w:rPr>
            </w:pPr>
            <w:r>
              <w:rPr>
                <w:rFonts w:ascii="Arial" w:cs="Arial" w:eastAsia="Arial" w:hAnsi="Arial"/>
                <w:sz w:val="18"/>
                <w:szCs w:val="18"/>
                <w:color w:val="auto"/>
              </w:rPr>
              <w:t>Withholding Taxes</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2.10</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Taking of Necessary Action; Further Action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2.11</w:t>
            </w:r>
          </w:p>
        </w:tc>
        <w:tc>
          <w:tcPr>
            <w:tcW w:w="7720" w:type="dxa"/>
            <w:vAlign w:val="bottom"/>
          </w:tcPr>
          <w:p>
            <w:pPr>
              <w:ind w:left="320"/>
              <w:spacing w:after="0"/>
              <w:rPr>
                <w:sz w:val="20"/>
                <w:szCs w:val="20"/>
                <w:color w:val="auto"/>
              </w:rPr>
            </w:pPr>
            <w:r>
              <w:rPr>
                <w:rFonts w:ascii="Arial" w:cs="Arial" w:eastAsia="Arial" w:hAnsi="Arial"/>
                <w:sz w:val="18"/>
                <w:szCs w:val="18"/>
                <w:color w:val="auto"/>
              </w:rPr>
              <w:t>Tax Treatment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on Company Options,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2.13</w:t>
            </w:r>
          </w:p>
        </w:tc>
        <w:tc>
          <w:tcPr>
            <w:tcW w:w="772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2280" w:type="dxa"/>
            <w:vAlign w:val="bottom"/>
          </w:tcPr>
          <w:p>
            <w:pPr>
              <w:ind w:left="1300"/>
              <w:spacing w:after="0"/>
              <w:rPr>
                <w:sz w:val="20"/>
                <w:szCs w:val="20"/>
                <w:color w:val="auto"/>
              </w:rPr>
            </w:pPr>
            <w:r>
              <w:rPr>
                <w:rFonts w:ascii="Arial" w:cs="Arial" w:eastAsia="Arial" w:hAnsi="Arial"/>
                <w:sz w:val="18"/>
                <w:szCs w:val="18"/>
                <w:color w:val="auto"/>
              </w:rPr>
              <w:t>9</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III EARN OUT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7720" w:type="dxa"/>
            <w:vAlign w:val="bottom"/>
          </w:tcPr>
          <w:p>
            <w:pPr>
              <w:ind w:left="320"/>
              <w:spacing w:after="0"/>
              <w:rPr>
                <w:sz w:val="20"/>
                <w:szCs w:val="20"/>
                <w:color w:val="auto"/>
              </w:rPr>
            </w:pPr>
            <w:r>
              <w:rPr>
                <w:rFonts w:ascii="Arial" w:cs="Arial" w:eastAsia="Arial" w:hAnsi="Arial"/>
                <w:sz w:val="18"/>
                <w:szCs w:val="18"/>
                <w:color w:val="auto"/>
              </w:rPr>
              <w:t>Acceleration Event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Treatment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7720" w:type="dxa"/>
            <w:vAlign w:val="bottom"/>
          </w:tcPr>
          <w:p>
            <w:pPr>
              <w:ind w:left="320"/>
              <w:spacing w:after="0"/>
              <w:rPr>
                <w:sz w:val="20"/>
                <w:szCs w:val="20"/>
                <w:color w:val="auto"/>
              </w:rPr>
            </w:pPr>
            <w:r>
              <w:rPr>
                <w:rFonts w:ascii="Arial" w:cs="Arial" w:eastAsia="Arial" w:hAnsi="Arial"/>
                <w:sz w:val="18"/>
                <w:szCs w:val="18"/>
                <w:color w:val="auto"/>
              </w:rPr>
              <w:t>Earn-Out Service Providers</w:t>
            </w:r>
          </w:p>
        </w:tc>
        <w:tc>
          <w:tcPr>
            <w:tcW w:w="2280" w:type="dxa"/>
            <w:vAlign w:val="bottom"/>
          </w:tcPr>
          <w:p>
            <w:pPr>
              <w:ind w:left="1300"/>
              <w:spacing w:after="0"/>
              <w:rPr>
                <w:sz w:val="20"/>
                <w:szCs w:val="20"/>
                <w:color w:val="auto"/>
              </w:rPr>
            </w:pPr>
            <w:r>
              <w:rPr>
                <w:rFonts w:ascii="Arial" w:cs="Arial" w:eastAsia="Arial" w:hAnsi="Arial"/>
                <w:sz w:val="18"/>
                <w:szCs w:val="18"/>
                <w:color w:val="auto"/>
              </w:rPr>
              <w:t>11</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IV REPRESENTATIONS AND WARRANTIES REGARDING THE COMPANY</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Subsidiaries</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7720" w:type="dxa"/>
            <w:vAlign w:val="bottom"/>
          </w:tcPr>
          <w:p>
            <w:pPr>
              <w:ind w:left="320"/>
              <w:spacing w:after="0"/>
              <w:rPr>
                <w:sz w:val="20"/>
                <w:szCs w:val="20"/>
                <w:color w:val="auto"/>
              </w:rPr>
            </w:pPr>
            <w:r>
              <w:rPr>
                <w:rFonts w:ascii="Arial" w:cs="Arial" w:eastAsia="Arial" w:hAnsi="Arial"/>
                <w:sz w:val="18"/>
                <w:szCs w:val="18"/>
                <w:color w:val="auto"/>
              </w:rPr>
              <w:t>Due Authorization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Governmental Consents and Filings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7720" w:type="dxa"/>
            <w:vAlign w:val="bottom"/>
          </w:tcPr>
          <w:p>
            <w:pPr>
              <w:ind w:left="320"/>
              <w:spacing w:after="0"/>
              <w:rPr>
                <w:sz w:val="20"/>
                <w:szCs w:val="20"/>
                <w:color w:val="auto"/>
              </w:rPr>
            </w:pPr>
            <w:r>
              <w:rPr>
                <w:rFonts w:ascii="Arial" w:cs="Arial" w:eastAsia="Arial" w:hAnsi="Arial"/>
                <w:sz w:val="18"/>
                <w:szCs w:val="18"/>
                <w:color w:val="auto"/>
              </w:rPr>
              <w:t>Legal Compliance; Approvals</w:t>
            </w:r>
          </w:p>
        </w:tc>
        <w:tc>
          <w:tcPr>
            <w:tcW w:w="2280" w:type="dxa"/>
            <w:vAlign w:val="bottom"/>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Contracts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4.8</w:t>
            </w:r>
          </w:p>
        </w:tc>
        <w:tc>
          <w:tcPr>
            <w:tcW w:w="77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4.9</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Undisclosed Liabilities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4.10</w:t>
            </w:r>
          </w:p>
        </w:tc>
        <w:tc>
          <w:tcPr>
            <w:tcW w:w="772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Benefit Plans</w:t>
            </w:r>
          </w:p>
        </w:tc>
        <w:tc>
          <w:tcPr>
            <w:tcW w:w="2280" w:type="dxa"/>
            <w:vAlign w:val="bottom"/>
          </w:tcPr>
          <w:p>
            <w:pPr>
              <w:ind w:left="130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 Relations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4.14</w:t>
            </w:r>
          </w:p>
        </w:tc>
        <w:tc>
          <w:tcPr>
            <w:tcW w:w="7720" w:type="dxa"/>
            <w:vAlign w:val="bottom"/>
          </w:tcPr>
          <w:p>
            <w:pPr>
              <w:ind w:left="320"/>
              <w:spacing w:after="0"/>
              <w:rPr>
                <w:sz w:val="20"/>
                <w:szCs w:val="20"/>
                <w:color w:val="auto"/>
              </w:rPr>
            </w:pPr>
            <w:r>
              <w:rPr>
                <w:rFonts w:ascii="Arial" w:cs="Arial" w:eastAsia="Arial" w:hAnsi="Arial"/>
                <w:sz w:val="18"/>
                <w:szCs w:val="18"/>
                <w:color w:val="auto"/>
              </w:rPr>
              <w:t>Real Property; Tangible Property</w:t>
            </w:r>
          </w:p>
        </w:tc>
        <w:tc>
          <w:tcPr>
            <w:tcW w:w="2280" w:type="dxa"/>
            <w:vAlign w:val="bottom"/>
          </w:tcPr>
          <w:p>
            <w:pPr>
              <w:ind w:left="1300"/>
              <w:spacing w:after="0"/>
              <w:rPr>
                <w:sz w:val="20"/>
                <w:szCs w:val="20"/>
                <w:color w:val="auto"/>
              </w:rPr>
            </w:pPr>
            <w:r>
              <w:rPr>
                <w:rFonts w:ascii="Arial" w:cs="Arial" w:eastAsia="Arial" w:hAnsi="Arial"/>
                <w:sz w:val="18"/>
                <w:szCs w:val="18"/>
                <w:color w:val="auto"/>
              </w:rPr>
              <w:t>19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4.16</w:t>
            </w:r>
          </w:p>
        </w:tc>
        <w:tc>
          <w:tcPr>
            <w:tcW w:w="772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280" w:type="dxa"/>
            <w:vAlign w:val="bottom"/>
          </w:tcPr>
          <w:p>
            <w:pPr>
              <w:ind w:left="1300"/>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Third Party Expenses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364" w:right="3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4.18</w:t>
            </w:r>
          </w:p>
        </w:tc>
        <w:tc>
          <w:tcPr>
            <w:tcW w:w="73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Privacy</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4.20</w:t>
            </w:r>
          </w:p>
        </w:tc>
        <w:tc>
          <w:tcPr>
            <w:tcW w:w="7340" w:type="dxa"/>
            <w:vAlign w:val="bottom"/>
          </w:tcPr>
          <w:p>
            <w:pPr>
              <w:ind w:left="320"/>
              <w:spacing w:after="0"/>
              <w:rPr>
                <w:sz w:val="20"/>
                <w:szCs w:val="20"/>
                <w:color w:val="auto"/>
              </w:rPr>
            </w:pPr>
            <w:r>
              <w:rPr>
                <w:rFonts w:ascii="Arial" w:cs="Arial" w:eastAsia="Arial" w:hAnsi="Arial"/>
                <w:sz w:val="18"/>
                <w:szCs w:val="18"/>
                <w:color w:val="auto"/>
              </w:rPr>
              <w:t>Agreements, Contracts and Commitments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4.22</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Matters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Provided Information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4.24</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Business Practices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Grants and Incentives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4.26</w:t>
            </w:r>
          </w:p>
        </w:tc>
        <w:tc>
          <w:tcPr>
            <w:tcW w:w="7340" w:type="dxa"/>
            <w:vAlign w:val="bottom"/>
          </w:tcPr>
          <w:p>
            <w:pPr>
              <w:ind w:left="320"/>
              <w:spacing w:after="0"/>
              <w:rPr>
                <w:sz w:val="20"/>
                <w:szCs w:val="20"/>
                <w:color w:val="auto"/>
              </w:rPr>
            </w:pPr>
            <w:r>
              <w:rPr>
                <w:rFonts w:ascii="Arial" w:cs="Arial" w:eastAsia="Arial" w:hAnsi="Arial"/>
                <w:sz w:val="18"/>
                <w:szCs w:val="18"/>
                <w:color w:val="auto"/>
              </w:rPr>
              <w:t>OIG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Suppliers and Customers.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4.28</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57"/>
        </w:trPr>
        <w:tc>
          <w:tcPr>
            <w:tcW w:w="8580" w:type="dxa"/>
            <w:vAlign w:val="bottom"/>
            <w:gridSpan w:val="2"/>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r>
      <w:tr>
        <w:trPr>
          <w:trHeight w:val="229"/>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Subsidiaries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5.4</w:t>
            </w:r>
          </w:p>
        </w:tc>
        <w:tc>
          <w:tcPr>
            <w:tcW w:w="734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5.6</w:t>
            </w:r>
          </w:p>
        </w:tc>
        <w:tc>
          <w:tcPr>
            <w:tcW w:w="7340" w:type="dxa"/>
            <w:vAlign w:val="bottom"/>
          </w:tcPr>
          <w:p>
            <w:pPr>
              <w:ind w:left="320"/>
              <w:spacing w:after="0"/>
              <w:rPr>
                <w:sz w:val="20"/>
                <w:szCs w:val="20"/>
                <w:color w:val="auto"/>
              </w:rPr>
            </w:pPr>
            <w:r>
              <w:rPr>
                <w:rFonts w:ascii="Arial" w:cs="Arial" w:eastAsia="Arial" w:hAnsi="Arial"/>
                <w:sz w:val="18"/>
                <w:szCs w:val="18"/>
                <w:color w:val="auto"/>
              </w:rPr>
              <w:t>Compliance; Approvals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SEC Reports and Financial Statements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5.8</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5.10</w:t>
            </w:r>
          </w:p>
        </w:tc>
        <w:tc>
          <w:tcPr>
            <w:tcW w:w="7340" w:type="dxa"/>
            <w:vAlign w:val="bottom"/>
          </w:tcPr>
          <w:p>
            <w:pPr>
              <w:ind w:left="320"/>
              <w:spacing w:after="0"/>
              <w:rPr>
                <w:sz w:val="20"/>
                <w:szCs w:val="20"/>
                <w:color w:val="auto"/>
              </w:rPr>
            </w:pPr>
            <w:r>
              <w:rPr>
                <w:rFonts w:ascii="Arial" w:cs="Arial" w:eastAsia="Arial" w:hAnsi="Arial"/>
                <w:sz w:val="18"/>
                <w:szCs w:val="18"/>
                <w:color w:val="auto"/>
              </w:rPr>
              <w:t>Business Activities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Material Contracts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Listing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Amount</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5.14</w:t>
            </w:r>
          </w:p>
        </w:tc>
        <w:tc>
          <w:tcPr>
            <w:tcW w:w="7340" w:type="dxa"/>
            <w:vAlign w:val="bottom"/>
          </w:tcPr>
          <w:p>
            <w:pPr>
              <w:ind w:left="32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5.16</w:t>
            </w:r>
          </w:p>
        </w:tc>
        <w:tc>
          <w:tcPr>
            <w:tcW w:w="7340" w:type="dxa"/>
            <w:vAlign w:val="bottom"/>
          </w:tcPr>
          <w:p>
            <w:pPr>
              <w:ind w:left="320"/>
              <w:spacing w:after="0"/>
              <w:rPr>
                <w:sz w:val="20"/>
                <w:szCs w:val="20"/>
                <w:color w:val="auto"/>
              </w:rPr>
            </w:pPr>
            <w:r>
              <w:rPr>
                <w:rFonts w:ascii="Arial" w:cs="Arial" w:eastAsia="Arial" w:hAnsi="Arial"/>
                <w:sz w:val="18"/>
                <w:szCs w:val="18"/>
                <w:color w:val="auto"/>
              </w:rPr>
              <w:t>Information Supplied</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Benefit Plans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5.18</w:t>
            </w:r>
          </w:p>
        </w:tc>
        <w:tc>
          <w:tcPr>
            <w:tcW w:w="7340" w:type="dxa"/>
            <w:vAlign w:val="bottom"/>
          </w:tcPr>
          <w:p>
            <w:pPr>
              <w:ind w:left="320"/>
              <w:spacing w:after="0"/>
              <w:rPr>
                <w:sz w:val="20"/>
                <w:szCs w:val="20"/>
                <w:color w:val="auto"/>
              </w:rPr>
            </w:pPr>
            <w:r>
              <w:rPr>
                <w:rFonts w:ascii="Arial" w:cs="Arial" w:eastAsia="Arial" w:hAnsi="Arial"/>
                <w:sz w:val="18"/>
                <w:szCs w:val="18"/>
                <w:color w:val="auto"/>
              </w:rPr>
              <w:t>Board Approval; Stockholder Vote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Title to Assets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5.20</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Transactions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5.22</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 CONDUCT PRIOR TO THE CLOSING DATE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Conduct of Business by the Company and the Company Subsidiaries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7340" w:type="dxa"/>
            <w:vAlign w:val="bottom"/>
          </w:tcPr>
          <w:p>
            <w:pPr>
              <w:ind w:left="320"/>
              <w:spacing w:after="0"/>
              <w:rPr>
                <w:sz w:val="20"/>
                <w:szCs w:val="20"/>
                <w:color w:val="auto"/>
              </w:rPr>
            </w:pPr>
            <w:r>
              <w:rPr>
                <w:rFonts w:ascii="Arial" w:cs="Arial" w:eastAsia="Arial" w:hAnsi="Arial"/>
                <w:sz w:val="18"/>
                <w:szCs w:val="18"/>
                <w:color w:val="auto"/>
              </w:rPr>
              <w:t>Conduct of Business by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40</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VII ADDITIONAL AGREEMENTS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Proxy Statement; Special Meeting</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364" w:right="3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7.2</w:t>
            </w:r>
          </w:p>
        </w:tc>
        <w:tc>
          <w:tcPr>
            <w:tcW w:w="7100" w:type="dxa"/>
            <w:vAlign w:val="bottom"/>
          </w:tcPr>
          <w:p>
            <w:pPr>
              <w:ind w:left="320"/>
              <w:spacing w:after="0"/>
              <w:rPr>
                <w:sz w:val="20"/>
                <w:szCs w:val="20"/>
                <w:color w:val="auto"/>
              </w:rPr>
            </w:pPr>
            <w:r>
              <w:rPr>
                <w:rFonts w:ascii="Arial" w:cs="Arial" w:eastAsia="Arial" w:hAnsi="Arial"/>
                <w:sz w:val="18"/>
                <w:szCs w:val="18"/>
                <w:color w:val="auto"/>
              </w:rPr>
              <w:t>Regulatory Approvals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Filings; Press 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7.4</w:t>
            </w:r>
          </w:p>
        </w:tc>
        <w:tc>
          <w:tcPr>
            <w:tcW w:w="7100" w:type="dxa"/>
            <w:vAlign w:val="bottom"/>
          </w:tcPr>
          <w:p>
            <w:pPr>
              <w:ind w:left="320"/>
              <w:spacing w:after="0"/>
              <w:rPr>
                <w:sz w:val="20"/>
                <w:szCs w:val="20"/>
                <w:color w:val="auto"/>
              </w:rPr>
            </w:pPr>
            <w:r>
              <w:rPr>
                <w:rFonts w:ascii="Arial" w:cs="Arial" w:eastAsia="Arial" w:hAnsi="Arial"/>
                <w:sz w:val="18"/>
                <w:szCs w:val="18"/>
                <w:color w:val="auto"/>
              </w:rPr>
              <w:t>Confidentiality; Access to Information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45</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Reasonable Best Efforts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7.6</w:t>
            </w:r>
          </w:p>
        </w:tc>
        <w:tc>
          <w:tcPr>
            <w:tcW w:w="7100" w:type="dxa"/>
            <w:vAlign w:val="bottom"/>
          </w:tcPr>
          <w:p>
            <w:pPr>
              <w:ind w:left="320"/>
              <w:spacing w:after="0"/>
              <w:rPr>
                <w:sz w:val="20"/>
                <w:szCs w:val="20"/>
                <w:color w:val="auto"/>
              </w:rPr>
            </w:pPr>
            <w:r>
              <w:rPr>
                <w:rFonts w:ascii="Arial" w:cs="Arial" w:eastAsia="Arial" w:hAnsi="Arial"/>
                <w:sz w:val="18"/>
                <w:szCs w:val="18"/>
                <w:color w:val="auto"/>
              </w:rPr>
              <w:t>No Parent Securities Transactions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Claim Against 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7.8</w:t>
            </w:r>
          </w:p>
        </w:tc>
        <w:tc>
          <w:tcPr>
            <w:tcW w:w="7100" w:type="dxa"/>
            <w:vAlign w:val="bottom"/>
          </w:tcPr>
          <w:p>
            <w:pPr>
              <w:ind w:left="320"/>
              <w:spacing w:after="0"/>
              <w:rPr>
                <w:sz w:val="20"/>
                <w:szCs w:val="20"/>
                <w:color w:val="auto"/>
              </w:rPr>
            </w:pPr>
            <w:r>
              <w:rPr>
                <w:rFonts w:ascii="Arial" w:cs="Arial" w:eastAsia="Arial" w:hAnsi="Arial"/>
                <w:sz w:val="18"/>
                <w:szCs w:val="18"/>
                <w:color w:val="auto"/>
              </w:rPr>
              <w:t>Disclosure of Certain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Listing</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7.10</w:t>
            </w:r>
          </w:p>
        </w:tc>
        <w:tc>
          <w:tcPr>
            <w:tcW w:w="710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7.12</w:t>
            </w:r>
          </w:p>
        </w:tc>
        <w:tc>
          <w:tcPr>
            <w:tcW w:w="7100" w:type="dxa"/>
            <w:vAlign w:val="bottom"/>
          </w:tcPr>
          <w:p>
            <w:pPr>
              <w:ind w:left="320"/>
              <w:spacing w:after="0"/>
              <w:rPr>
                <w:sz w:val="20"/>
                <w:szCs w:val="20"/>
                <w:color w:val="auto"/>
              </w:rPr>
            </w:pPr>
            <w:r>
              <w:rPr>
                <w:rFonts w:ascii="Arial" w:cs="Arial" w:eastAsia="Arial" w:hAnsi="Arial"/>
                <w:sz w:val="18"/>
                <w:szCs w:val="18"/>
                <w:color w:val="auto"/>
              </w:rPr>
              <w:t>Directors’ and Officers’ Liability Insurance</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[Intentionally Left Blank]</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7.14</w:t>
            </w:r>
          </w:p>
        </w:tc>
        <w:tc>
          <w:tcPr>
            <w:tcW w:w="71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Agreements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7.16</w:t>
            </w:r>
          </w:p>
        </w:tc>
        <w:tc>
          <w:tcPr>
            <w:tcW w:w="71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7.18</w:t>
            </w:r>
          </w:p>
        </w:tc>
        <w:tc>
          <w:tcPr>
            <w:tcW w:w="7100" w:type="dxa"/>
            <w:vAlign w:val="bottom"/>
          </w:tcPr>
          <w:p>
            <w:pPr>
              <w:ind w:left="320"/>
              <w:spacing w:after="0"/>
              <w:rPr>
                <w:sz w:val="20"/>
                <w:szCs w:val="20"/>
                <w:color w:val="auto"/>
              </w:rPr>
            </w:pPr>
            <w:r>
              <w:rPr>
                <w:rFonts w:ascii="Arial" w:cs="Arial" w:eastAsia="Arial" w:hAnsi="Arial"/>
                <w:sz w:val="18"/>
                <w:szCs w:val="18"/>
                <w:color w:val="auto"/>
              </w:rPr>
              <w:t>LTIP and ESPP</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52</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VIII CONDITIONS TO THE TRANSACTION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8.1</w:t>
            </w:r>
          </w:p>
        </w:tc>
        <w:tc>
          <w:tcPr>
            <w:tcW w:w="7100" w:type="dxa"/>
            <w:vAlign w:val="bottom"/>
          </w:tcPr>
          <w:p>
            <w:pPr>
              <w:ind w:left="320"/>
              <w:spacing w:after="0"/>
              <w:rPr>
                <w:sz w:val="20"/>
                <w:szCs w:val="20"/>
                <w:color w:val="auto"/>
              </w:rPr>
            </w:pPr>
            <w:r>
              <w:rPr>
                <w:rFonts w:ascii="Arial" w:cs="Arial" w:eastAsia="Arial" w:hAnsi="Arial"/>
                <w:sz w:val="18"/>
                <w:szCs w:val="18"/>
                <w:color w:val="auto"/>
              </w:rPr>
              <w:t>Conditions to Obligations of Each Party’s Obligations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Conditions to Obligations of the Company</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8.3</w:t>
            </w:r>
          </w:p>
        </w:tc>
        <w:tc>
          <w:tcPr>
            <w:tcW w:w="7100" w:type="dxa"/>
            <w:vAlign w:val="bottom"/>
          </w:tcPr>
          <w:p>
            <w:pPr>
              <w:ind w:left="320"/>
              <w:spacing w:after="0"/>
              <w:rPr>
                <w:sz w:val="20"/>
                <w:szCs w:val="20"/>
                <w:color w:val="auto"/>
              </w:rPr>
            </w:pPr>
            <w:r>
              <w:rPr>
                <w:rFonts w:ascii="Arial" w:cs="Arial" w:eastAsia="Arial" w:hAnsi="Arial"/>
                <w:sz w:val="18"/>
                <w:szCs w:val="18"/>
                <w:color w:val="auto"/>
              </w:rPr>
              <w:t>Additional Conditions to the Obligations of Parent and Merger Sub</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54</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IX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9.1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9.2</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 of Termination; Effect of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X NO SURVIVAL</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10.1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Survival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XI GENERAL PROVISIONS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11.1</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11.3</w:t>
            </w:r>
          </w:p>
        </w:tc>
        <w:tc>
          <w:tcPr>
            <w:tcW w:w="7100" w:type="dxa"/>
            <w:vAlign w:val="bottom"/>
          </w:tcPr>
          <w:p>
            <w:pPr>
              <w:ind w:left="320"/>
              <w:spacing w:after="0"/>
              <w:rPr>
                <w:sz w:val="20"/>
                <w:szCs w:val="20"/>
                <w:color w:val="auto"/>
              </w:rPr>
            </w:pPr>
            <w:r>
              <w:rPr>
                <w:rFonts w:ascii="Arial" w:cs="Arial" w:eastAsia="Arial" w:hAnsi="Arial"/>
                <w:sz w:val="18"/>
                <w:szCs w:val="18"/>
                <w:color w:val="auto"/>
              </w:rPr>
              <w:t>Counterparts; Electronic Delivery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11.4</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 Third Party Beneficiaries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11.5</w:t>
            </w:r>
          </w:p>
        </w:tc>
        <w:tc>
          <w:tcPr>
            <w:tcW w:w="71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11.6</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Remedies; Specific Performance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11.7</w:t>
            </w:r>
          </w:p>
        </w:tc>
        <w:tc>
          <w:tcPr>
            <w:tcW w:w="71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11.8</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to Jurisdiction; Waiver of Jury Trial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11.9</w:t>
            </w:r>
          </w:p>
        </w:tc>
        <w:tc>
          <w:tcPr>
            <w:tcW w:w="7100" w:type="dxa"/>
            <w:vAlign w:val="bottom"/>
          </w:tcPr>
          <w:p>
            <w:pPr>
              <w:ind w:left="320"/>
              <w:spacing w:after="0"/>
              <w:rPr>
                <w:sz w:val="20"/>
                <w:szCs w:val="20"/>
                <w:color w:val="auto"/>
              </w:rPr>
            </w:pPr>
            <w:r>
              <w:rPr>
                <w:rFonts w:ascii="Arial" w:cs="Arial" w:eastAsia="Arial" w:hAnsi="Arial"/>
                <w:sz w:val="18"/>
                <w:szCs w:val="18"/>
                <w:color w:val="auto"/>
              </w:rPr>
              <w:t>Rules of Construction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364" w:right="3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460" w:type="dxa"/>
            <w:vAlign w:val="bottom"/>
          </w:tcPr>
          <w:p>
            <w:pPr>
              <w:jc w:val="center"/>
              <w:ind w:left="1150"/>
              <w:spacing w:after="0"/>
              <w:rPr>
                <w:sz w:val="20"/>
                <w:szCs w:val="20"/>
                <w:color w:val="auto"/>
              </w:rPr>
            </w:pPr>
            <w:r>
              <w:rPr>
                <w:rFonts w:ascii="Arial" w:cs="Arial" w:eastAsia="Arial" w:hAnsi="Arial"/>
                <w:sz w:val="18"/>
                <w:szCs w:val="18"/>
                <w:b w:val="1"/>
                <w:bCs w:val="1"/>
                <w:color w:val="auto"/>
              </w:rPr>
              <w:t>CM LIFE SCIENCES, INC.</w:t>
            </w:r>
          </w:p>
        </w:tc>
        <w:tc>
          <w:tcPr>
            <w:tcW w:w="25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60" w:type="dxa"/>
            <w:vAlign w:val="bottom"/>
          </w:tcPr>
          <w:p>
            <w:pPr>
              <w:jc w:val="center"/>
              <w:ind w:left="1150"/>
              <w:spacing w:after="0"/>
              <w:rPr>
                <w:sz w:val="20"/>
                <w:szCs w:val="20"/>
                <w:color w:val="auto"/>
              </w:rPr>
            </w:pPr>
            <w:r>
              <w:rPr>
                <w:rFonts w:ascii="Arial" w:cs="Arial" w:eastAsia="Arial" w:hAnsi="Arial"/>
                <w:sz w:val="18"/>
                <w:szCs w:val="18"/>
                <w:b w:val="1"/>
                <w:bCs w:val="1"/>
                <w:color w:val="auto"/>
              </w:rPr>
              <w:t>NOTES TO FINANCIAL STATEMENTS</w:t>
            </w:r>
          </w:p>
        </w:tc>
        <w:tc>
          <w:tcPr>
            <w:tcW w:w="25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6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DECEMBER 31, 2020</w:t>
            </w:r>
          </w:p>
        </w:tc>
        <w:tc>
          <w:tcPr>
            <w:tcW w:w="25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11.10</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Section 11.11</w:t>
            </w:r>
          </w:p>
        </w:tc>
        <w:tc>
          <w:tcPr>
            <w:tcW w:w="746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2500" w:type="dxa"/>
            <w:vAlign w:val="bottom"/>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11.12</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11.13</w:t>
            </w:r>
          </w:p>
        </w:tc>
        <w:tc>
          <w:tcPr>
            <w:tcW w:w="7460" w:type="dxa"/>
            <w:vAlign w:val="bottom"/>
          </w:tcPr>
          <w:p>
            <w:pPr>
              <w:ind w:left="280"/>
              <w:spacing w:after="0"/>
              <w:rPr>
                <w:sz w:val="20"/>
                <w:szCs w:val="20"/>
                <w:color w:val="auto"/>
              </w:rPr>
            </w:pPr>
            <w:r>
              <w:rPr>
                <w:rFonts w:ascii="Arial" w:cs="Arial" w:eastAsia="Arial" w:hAnsi="Arial"/>
                <w:sz w:val="18"/>
                <w:szCs w:val="18"/>
                <w:color w:val="auto"/>
              </w:rPr>
              <w:t>Extension; Waiver</w:t>
            </w:r>
          </w:p>
        </w:tc>
        <w:tc>
          <w:tcPr>
            <w:tcW w:w="2500" w:type="dxa"/>
            <w:vAlign w:val="bottom"/>
          </w:tcPr>
          <w:p>
            <w:pPr>
              <w:ind w:left="152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11.14</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Recourse</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11.15</w:t>
            </w:r>
          </w:p>
        </w:tc>
        <w:tc>
          <w:tcPr>
            <w:tcW w:w="7460" w:type="dxa"/>
            <w:vAlign w:val="bottom"/>
          </w:tcPr>
          <w:p>
            <w:pPr>
              <w:ind w:left="280"/>
              <w:spacing w:after="0"/>
              <w:rPr>
                <w:sz w:val="20"/>
                <w:szCs w:val="20"/>
                <w:color w:val="auto"/>
              </w:rPr>
            </w:pPr>
            <w:r>
              <w:rPr>
                <w:rFonts w:ascii="Arial" w:cs="Arial" w:eastAsia="Arial" w:hAnsi="Arial"/>
                <w:sz w:val="18"/>
                <w:szCs w:val="18"/>
                <w:color w:val="auto"/>
              </w:rPr>
              <w:t>Legal Representation</w:t>
            </w:r>
          </w:p>
        </w:tc>
        <w:tc>
          <w:tcPr>
            <w:tcW w:w="2500" w:type="dxa"/>
            <w:vAlign w:val="bottom"/>
          </w:tcPr>
          <w:p>
            <w:pPr>
              <w:ind w:left="1520"/>
              <w:spacing w:after="0"/>
              <w:rPr>
                <w:sz w:val="20"/>
                <w:szCs w:val="20"/>
                <w:color w:val="auto"/>
              </w:rPr>
            </w:pPr>
            <w:r>
              <w:rPr>
                <w:rFonts w:ascii="Arial" w:cs="Arial" w:eastAsia="Arial" w:hAnsi="Arial"/>
                <w:sz w:val="18"/>
                <w:szCs w:val="18"/>
                <w:color w:val="auto"/>
              </w:rPr>
              <w:t>60</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11.16</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Disclosure Letters and Exhibits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61</w:t>
            </w:r>
          </w:p>
        </w:tc>
      </w:tr>
      <w:tr>
        <w:trPr>
          <w:trHeight w:val="283"/>
        </w:trPr>
        <w:tc>
          <w:tcPr>
            <w:tcW w:w="874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Schedule A Defined Terms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A-64</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A Form of Parent Amended and Restated Charter</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A-79</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B Form of Parent Amended and Restated Bylaws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A-85</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C Form of LTIP</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A-108</w:t>
            </w:r>
          </w:p>
        </w:tc>
      </w:tr>
      <w:tr>
        <w:trPr>
          <w:trHeight w:val="230"/>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D Form of Employee Stock Purchase Plan</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A-129</w:t>
            </w:r>
          </w:p>
        </w:tc>
      </w:tr>
      <w:tr>
        <w:trPr>
          <w:trHeight w:val="230"/>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E Form of Amended and Restated Registration Rights Agreement</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364" w:right="339" w:bottom="1440" w:gutter="0" w:footer="0" w:header="0"/>
        </w:sectPr>
      </w:pPr>
    </w:p>
    <w:bookmarkStart w:id="430" w:name="page431"/>
    <w:bookmarkEnd w:id="430"/>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February 9, 2021, by and among CM Life Sciences,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 Parent and Merger Sub shall individually be referred to herein as a “Party”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The term “Agreement”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Schedule A, together with the section and, if applicable, subsection in which the definition of each such term is located.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is a blank check company incorporated in Delaware for the purpose of effecting a merger, capital stock exchange, asset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stock purchase, reorganization or similar business combination with one or more businesses.</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of this Agreement and in accordance with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other applicable Legal Requirements (collectively, as applicable based on context, the “</w:t>
      </w:r>
      <w:r>
        <w:rPr>
          <w:rFonts w:ascii="Arial" w:cs="Arial" w:eastAsia="Arial" w:hAnsi="Arial"/>
          <w:sz w:val="18"/>
          <w:szCs w:val="18"/>
          <w:u w:val="single" w:color="auto"/>
          <w:color w:val="auto"/>
        </w:rPr>
        <w:t>Applicable Legal Requirements</w:t>
      </w:r>
      <w:r>
        <w:rPr>
          <w:rFonts w:ascii="Arial" w:cs="Arial" w:eastAsia="Arial" w:hAnsi="Arial"/>
          <w:sz w:val="18"/>
          <w:szCs w:val="18"/>
          <w:color w:val="auto"/>
        </w:rPr>
        <w:t>”), the Parties intend to enter into a business combination transaction by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being the surviving corporation of the Merger (the Company, in its capacity as the surviving corporation of the Merger, is sometimes referred to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(and for purposes of any applicable state or local tax Legal Requirements that follows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that this Agreement be, and hereby is, adopted as a “plan of reorganization” for the purposes of Section 368 of the Code and Treasury Regulations Section 1.368-2(g).</w:t>
      </w:r>
    </w:p>
    <w:p>
      <w:pPr>
        <w:spacing w:after="0" w:line="1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unanimously: (a) determined that it is in the best interests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following execution of this Agreement, the Company shall to seek to obtain and deliver to Parent as promptly as practicable,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no later than 24 hours following execution of this Agreement (the “</w:t>
      </w:r>
      <w:r>
        <w:rPr>
          <w:rFonts w:ascii="Arial" w:cs="Arial" w:eastAsia="Arial" w:hAnsi="Arial"/>
          <w:sz w:val="18"/>
          <w:szCs w:val="18"/>
          <w:u w:val="single" w:color="auto"/>
          <w:color w:val="auto"/>
        </w:rPr>
        <w:t>Company Stockholder Approval Deadline</w:t>
      </w:r>
      <w:r>
        <w:rPr>
          <w:rFonts w:ascii="Arial" w:cs="Arial" w:eastAsia="Arial" w:hAnsi="Arial"/>
          <w:sz w:val="18"/>
          <w:szCs w:val="18"/>
          <w:color w:val="auto"/>
        </w:rPr>
        <w:t>”): (a) a written consent of the stockholders of the Company (the “</w:t>
      </w:r>
      <w:r>
        <w:rPr>
          <w:rFonts w:ascii="Arial" w:cs="Arial" w:eastAsia="Arial" w:hAnsi="Arial"/>
          <w:sz w:val="18"/>
          <w:szCs w:val="18"/>
          <w:u w:val="single" w:color="auto"/>
          <w:color w:val="auto"/>
        </w:rPr>
        <w:t>Stockholder Consent and Joinder</w:t>
      </w:r>
      <w:r>
        <w:rPr>
          <w:rFonts w:ascii="Arial" w:cs="Arial" w:eastAsia="Arial" w:hAnsi="Arial"/>
          <w:sz w:val="18"/>
          <w:szCs w:val="18"/>
          <w:color w:val="auto"/>
        </w:rPr>
        <w:t>”), pursuant to which the requisite number of stockholders of the Company required to approve and adopt this Agreement, the Merger and the other Transactions under the Company Charter and the DGCL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w:t>
      </w:r>
      <w:r>
        <w:rPr>
          <w:rFonts w:ascii="Arial" w:cs="Arial" w:eastAsia="Arial" w:hAnsi="Arial"/>
          <w:sz w:val="18"/>
          <w:szCs w:val="18"/>
          <w:color w:val="auto"/>
        </w:rPr>
        <w:t>” and such consenting stockholders of the Company, the “Consenting Stockholders”) will so approve and adopt this Agreement, the Merger and the other Transaction and (b) a lock-up letter agreement (the “</w:t>
      </w:r>
      <w:r>
        <w:rPr>
          <w:rFonts w:ascii="Arial" w:cs="Arial" w:eastAsia="Arial" w:hAnsi="Arial"/>
          <w:sz w:val="18"/>
          <w:szCs w:val="18"/>
          <w:u w:val="single" w:color="auto"/>
          <w:color w:val="auto"/>
        </w:rPr>
        <w:t>Stockholder Lock-Up Agreement</w:t>
      </w:r>
      <w:r>
        <w:rPr>
          <w:rFonts w:ascii="Arial" w:cs="Arial" w:eastAsia="Arial" w:hAnsi="Arial"/>
          <w:sz w:val="18"/>
          <w:szCs w:val="18"/>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has unanimously: (a) determined that it is in the best interests of Parent and the stockholders of Parent,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resolution recommending the plan of merger set forth in this Agreement be adopted by the stockholders of Parent (the “</w:t>
      </w:r>
      <w:r>
        <w:rPr>
          <w:rFonts w:ascii="Arial" w:cs="Arial" w:eastAsia="Arial" w:hAnsi="Arial"/>
          <w:sz w:val="17"/>
          <w:szCs w:val="17"/>
          <w:u w:val="single" w:color="auto"/>
          <w:color w:val="auto"/>
        </w:rPr>
        <w:t>Parent Recommendation</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prior to the Closing, Parent shall: (a) subject to obtaining the approval of the Parent Stockholder Matters, adopt the Third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Certificate of Incorporation of Parent (the “</w:t>
      </w:r>
      <w:r>
        <w:rPr>
          <w:rFonts w:ascii="Arial" w:cs="Arial" w:eastAsia="Arial" w:hAnsi="Arial"/>
          <w:sz w:val="17"/>
          <w:szCs w:val="17"/>
          <w:u w:val="single" w:color="auto"/>
          <w:color w:val="auto"/>
        </w:rPr>
        <w:t>Parent A&amp;R Charter</w:t>
      </w:r>
      <w:r>
        <w:rPr>
          <w:rFonts w:ascii="Arial" w:cs="Arial" w:eastAsia="Arial" w:hAnsi="Arial"/>
          <w:sz w:val="17"/>
          <w:szCs w:val="17"/>
          <w:color w:val="auto"/>
        </w:rPr>
        <w:t>”) in the form attached hereto as Exhibit A; (b) amend and restate the existing bylaws of Parent (the “</w:t>
      </w:r>
      <w:r>
        <w:rPr>
          <w:rFonts w:ascii="Arial" w:cs="Arial" w:eastAsia="Arial" w:hAnsi="Arial"/>
          <w:sz w:val="17"/>
          <w:szCs w:val="17"/>
          <w:u w:val="single" w:color="auto"/>
          <w:color w:val="auto"/>
        </w:rPr>
        <w:t>Parent A&amp;R Bylaws</w:t>
      </w:r>
      <w:r>
        <w:rPr>
          <w:rFonts w:ascii="Arial" w:cs="Arial" w:eastAsia="Arial" w:hAnsi="Arial"/>
          <w:sz w:val="17"/>
          <w:szCs w:val="17"/>
          <w:color w:val="auto"/>
        </w:rPr>
        <w:t>”) in the form attached hereto as Exhibit B, (c) adopt an equity incentive plan in the form attached hereto as Exhibit C (as such form may be modified in accordance with Section 7.18) (the “</w:t>
      </w:r>
      <w:r>
        <w:rPr>
          <w:rFonts w:ascii="Arial" w:cs="Arial" w:eastAsia="Arial" w:hAnsi="Arial"/>
          <w:sz w:val="17"/>
          <w:szCs w:val="17"/>
          <w:u w:val="single" w:color="auto"/>
          <w:color w:val="auto"/>
        </w:rPr>
        <w:t>LTIP</w:t>
      </w:r>
      <w:r>
        <w:rPr>
          <w:rFonts w:ascii="Arial" w:cs="Arial" w:eastAsia="Arial" w:hAnsi="Arial"/>
          <w:sz w:val="17"/>
          <w:szCs w:val="17"/>
          <w:color w:val="auto"/>
        </w:rPr>
        <w:t>”) and (d) adopt an employee stock purchase plan in the form attached hereto as Exhibit D (as such form may be modified in accordance with Section 7.18) (the “</w:t>
      </w:r>
      <w:r>
        <w:rPr>
          <w:rFonts w:ascii="Arial" w:cs="Arial" w:eastAsia="Arial" w:hAnsi="Arial"/>
          <w:sz w:val="17"/>
          <w:szCs w:val="17"/>
          <w:u w:val="single" w:color="auto"/>
          <w:color w:val="auto"/>
        </w:rPr>
        <w:t>ESPP</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or about the date hereof, Parent has obtained commitments from the Equity Financing Investors for equity financing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Subscription Agreements, with such equity financings to be consummated immediately prior to the consummation of the Transactions.</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Merger, Parent and the Company Stockholders will enter into an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substantially in the form attached hereto as Exhibit 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promises and representations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CLOSING TRANSACTIONS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 Unless this Agreement shall have been terminated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the consummation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agree that the Closing signatures may be transmitted by email pdf files.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xml:space="preserve"> . Not more than two Business Days prior to the Closing, Parent shall deliver to the Company written notice (the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Documents</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At the Closing, Parent or Merger Sub, as applicable, shall deliver to the Company:</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certified copy of the Parent A&amp;R Charter and the Parent A&amp;R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ind w:left="1560" w:hanging="256"/>
        <w:spacing w:after="0"/>
        <w:tabs>
          <w:tab w:leader="none" w:pos="156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a copy of the A&amp;R Registration Rights Agreement, duly executed by Parent, Sponsor and the other existing parties thereto;</w:t>
      </w:r>
    </w:p>
    <w:p>
      <w:pPr>
        <w:spacing w:after="0" w:line="182" w:lineRule="exact"/>
        <w:rPr>
          <w:rFonts w:ascii="Arial" w:cs="Arial" w:eastAsia="Arial" w:hAnsi="Arial"/>
          <w:sz w:val="17"/>
          <w:szCs w:val="17"/>
          <w:color w:val="auto"/>
        </w:rPr>
      </w:pPr>
    </w:p>
    <w:p>
      <w:pPr>
        <w:ind w:left="660" w:firstLine="644"/>
        <w:spacing w:after="0" w:line="277" w:lineRule="auto"/>
        <w:tabs>
          <w:tab w:leader="none" w:pos="164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copies of resolutions and actions taken by Parent’s and Merger Sub’s board of directors and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29" w:lineRule="exact"/>
        <w:rPr>
          <w:rFonts w:ascii="Arial" w:cs="Arial" w:eastAsia="Arial" w:hAnsi="Arial"/>
          <w:sz w:val="18"/>
          <w:szCs w:val="18"/>
          <w:color w:val="auto"/>
        </w:rPr>
      </w:pPr>
    </w:p>
    <w:p>
      <w:pPr>
        <w:ind w:left="1560" w:hanging="256"/>
        <w:spacing w:after="0"/>
        <w:tabs>
          <w:tab w:leader="none" w:pos="15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Indemnification Agreements, duly executed by Parent;</w:t>
      </w:r>
    </w:p>
    <w:p>
      <w:pPr>
        <w:spacing w:after="0" w:line="171" w:lineRule="exact"/>
        <w:rPr>
          <w:rFonts w:ascii="Arial" w:cs="Arial" w:eastAsia="Arial" w:hAnsi="Arial"/>
          <w:sz w:val="18"/>
          <w:szCs w:val="18"/>
          <w:color w:val="auto"/>
        </w:rPr>
      </w:pPr>
    </w:p>
    <w:p>
      <w:pPr>
        <w:ind w:left="1600" w:hanging="296"/>
        <w:spacing w:after="0"/>
        <w:tabs>
          <w:tab w:leader="none" w:pos="160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Parent at or prior to the Closing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900" w:hanging="244"/>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At the Closing, the Company shall deliver to Parent:</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171" w:lineRule="exact"/>
        <w:rPr>
          <w:rFonts w:ascii="Arial" w:cs="Arial" w:eastAsia="Arial" w:hAnsi="Arial"/>
          <w:sz w:val="18"/>
          <w:szCs w:val="18"/>
          <w:color w:val="auto"/>
        </w:rPr>
      </w:pPr>
    </w:p>
    <w:p>
      <w:pPr>
        <w:ind w:left="1560" w:hanging="256"/>
        <w:spacing w:after="0"/>
        <w:tabs>
          <w:tab w:leader="none" w:pos="15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copy of the A&amp;R Registration Rights Agreement, duly executed by the Consenting Stockholders;</w:t>
      </w:r>
    </w:p>
    <w:p>
      <w:pPr>
        <w:spacing w:after="0" w:line="171" w:lineRule="exact"/>
        <w:rPr>
          <w:rFonts w:ascii="Arial" w:cs="Arial" w:eastAsia="Arial" w:hAnsi="Arial"/>
          <w:sz w:val="18"/>
          <w:szCs w:val="18"/>
          <w:color w:val="auto"/>
        </w:rPr>
      </w:pPr>
    </w:p>
    <w:p>
      <w:pPr>
        <w:ind w:left="1620" w:hanging="316"/>
        <w:spacing w:after="0"/>
        <w:tabs>
          <w:tab w:leader="none" w:pos="16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copy of the Sponsor Agreement, duly executed by the Company;</w:t>
      </w:r>
    </w:p>
    <w:p>
      <w:pPr>
        <w:spacing w:after="0" w:line="171" w:lineRule="exact"/>
        <w:rPr>
          <w:rFonts w:ascii="Arial" w:cs="Arial" w:eastAsia="Arial" w:hAnsi="Arial"/>
          <w:sz w:val="18"/>
          <w:szCs w:val="18"/>
          <w:color w:val="auto"/>
        </w:rPr>
      </w:pPr>
    </w:p>
    <w:p>
      <w:pPr>
        <w:ind w:left="660" w:firstLine="644"/>
        <w:spacing w:after="0" w:line="277" w:lineRule="auto"/>
        <w:tabs>
          <w:tab w:leader="none" w:pos="162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copies of resolutions and actions taken by the Company’s board of directors and the Company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70" w:lineRule="auto"/>
        <w:tabs>
          <w:tab w:leader="none" w:pos="159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and (E) each Company Stockholder’s Earn-Out Pro Rata Share of the Earn-Out Shares to be issued upon the occurrence of each Triggering Event in accordance with Article III, based on the Earn-Out Total Outstanding Shares and Earn-Out RSUs as of the Closing; and</w:t>
      </w:r>
    </w:p>
    <w:p>
      <w:pPr>
        <w:spacing w:after="0" w:line="126" w:lineRule="exact"/>
        <w:rPr>
          <w:rFonts w:ascii="Arial" w:cs="Arial" w:eastAsia="Arial" w:hAnsi="Arial"/>
          <w:sz w:val="17"/>
          <w:szCs w:val="17"/>
          <w:color w:val="auto"/>
        </w:rPr>
      </w:pPr>
    </w:p>
    <w:p>
      <w:pPr>
        <w:ind w:left="1600" w:hanging="296"/>
        <w:spacing w:after="0"/>
        <w:tabs>
          <w:tab w:leader="none" w:pos="16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all other documents, instruments or certificates required to be delivered by the Company at or prior to the Closing pursuant to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8.3.</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16" w:lineRule="exact"/>
        <w:rPr>
          <w:sz w:val="20"/>
          <w:szCs w:val="20"/>
          <w:color w:val="auto"/>
        </w:rPr>
      </w:pPr>
    </w:p>
    <w:p>
      <w:pPr>
        <w:ind w:firstLine="656"/>
        <w:spacing w:after="0" w:line="277" w:lineRule="auto"/>
        <w:tabs>
          <w:tab w:leader="none" w:pos="93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Parent shall make any payments in the aggregate amount of cash proceeds that will be required to satisfy any exercise of the Parent Stockholder Redemptions.</w:t>
      </w:r>
    </w:p>
    <w:p>
      <w:pPr>
        <w:spacing w:after="0" w:line="116"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Parent shall pay, or cause to be paid, all Parent Transaction Costs and Company Transaction Costs to the applicable payees, to the extent not paid prior to the Closing.</w:t>
      </w:r>
    </w:p>
    <w:p>
      <w:pPr>
        <w:spacing w:after="0" w:line="116"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certificate of merger with respect to the Merger shall be prepared and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ind w:left="920" w:hanging="264"/>
        <w:spacing w:after="0"/>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Parent shall contribute to the Company an amount equal to or greater than the Company’s Required Funds.</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Parent shall deposit (or cause to be deposited) with the Exchange Agent the Closing Cash Payment Amount and the Closing Number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3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Document</w:t>
      </w:r>
      <w:r>
        <w:rPr>
          <w:rFonts w:ascii="Arial" w:cs="Arial" w:eastAsia="Arial" w:hAnsi="Arial"/>
          <w:sz w:val="16"/>
          <w:szCs w:val="16"/>
          <w:color w:val="auto"/>
        </w:rPr>
        <w:t>s. Subject to Section 7.12,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Directors and Officers of the Surviving Corporation</w:t>
      </w:r>
      <w:r>
        <w:rPr>
          <w:rFonts w:ascii="Arial" w:cs="Arial" w:eastAsia="Arial" w:hAnsi="Arial"/>
          <w:sz w:val="17"/>
          <w:szCs w:val="17"/>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Upon the terms and subject to the conditions of this Agreement, the aggregate consideration to be paid to the Company Stockholders shall be:</w:t>
      </w:r>
    </w:p>
    <w:p>
      <w:pPr>
        <w:spacing w:after="0" w:line="46" w:lineRule="exact"/>
        <w:rPr>
          <w:rFonts w:ascii="Arial" w:cs="Arial" w:eastAsia="Arial" w:hAnsi="Arial"/>
          <w:sz w:val="16"/>
          <w:szCs w:val="16"/>
          <w:color w:val="auto"/>
        </w:rPr>
      </w:pPr>
    </w:p>
    <w:p>
      <w:pPr>
        <w:ind w:firstLine="8"/>
        <w:spacing w:after="0" w:line="260" w:lineRule="auto"/>
        <w:tabs>
          <w:tab w:leader="none" w:pos="23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Closing Merger Consideration; and (ii) the contingent right to receive the Earn-Out Shares following the Closing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firstLine="656"/>
        <w:spacing w:after="0" w:line="277" w:lineRule="auto"/>
        <w:tabs>
          <w:tab w:leader="none" w:pos="92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Closing Merger Consideration shall be paid or issued, as applicable, in the form of: (i) an amount in cash equal to the Closing Cash Payment Amount; and (ii) the Closing Number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Company Common Stock and Company Preferred Stoc</w:t>
      </w:r>
      <w:r>
        <w:rPr>
          <w:rFonts w:ascii="Arial" w:cs="Arial" w:eastAsia="Arial" w:hAnsi="Arial"/>
          <w:sz w:val="18"/>
          <w:szCs w:val="18"/>
          <w:color w:val="auto"/>
        </w:rPr>
        <w:t>k.</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92" w:lineRule="exact"/>
        <w:rPr>
          <w:sz w:val="20"/>
          <w:szCs w:val="20"/>
          <w:color w:val="auto"/>
        </w:rPr>
      </w:pPr>
    </w:p>
    <w:p>
      <w:pPr>
        <w:jc w:val="both"/>
        <w:ind w:firstLine="332"/>
        <w:spacing w:after="0" w:line="263" w:lineRule="auto"/>
        <w:tabs>
          <w:tab w:leader="none" w:pos="57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share of Class B Common Stock issued and outstanding immediately prior to the Effective Time will be converted into 1/100th of a share of Class A Common Stock in accordance with the Company Organizational Documents. Immediately thereafter, each share of Company Common Stock and Company Preferred Stock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70" w:lineRule="exact"/>
        <w:rPr>
          <w:sz w:val="20"/>
          <w:szCs w:val="20"/>
          <w:color w:val="auto"/>
        </w:rPr>
      </w:pPr>
    </w:p>
    <w:p>
      <w:pPr>
        <w:jc w:val="both"/>
        <w:ind w:left="660" w:firstLine="644"/>
        <w:spacing w:after="0" w:line="257" w:lineRule="auto"/>
        <w:tabs>
          <w:tab w:leader="none" w:pos="153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Arial" w:cs="Arial" w:eastAsia="Arial" w:hAnsi="Arial"/>
          <w:sz w:val="18"/>
          <w:szCs w:val="18"/>
          <w:u w:val="single" w:color="auto"/>
          <w:color w:val="auto"/>
        </w:rPr>
        <w:t>Stockholder Cash 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Company Stockholder’s Stockholder Cash Payment Amount exceed an amount equal to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w:t>
      </w:r>
    </w:p>
    <w:p>
      <w:pPr>
        <w:spacing w:after="0" w:line="133" w:lineRule="exact"/>
        <w:rPr>
          <w:rFonts w:ascii="Arial" w:cs="Arial" w:eastAsia="Arial" w:hAnsi="Arial"/>
          <w:sz w:val="18"/>
          <w:szCs w:val="18"/>
          <w:color w:val="auto"/>
        </w:rPr>
      </w:pPr>
    </w:p>
    <w:p>
      <w:pPr>
        <w:jc w:val="both"/>
        <w:ind w:left="660" w:right="20" w:firstLine="644"/>
        <w:spacing w:after="0" w:line="263" w:lineRule="auto"/>
        <w:tabs>
          <w:tab w:leader="none" w:pos="158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 number of shares of Parent Class A Stock equal to the quotient of: (A) (1)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such Company Stockholder’s Stockholder Cash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 and</w:t>
      </w:r>
    </w:p>
    <w:p>
      <w:pPr>
        <w:spacing w:after="0" w:line="129" w:lineRule="exact"/>
        <w:rPr>
          <w:rFonts w:ascii="Arial" w:cs="Arial" w:eastAsia="Arial" w:hAnsi="Arial"/>
          <w:sz w:val="18"/>
          <w:szCs w:val="18"/>
          <w:color w:val="auto"/>
        </w:rPr>
      </w:pPr>
    </w:p>
    <w:p>
      <w:pPr>
        <w:ind w:left="1620" w:hanging="316"/>
        <w:spacing w:after="0"/>
        <w:tabs>
          <w:tab w:leader="none" w:pos="16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its Earn-Out Pro Rata Share of any Earn-Out Shares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2.7(e)</w:t>
      </w:r>
      <w:r>
        <w:rPr>
          <w:rFonts w:ascii="Arial" w:cs="Arial" w:eastAsia="Arial" w:hAnsi="Arial"/>
          <w:sz w:val="18"/>
          <w:szCs w:val="18"/>
          <w:color w:val="auto"/>
        </w:rPr>
        <w: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case, without interest, upon surrender of stock certificates representing all of such Company Stockholder’s Company Common Stock and Company Preferred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and delivery of the other documents required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34" w:lineRule="exact"/>
        <w:rPr>
          <w:sz w:val="20"/>
          <w:szCs w:val="20"/>
          <w:color w:val="auto"/>
        </w:rPr>
      </w:pPr>
    </w:p>
    <w:p>
      <w:pPr>
        <w:ind w:right="20" w:firstLine="656"/>
        <w:spacing w:after="0" w:line="308" w:lineRule="auto"/>
        <w:tabs>
          <w:tab w:leader="none" w:pos="92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92"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share of Company Common Stock and Company Preferred Stock held in the Company’s treasury or owned by Parent, Merger Sub or the Company immediately prior to the Effective Time (each an “</w:t>
      </w:r>
      <w:r>
        <w:rPr>
          <w:rFonts w:ascii="Arial" w:cs="Arial" w:eastAsia="Arial" w:hAnsi="Arial"/>
          <w:sz w:val="18"/>
          <w:szCs w:val="18"/>
          <w:u w:val="single" w:color="auto"/>
          <w:color w:val="auto"/>
        </w:rPr>
        <w:t>Excluded Share</w:t>
      </w:r>
      <w:r>
        <w:rPr>
          <w:rFonts w:ascii="Arial" w:cs="Arial" w:eastAsia="Arial" w:hAnsi="Arial"/>
          <w:sz w:val="18"/>
          <w:szCs w:val="18"/>
          <w:color w:val="auto"/>
        </w:rPr>
        <w:t>”), shall be cancelled and no consideration shall be paid or payable with respect thereto.</w:t>
      </w:r>
    </w:p>
    <w:p>
      <w:pPr>
        <w:spacing w:after="0" w:line="129" w:lineRule="exact"/>
        <w:rPr>
          <w:rFonts w:ascii="Arial" w:cs="Arial" w:eastAsia="Arial" w:hAnsi="Arial"/>
          <w:sz w:val="18"/>
          <w:szCs w:val="18"/>
          <w:color w:val="auto"/>
        </w:rPr>
      </w:pPr>
    </w:p>
    <w:p>
      <w:pPr>
        <w:jc w:val="both"/>
        <w:ind w:firstLine="656"/>
        <w:spacing w:after="0" w:line="296" w:lineRule="auto"/>
        <w:tabs>
          <w:tab w:leader="none" w:pos="89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Surrender of Company Certificates and Disbursement of Closing Consideration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90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Subject to this Section 2.8, at the Effective Time, Parent shall deliver, or cause to be delivered to each Company Stockholder portion of the Total Consideration to which such Company Stockholder is entitled pursuant to clauses (i) and (ii) of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ind w:firstLine="656"/>
        <w:spacing w:after="0" w:line="257" w:lineRule="auto"/>
        <w:tabs>
          <w:tab w:leader="none" w:pos="9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Prior to the Effective Time, unless otherwise agreed by the Parties, Parent shall appoint a commercial bank or trust company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33" w:lineRule="exact"/>
        <w:rPr>
          <w:rFonts w:ascii="Arial" w:cs="Arial" w:eastAsia="Arial" w:hAnsi="Arial"/>
          <w:sz w:val="18"/>
          <w:szCs w:val="18"/>
          <w:color w:val="auto"/>
        </w:rPr>
      </w:pPr>
    </w:p>
    <w:p>
      <w:pPr>
        <w:jc w:val="both"/>
        <w:ind w:firstLine="656"/>
        <w:spacing w:after="0" w:line="301" w:lineRule="auto"/>
        <w:tabs>
          <w:tab w:leader="none" w:pos="88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“Exchange Fund”. At the Effective Time, Parent shall deliver irrevocable instructions to the Exchange Agent to deliver the Closing Consideration out of the Exchange Fund in the manner it is contemplated to be issued or paid pursuant to this Article II.</w:t>
      </w:r>
    </w:p>
    <w:p>
      <w:pPr>
        <w:spacing w:after="0" w:line="103" w:lineRule="exact"/>
        <w:rPr>
          <w:rFonts w:ascii="Arial" w:cs="Arial" w:eastAsia="Arial" w:hAnsi="Arial"/>
          <w:sz w:val="16"/>
          <w:szCs w:val="16"/>
          <w:color w:val="auto"/>
        </w:rPr>
      </w:pPr>
    </w:p>
    <w:p>
      <w:pPr>
        <w:jc w:val="both"/>
        <w:ind w:firstLine="656"/>
        <w:spacing w:after="0" w:line="284" w:lineRule="auto"/>
        <w:tabs>
          <w:tab w:leader="none" w:pos="91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338" w:lineRule="exact"/>
        <w:rPr>
          <w:rFonts w:ascii="Arial" w:cs="Arial" w:eastAsia="Arial" w:hAnsi="Arial"/>
          <w:sz w:val="16"/>
          <w:szCs w:val="16"/>
          <w:color w:val="auto"/>
        </w:rPr>
      </w:pPr>
    </w:p>
    <w:p>
      <w:pPr>
        <w:jc w:val="both"/>
        <w:ind w:firstLine="656"/>
        <w:spacing w:after="0" w:line="301" w:lineRule="auto"/>
        <w:tabs>
          <w:tab w:leader="none" w:pos="89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the portion of the Total Consideration represented by such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ind w:firstLine="656"/>
        <w:spacing w:after="0" w:line="272" w:lineRule="auto"/>
        <w:tabs>
          <w:tab w:leader="none" w:pos="86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thereafter look only to the Surviving Corporation for payment of their respective portion of the Total Consideration (after giving effect to any required Tax withholdings as provided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upon due surrender of its Certificates (or affidavits of loss in lieu of the Certificates as provided in </w:t>
      </w:r>
      <w:r>
        <w:rPr>
          <w:rFonts w:ascii="Arial" w:cs="Arial" w:eastAsia="Arial" w:hAnsi="Arial"/>
          <w:sz w:val="17"/>
          <w:szCs w:val="17"/>
          <w:u w:val="single" w:color="auto"/>
          <w:color w:val="auto"/>
        </w:rPr>
        <w:t>Section 2.8(g)</w:t>
      </w:r>
      <w:r>
        <w:rPr>
          <w:rFonts w:ascii="Arial" w:cs="Arial" w:eastAsia="Arial" w:hAnsi="Arial"/>
          <w:sz w:val="17"/>
          <w:szCs w:val="17"/>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Tax Treatment of the Merger</w:t>
      </w:r>
      <w:r>
        <w:rPr>
          <w:rFonts w:ascii="Arial" w:cs="Arial" w:eastAsia="Arial" w:hAnsi="Arial"/>
          <w:sz w:val="17"/>
          <w:szCs w:val="17"/>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Effect on Company Options,Company RSUs and Company SARs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5" w:lineRule="auto"/>
        <w:tabs>
          <w:tab w:leader="none" w:pos="9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Arial" w:cs="Arial" w:eastAsia="Arial" w:hAnsi="Arial"/>
          <w:sz w:val="18"/>
          <w:szCs w:val="18"/>
          <w:u w:val="single" w:color="auto"/>
          <w:color w:val="auto"/>
        </w:rPr>
        <w:t>Parent Option</w:t>
      </w:r>
      <w:r>
        <w:rPr>
          <w:rFonts w:ascii="Arial" w:cs="Arial" w:eastAsia="Arial" w:hAnsi="Arial"/>
          <w:sz w:val="18"/>
          <w:szCs w:val="18"/>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the Option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applicable to such Company Option, and (b) the exercise price per share for each such Parent Option shall be equal to the exercise price per share of such Company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Option Exchange Ratio applicable to such Company Option (the exercise price per share, as so determined, being rounded up to the nearest full 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34" w:lineRule="exact"/>
        <w:rPr>
          <w:sz w:val="20"/>
          <w:szCs w:val="20"/>
          <w:color w:val="auto"/>
        </w:rPr>
      </w:pPr>
    </w:p>
    <w:p>
      <w:pPr>
        <w:jc w:val="both"/>
        <w:ind w:firstLine="656"/>
        <w:spacing w:after="0" w:line="272" w:lineRule="auto"/>
        <w:tabs>
          <w:tab w:leader="none" w:pos="932"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Arial" w:cs="Arial" w:eastAsia="Arial" w:hAnsi="Arial"/>
          <w:sz w:val="17"/>
          <w:szCs w:val="17"/>
          <w:u w:val="single" w:color="auto"/>
          <w:color w:val="auto"/>
        </w:rPr>
        <w:t>Parent RSU</w:t>
      </w:r>
      <w:r>
        <w:rPr>
          <w:rFonts w:ascii="Arial" w:cs="Arial" w:eastAsia="Arial" w:hAnsi="Arial"/>
          <w:sz w:val="17"/>
          <w:szCs w:val="17"/>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RSU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RSUs will be made in a manner consistent with the requirements of Section 409A of the Code and the applicable regulations promulgated thereunder.</w:t>
      </w:r>
    </w:p>
    <w:p>
      <w:pPr>
        <w:spacing w:after="0" w:line="123" w:lineRule="exact"/>
        <w:rPr>
          <w:rFonts w:ascii="Arial" w:cs="Arial" w:eastAsia="Arial" w:hAnsi="Arial"/>
          <w:sz w:val="17"/>
          <w:szCs w:val="17"/>
          <w:color w:val="auto"/>
        </w:rPr>
      </w:pPr>
    </w:p>
    <w:p>
      <w:pPr>
        <w:jc w:val="both"/>
        <w:ind w:firstLine="656"/>
        <w:spacing w:after="0" w:line="269" w:lineRule="auto"/>
        <w:tabs>
          <w:tab w:leader="none" w:pos="893"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not apply to any Company SAR that is deemed by the Company to be exercised in connection with the Closing.</w:t>
      </w:r>
    </w:p>
    <w:p>
      <w:pPr>
        <w:spacing w:after="0" w:line="127" w:lineRule="exact"/>
        <w:rPr>
          <w:rFonts w:ascii="Arial" w:cs="Arial" w:eastAsia="Arial" w:hAnsi="Arial"/>
          <w:sz w:val="17"/>
          <w:szCs w:val="17"/>
          <w:color w:val="auto"/>
        </w:rPr>
      </w:pPr>
    </w:p>
    <w:p>
      <w:pPr>
        <w:jc w:val="both"/>
        <w:ind w:firstLine="656"/>
        <w:spacing w:after="0" w:line="286" w:lineRule="auto"/>
        <w:tabs>
          <w:tab w:leader="none" w:pos="91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Company RSUs and Company SARs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jc w:val="both"/>
        <w:ind w:firstLine="8"/>
        <w:spacing w:after="0" w:line="252" w:lineRule="auto"/>
        <w:tabs>
          <w:tab w:leader="none" w:pos="23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56"/>
        <w:spacing w:after="0" w:line="255" w:lineRule="auto"/>
        <w:tabs>
          <w:tab w:leader="none" w:pos="91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Parent shall take all actions that are necessary for the assumption and conversion of the Company Options, Company RSUs and Company SARs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such registration of the shares of Parent Class A Common Stock issuable thereunder continues to be required.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EARN OUT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Issuance of Earn-Out Shares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1" w:lineRule="auto"/>
        <w:tabs>
          <w:tab w:leader="none" w:pos="93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Arial" w:cs="Arial" w:eastAsia="Arial" w:hAnsi="Arial"/>
          <w:sz w:val="17"/>
          <w:szCs w:val="17"/>
          <w:u w:val="single" w:color="auto"/>
          <w:color w:val="auto"/>
        </w:rPr>
        <w:t>Earn-Out Shares</w:t>
      </w:r>
      <w:r>
        <w:rPr>
          <w:rFonts w:ascii="Arial" w:cs="Arial" w:eastAsia="Arial" w:hAnsi="Arial"/>
          <w:sz w:val="17"/>
          <w:szCs w:val="17"/>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the applicable Earn-Out Award Agreement:</w:t>
      </w:r>
    </w:p>
    <w:p>
      <w:pPr>
        <w:spacing w:after="0" w:line="124" w:lineRule="exact"/>
        <w:rPr>
          <w:rFonts w:ascii="Arial" w:cs="Arial" w:eastAsia="Arial" w:hAnsi="Arial"/>
          <w:sz w:val="17"/>
          <w:szCs w:val="17"/>
          <w:color w:val="auto"/>
        </w:rPr>
      </w:pPr>
    </w:p>
    <w:p>
      <w:pPr>
        <w:ind w:left="660" w:firstLine="644"/>
        <w:spacing w:after="0" w:line="277" w:lineRule="auto"/>
        <w:tabs>
          <w:tab w:leader="none" w:pos="1528"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upon the occurrence of Triggering Event I, a one-time issuance of a number of Earn-Out Shares equal to 3.66% of the Earn-Out Total Outstanding Shares;</w:t>
      </w:r>
    </w:p>
    <w:p>
      <w:pPr>
        <w:spacing w:after="0" w:line="116" w:lineRule="exact"/>
        <w:rPr>
          <w:rFonts w:ascii="Arial" w:cs="Arial" w:eastAsia="Arial" w:hAnsi="Arial"/>
          <w:sz w:val="18"/>
          <w:szCs w:val="18"/>
          <w:color w:val="auto"/>
        </w:rPr>
      </w:pPr>
    </w:p>
    <w:p>
      <w:pPr>
        <w:ind w:left="660" w:firstLine="644"/>
        <w:spacing w:after="0" w:line="277" w:lineRule="auto"/>
        <w:tabs>
          <w:tab w:leader="none" w:pos="157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upon the occurrence of Triggering Event 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right="20" w:firstLine="644"/>
        <w:spacing w:after="0" w:line="277" w:lineRule="auto"/>
        <w:tabs>
          <w:tab w:leader="none" w:pos="163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upon the occurrence of Triggering Event III,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firstLine="644"/>
        <w:spacing w:after="0" w:line="277" w:lineRule="auto"/>
        <w:tabs>
          <w:tab w:leader="none" w:pos="16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upon the last day of any calendar year in which an Earn-Out Forfeiture occurs, a one-time issuance of a number of Earn-Out Shares equal to the Forfeiture Pool as in effect as of such date.</w:t>
      </w:r>
    </w:p>
    <w:p>
      <w:pPr>
        <w:spacing w:after="0" w:line="116"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applicable Earn-Out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Acceleration Event</w:t>
      </w:r>
      <w:r>
        <w:rPr>
          <w:rFonts w:ascii="Arial" w:cs="Arial" w:eastAsia="Arial" w:hAnsi="Arial"/>
          <w:sz w:val="17"/>
          <w:szCs w:val="17"/>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Arial" w:cs="Arial" w:eastAsia="Arial" w:hAnsi="Arial"/>
          <w:sz w:val="17"/>
          <w:szCs w:val="17"/>
          <w:u w:val="single" w:color="auto"/>
          <w:color w:val="auto"/>
        </w:rPr>
        <w:t>Acceleration Event</w:t>
      </w:r>
      <w:r>
        <w:rPr>
          <w:rFonts w:ascii="Arial" w:cs="Arial" w:eastAsia="Arial" w:hAnsi="Arial"/>
          <w:sz w:val="17"/>
          <w:szCs w:val="17"/>
          <w:color w:val="auto"/>
        </w:rPr>
        <w:t>”), then immediately prior to the consummation of such Change of Control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Tax Treatment of Earn-Out Shares</w:t>
      </w:r>
      <w:r>
        <w:rPr>
          <w:rFonts w:ascii="Arial" w:cs="Arial" w:eastAsia="Arial" w:hAnsi="Arial"/>
          <w:sz w:val="18"/>
          <w:szCs w:val="18"/>
          <w:color w:val="auto"/>
        </w:rPr>
        <w:t xml:space="preserve">. Any issuance of Earn-Out Shares to Company Stockholders, including any issuance of Earn-Out Shares made upon the occurrence of an Acceleration Event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Earn-Out Service Providers</w:t>
      </w:r>
      <w:r>
        <w:rPr>
          <w:rFonts w:ascii="Arial" w:cs="Arial" w:eastAsia="Arial" w:hAnsi="Arial"/>
          <w:sz w:val="16"/>
          <w:szCs w:val="16"/>
          <w:color w:val="auto"/>
        </w:rPr>
        <w:t>. The terms of the issuance of the Earn-Out Shares underlying an award of Earn-Out RSUs to the Earn-Out Service Providers shall be set forth in a written agreement between the Company and such Earn-Out Service Provider (each, an “</w:t>
      </w:r>
      <w:r>
        <w:rPr>
          <w:rFonts w:ascii="Arial" w:cs="Arial" w:eastAsia="Arial" w:hAnsi="Arial"/>
          <w:sz w:val="16"/>
          <w:szCs w:val="16"/>
          <w:u w:val="single" w:color="auto"/>
          <w:color w:val="auto"/>
        </w:rPr>
        <w:t>Earn Out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Arial" w:cs="Arial" w:eastAsia="Arial" w:hAnsi="Arial"/>
          <w:sz w:val="16"/>
          <w:szCs w:val="16"/>
          <w:u w:val="single" w:color="auto"/>
          <w:color w:val="auto"/>
        </w:rPr>
        <w:t>Earn-Out Forfeiture</w:t>
      </w:r>
      <w:r>
        <w:rPr>
          <w:rFonts w:ascii="Arial" w:cs="Arial" w:eastAsia="Arial" w:hAnsi="Arial"/>
          <w:sz w:val="16"/>
          <w:szCs w:val="16"/>
          <w:color w:val="auto"/>
        </w:rPr>
        <w:t>”), such Earn-Out Service Provider shall be deemed to have forfeited his or her right to receive the applicable Earn-Out Shares for no consideration. Any such Earn-Out Shares that are so forfeited shall accumulate in a “</w:t>
      </w:r>
      <w:r>
        <w:rPr>
          <w:rFonts w:ascii="Arial" w:cs="Arial" w:eastAsia="Arial" w:hAnsi="Arial"/>
          <w:sz w:val="16"/>
          <w:szCs w:val="16"/>
          <w:u w:val="single" w:color="auto"/>
          <w:color w:val="auto"/>
        </w:rPr>
        <w:t>Forfeiture Pool</w:t>
      </w:r>
      <w:r>
        <w:rPr>
          <w:rFonts w:ascii="Arial" w:cs="Arial" w:eastAsia="Arial" w:hAnsi="Arial"/>
          <w:sz w:val="16"/>
          <w:szCs w:val="16"/>
          <w:color w:val="auto"/>
        </w:rPr>
        <w:t xml:space="preserve">” and shall be issued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REGARDING THE COMPANY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letter dated as of the date of this Agreement delivered by the Company to Parent and Merger Sub prior to or in connection with the execution and delivery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hereby represents and warrants to Parent and Merger Sub as of the date hereof and as of the Closing Date as follows:</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Arial" w:cs="Arial" w:eastAsia="Arial" w:hAnsi="Arial"/>
          <w:sz w:val="18"/>
          <w:szCs w:val="18"/>
          <w:u w:val="single" w:color="auto"/>
          <w:color w:val="auto"/>
        </w:rPr>
        <w:t>Charter Documents</w:t>
      </w:r>
      <w:r>
        <w:rPr>
          <w:rFonts w:ascii="Arial" w:cs="Arial" w:eastAsia="Arial" w:hAnsi="Arial"/>
          <w:sz w:val="18"/>
          <w:szCs w:val="18"/>
          <w:color w:val="auto"/>
        </w:rPr>
        <w:t>”) of the Company as amended and currently in effect, have been made available to Parent or its representatives.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90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The Company’s direct and indirect Subsidiaries, together with their jurisdiction of incorporation or organization, as applicable, are listed on </w:t>
      </w:r>
      <w:r>
        <w:rPr>
          <w:rFonts w:ascii="Arial" w:cs="Arial" w:eastAsia="Arial" w:hAnsi="Arial"/>
          <w:sz w:val="17"/>
          <w:szCs w:val="17"/>
          <w:u w:val="single" w:color="auto"/>
          <w:color w:val="auto"/>
        </w:rPr>
        <w:t>Schedule 4.2(a)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23" w:lineRule="exact"/>
        <w:rPr>
          <w:rFonts w:ascii="Arial" w:cs="Arial" w:eastAsia="Arial" w:hAnsi="Arial"/>
          <w:sz w:val="17"/>
          <w:szCs w:val="17"/>
          <w:color w:val="auto"/>
        </w:rPr>
      </w:pPr>
    </w:p>
    <w:p>
      <w:pPr>
        <w:jc w:val="both"/>
        <w:ind w:firstLine="656"/>
        <w:spacing w:after="0" w:line="275" w:lineRule="auto"/>
        <w:tabs>
          <w:tab w:leader="none" w:pos="90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4.2(b)</w:t>
      </w:r>
      <w:r>
        <w:rPr>
          <w:rFonts w:ascii="Arial" w:cs="Arial" w:eastAsia="Arial" w:hAnsi="Arial"/>
          <w:sz w:val="17"/>
          <w:szCs w:val="17"/>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8" w:lineRule="auto"/>
        <w:tabs>
          <w:tab w:leader="none" w:pos="90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of which 447,373 shares are issued and outstanding as of the date of this Agreement; (iv) 522,267 shares of Series A-2 Preferred Stock, par value $0.00001, of the Company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of which 401,347 shares are issued and outstanding as of the date of this Agreement; (v) 338,663 shares of Series B Preferred Stock, par value $0.00001, of the Company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of which 338,663 shares are issued and outstanding as of the date of this Agreement; and (vi) 197,824 shares of Series C Preferred Stock, par value $0.00001, of the Company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A-1 Preferred Stock, Series A-2 Preferred Stock and Series B Preferred Stock,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of which 197,821 shares are issued and outstanding as of the date of this Agreement. All of the issued and outstanding shares of Company Common Stock and Company Preferred Stock have been duly authorized and validly issued and are fully paid and nonassessable and have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issued in violation of any preemptive or similar rights. Each share of Company Common Stock and Company Preferred Stock has been issued in compliance in all material respects with: (A) Applicable Legal Requirements; and (B) the Company’s Charter Documents.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Company Disclosure Letter contains a true and correct list of all Company Common Stock and Company Preferred Stock owned by each Company Stockholder, and the respective class(es) thereof.</w:t>
      </w:r>
    </w:p>
    <w:p>
      <w:pPr>
        <w:spacing w:after="0" w:line="133" w:lineRule="exact"/>
        <w:rPr>
          <w:sz w:val="20"/>
          <w:szCs w:val="20"/>
          <w:color w:val="auto"/>
        </w:rPr>
      </w:pPr>
    </w:p>
    <w:p>
      <w:pPr>
        <w:jc w:val="both"/>
        <w:ind w:firstLine="656"/>
        <w:spacing w:after="0" w:line="269" w:lineRule="auto"/>
        <w:tabs>
          <w:tab w:leader="none" w:pos="90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27" w:lineRule="exact"/>
        <w:rPr>
          <w:rFonts w:ascii="Arial" w:cs="Arial" w:eastAsia="Arial" w:hAnsi="Arial"/>
          <w:sz w:val="17"/>
          <w:szCs w:val="17"/>
          <w:color w:val="auto"/>
        </w:rPr>
      </w:pPr>
    </w:p>
    <w:p>
      <w:pPr>
        <w:jc w:val="both"/>
        <w:ind w:firstLine="656"/>
        <w:spacing w:after="0" w:line="286" w:lineRule="auto"/>
        <w:tabs>
          <w:tab w:leader="none" w:pos="89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Arial" w:cs="Arial" w:eastAsia="Arial" w:hAnsi="Arial"/>
          <w:sz w:val="16"/>
          <w:szCs w:val="16"/>
          <w:u w:val="single" w:color="auto"/>
          <w:color w:val="auto"/>
        </w:rPr>
        <w:t>Schedule 4.3(c)</w:t>
      </w:r>
      <w:r>
        <w:rPr>
          <w:rFonts w:ascii="Arial" w:cs="Arial" w:eastAsia="Arial" w:hAnsi="Arial"/>
          <w:sz w:val="16"/>
          <w:szCs w:val="16"/>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Letter and as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4.3(c)</w:t>
      </w:r>
      <w:r>
        <w:rPr>
          <w:rFonts w:ascii="Arial" w:cs="Arial" w:eastAsia="Arial" w:hAnsi="Arial"/>
          <w:sz w:val="16"/>
          <w:szCs w:val="16"/>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16"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Due Authorization</w:t>
      </w:r>
      <w:r>
        <w:rPr>
          <w:rFonts w:ascii="Arial" w:cs="Arial" w:eastAsia="Arial" w:hAnsi="Arial"/>
          <w:sz w:val="17"/>
          <w:szCs w:val="17"/>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Arial" w:cs="Arial" w:eastAsia="Arial" w:hAnsi="Arial"/>
          <w:sz w:val="17"/>
          <w:szCs w:val="17"/>
          <w:u w:val="single" w:color="auto"/>
          <w:color w:val="auto"/>
        </w:rPr>
        <w:t>Section 4.5</w:t>
      </w:r>
      <w:r>
        <w:rPr>
          <w:rFonts w:ascii="Arial" w:cs="Arial" w:eastAsia="Arial" w:hAnsi="Arial"/>
          <w:sz w:val="17"/>
          <w:szCs w:val="17"/>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6"/>
          <w:szCs w:val="16"/>
          <w:u w:val="single" w:color="auto"/>
          <w:color w:val="auto"/>
        </w:rPr>
        <w:t>Remedies Exception</w:t>
      </w:r>
      <w:r>
        <w:rPr>
          <w:rFonts w:ascii="Arial" w:cs="Arial" w:eastAsia="Arial" w:hAnsi="Arial"/>
          <w:sz w:val="16"/>
          <w:szCs w:val="16"/>
          <w:color w:val="auto"/>
        </w:rPr>
        <w: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Governmental Consents and Filings</w:t>
      </w:r>
      <w:r>
        <w:rPr>
          <w:rFonts w:ascii="Arial" w:cs="Arial" w:eastAsia="Arial" w:hAnsi="Arial"/>
          <w:sz w:val="18"/>
          <w:szCs w:val="18"/>
          <w:color w:val="auto"/>
        </w:rPr>
        <w:t xml:space="preserve"> .</w:t>
      </w:r>
    </w:p>
    <w:p>
      <w:pPr>
        <w:spacing w:after="0" w:line="171" w:lineRule="exact"/>
        <w:rPr>
          <w:sz w:val="20"/>
          <w:szCs w:val="20"/>
          <w:color w:val="auto"/>
        </w:rPr>
      </w:pPr>
    </w:p>
    <w:p>
      <w:pPr>
        <w:jc w:val="both"/>
        <w:ind w:firstLine="656"/>
        <w:spacing w:after="0" w:line="287" w:lineRule="auto"/>
        <w:tabs>
          <w:tab w:leader="none" w:pos="90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of the Company Disclosure Letter, subject to the receipt of the consents, approvals, authorizations and other requirements set forth in </w:t>
      </w:r>
      <w:r>
        <w:rPr>
          <w:rFonts w:ascii="Arial" w:cs="Arial" w:eastAsia="Arial" w:hAnsi="Arial"/>
          <w:sz w:val="16"/>
          <w:szCs w:val="16"/>
          <w:u w:val="single" w:color="auto"/>
          <w:color w:val="auto"/>
        </w:rPr>
        <w:t>Section 4.5(b)</w:t>
      </w:r>
      <w:r>
        <w:rPr>
          <w:rFonts w:ascii="Arial" w:cs="Arial" w:eastAsia="Arial" w:hAnsi="Arial"/>
          <w:sz w:val="16"/>
          <w:szCs w:val="16"/>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13" w:lineRule="exact"/>
        <w:rPr>
          <w:rFonts w:ascii="Arial" w:cs="Arial" w:eastAsia="Arial" w:hAnsi="Arial"/>
          <w:sz w:val="16"/>
          <w:szCs w:val="16"/>
          <w:color w:val="auto"/>
        </w:rPr>
      </w:pPr>
    </w:p>
    <w:p>
      <w:pPr>
        <w:jc w:val="both"/>
        <w:ind w:firstLine="656"/>
        <w:spacing w:after="0" w:line="291" w:lineRule="auto"/>
        <w:tabs>
          <w:tab w:leader="none" w:pos="89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Arial" w:cs="Arial" w:eastAsia="Arial" w:hAnsi="Arial"/>
          <w:sz w:val="16"/>
          <w:szCs w:val="16"/>
          <w:u w:val="single" w:color="auto"/>
          <w:color w:val="auto"/>
        </w:rPr>
        <w:t>Schedule 4.5(b)</w:t>
      </w:r>
      <w:r>
        <w:rPr>
          <w:rFonts w:ascii="Arial" w:cs="Arial" w:eastAsia="Arial" w:hAnsi="Arial"/>
          <w:sz w:val="16"/>
          <w:szCs w:val="16"/>
          <w:color w:val="auto"/>
        </w:rPr>
        <w:t>; and (v) the filing of the Certificate of Merger in accordance with the DGCL.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Legal Compliance; Approvals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2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Group Company is in possession of all franchises, grants, authorizations, licenses, permits, consents, certificates, approvals and orders from Governmental Entities (“</w:t>
      </w:r>
      <w:r>
        <w:rPr>
          <w:rFonts w:ascii="Arial" w:cs="Arial" w:eastAsia="Arial" w:hAnsi="Arial"/>
          <w:sz w:val="18"/>
          <w:szCs w:val="18"/>
          <w:u w:val="single" w:color="auto"/>
          <w:color w:val="auto"/>
        </w:rPr>
        <w:t>Approvals</w:t>
      </w:r>
      <w:r>
        <w:rPr>
          <w:rFonts w:ascii="Arial" w:cs="Arial" w:eastAsia="Arial" w:hAnsi="Arial"/>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Company Disclosure Letter sets forth a list of each Current Government Contract in existence as of the date hereof that involves aggregate payments to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Company Subsidiaries that are reasonably expected to be in excess of $250,000 (each, a “</w:t>
      </w:r>
      <w:r>
        <w:rPr>
          <w:rFonts w:ascii="Arial" w:cs="Arial" w:eastAsia="Arial" w:hAnsi="Arial"/>
          <w:sz w:val="18"/>
          <w:szCs w:val="18"/>
          <w:u w:val="single" w:color="auto"/>
          <w:color w:val="auto"/>
        </w:rPr>
        <w:t>Material Current Government Contract</w:t>
      </w:r>
      <w:r>
        <w:rPr>
          <w:rFonts w:ascii="Arial" w:cs="Arial" w:eastAsia="Arial" w:hAnsi="Arial"/>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89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an unaudited balance sheet and statements of operations and comprehensive loss and cash flows of the Company as of and for the 11-month period ended November 30, 2021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23" w:lineRule="exact"/>
        <w:rPr>
          <w:rFonts w:ascii="Arial" w:cs="Arial" w:eastAsia="Arial" w:hAnsi="Arial"/>
          <w:sz w:val="17"/>
          <w:szCs w:val="17"/>
          <w:color w:val="auto"/>
        </w:rPr>
      </w:pPr>
    </w:p>
    <w:p>
      <w:pPr>
        <w:jc w:val="both"/>
        <w:ind w:firstLine="656"/>
        <w:spacing w:after="0" w:line="263" w:lineRule="auto"/>
        <w:tabs>
          <w:tab w:leader="none" w:pos="9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29" w:lineRule="exact"/>
        <w:rPr>
          <w:rFonts w:ascii="Arial" w:cs="Arial" w:eastAsia="Arial" w:hAnsi="Arial"/>
          <w:sz w:val="18"/>
          <w:szCs w:val="18"/>
          <w:color w:val="auto"/>
        </w:rPr>
      </w:pPr>
    </w:p>
    <w:p>
      <w:pPr>
        <w:ind w:firstLine="656"/>
        <w:spacing w:after="0" w:line="277" w:lineRule="auto"/>
        <w:tabs>
          <w:tab w:leader="none" w:pos="8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to the extent related to the foregoing clauses, </w:t>
      </w:r>
      <w:r>
        <w:rPr>
          <w:rFonts w:ascii="Arial" w:cs="Arial" w:eastAsia="Arial" w:hAnsi="Arial"/>
          <w:sz w:val="17"/>
          <w:szCs w:val="17"/>
          <w:u w:val="single" w:color="auto"/>
          <w:color w:val="auto"/>
        </w:rPr>
        <w:t>(p)</w:t>
      </w:r>
      <w:r>
        <w:rPr>
          <w:rFonts w:ascii="Arial" w:cs="Arial" w:eastAsia="Arial" w:hAnsi="Arial"/>
          <w:sz w:val="17"/>
          <w:szCs w:val="17"/>
          <w:color w:val="auto"/>
        </w:rPr>
        <w:t xml:space="preserve"> thereof) if such action were taken on or after the date hereof without the consent of Parent.</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Company Disclosure Letter or as would not be material to the Group Companies, taken as a whole, as of the date hereof, there are: (a) no pending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933"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(which schedule includes a general description of groups of employees that has entered into agreements on such forms).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113" w:lineRule="exact"/>
        <w:rPr>
          <w:rFonts w:ascii="Arial" w:cs="Arial" w:eastAsia="Arial" w:hAnsi="Arial"/>
          <w:sz w:val="16"/>
          <w:szCs w:val="16"/>
          <w:color w:val="auto"/>
        </w:rPr>
      </w:pPr>
    </w:p>
    <w:p>
      <w:pPr>
        <w:jc w:val="both"/>
        <w:ind w:firstLine="656"/>
        <w:spacing w:after="0" w:line="291" w:lineRule="auto"/>
        <w:tabs>
          <w:tab w:leader="none" w:pos="90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With respect to each Company Benefit Plan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the Company has made available to Parent or its representatives copies of, as applicable: (i) such Company Benefit Plan, or the applicable form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12" w:lineRule="exact"/>
        <w:rPr>
          <w:rFonts w:ascii="Arial" w:cs="Arial" w:eastAsia="Arial" w:hAnsi="Arial"/>
          <w:sz w:val="16"/>
          <w:szCs w:val="16"/>
          <w:color w:val="auto"/>
        </w:rPr>
      </w:pPr>
    </w:p>
    <w:p>
      <w:pPr>
        <w:ind w:left="900" w:hanging="244"/>
        <w:spacing w:after="0"/>
        <w:tabs>
          <w:tab w:leader="none" w:pos="9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Group Companies, taken as a whole:</w:t>
      </w:r>
    </w:p>
    <w:p>
      <w:pPr>
        <w:spacing w:after="0" w:line="182" w:lineRule="exact"/>
        <w:rPr>
          <w:rFonts w:ascii="Arial" w:cs="Arial" w:eastAsia="Arial" w:hAnsi="Arial"/>
          <w:sz w:val="17"/>
          <w:szCs w:val="17"/>
          <w:color w:val="auto"/>
        </w:rPr>
      </w:pPr>
    </w:p>
    <w:p>
      <w:pPr>
        <w:ind w:left="660" w:firstLine="644"/>
        <w:spacing w:after="0" w:line="277" w:lineRule="auto"/>
        <w:tabs>
          <w:tab w:leader="none" w:pos="154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each Company Benefit Plan has been administered in accordance with its terms and all Applicable Legal Requirements, including ERISA and the Code;</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all contributions required to be made with respect to any Company Benefit Plan on or before the date hereof have been made;</w:t>
      </w:r>
    </w:p>
    <w:p>
      <w:pPr>
        <w:spacing w:after="0" w:line="182" w:lineRule="exact"/>
        <w:rPr>
          <w:rFonts w:ascii="Arial" w:cs="Arial" w:eastAsia="Arial" w:hAnsi="Arial"/>
          <w:sz w:val="17"/>
          <w:szCs w:val="17"/>
          <w:color w:val="auto"/>
        </w:rPr>
      </w:pPr>
    </w:p>
    <w:p>
      <w:pPr>
        <w:ind w:left="660" w:firstLine="644"/>
        <w:spacing w:after="0" w:line="277" w:lineRule="auto"/>
        <w:tabs>
          <w:tab w:leader="none" w:pos="162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44" w:lineRule="exact"/>
        <w:rPr>
          <w:sz w:val="20"/>
          <w:szCs w:val="20"/>
          <w:color w:val="auto"/>
        </w:rPr>
      </w:pPr>
    </w:p>
    <w:p>
      <w:pPr>
        <w:jc w:val="both"/>
        <w:ind w:firstLine="1304"/>
        <w:spacing w:after="0" w:line="259" w:lineRule="auto"/>
        <w:tabs>
          <w:tab w:leader="none" w:pos="1616" w:val="left"/>
        </w:tabs>
        <w:numPr>
          <w:ilvl w:val="2"/>
          <w:numId w:val="291"/>
        </w:numPr>
        <w:rPr>
          <w:rFonts w:ascii="Arial" w:cs="Arial" w:eastAsia="Arial" w:hAnsi="Arial"/>
          <w:sz w:val="18"/>
          <w:szCs w:val="18"/>
          <w:color w:val="auto"/>
        </w:rPr>
      </w:pPr>
      <w:r>
        <w:rPr>
          <w:rFonts w:ascii="Arial" w:cs="Arial" w:eastAsia="Arial" w:hAnsi="Arial"/>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556" w:val="left"/>
        </w:tabs>
        <w:numPr>
          <w:ilvl w:val="2"/>
          <w:numId w:val="291"/>
        </w:numPr>
        <w:rPr>
          <w:rFonts w:ascii="Arial" w:cs="Arial" w:eastAsia="Arial" w:hAnsi="Arial"/>
          <w:sz w:val="18"/>
          <w:szCs w:val="18"/>
          <w:color w:val="auto"/>
        </w:rPr>
      </w:pPr>
      <w:r>
        <w:rPr>
          <w:rFonts w:ascii="Arial" w:cs="Arial" w:eastAsia="Arial" w:hAnsi="Arial"/>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90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133" w:lineRule="exact"/>
        <w:rPr>
          <w:rFonts w:ascii="Arial" w:cs="Arial" w:eastAsia="Arial" w:hAnsi="Arial"/>
          <w:sz w:val="18"/>
          <w:szCs w:val="18"/>
          <w:color w:val="auto"/>
        </w:rPr>
      </w:pPr>
    </w:p>
    <w:p>
      <w:pPr>
        <w:jc w:val="both"/>
        <w:ind w:firstLine="656"/>
        <w:spacing w:after="0" w:line="284" w:lineRule="auto"/>
        <w:tabs>
          <w:tab w:leader="none" w:pos="898"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Arial" w:cs="Arial" w:eastAsia="Arial" w:hAnsi="Arial"/>
          <w:sz w:val="16"/>
          <w:szCs w:val="16"/>
          <w:u w:val="single" w:color="auto"/>
          <w:color w:val="auto"/>
        </w:rPr>
        <w:t>Pension Plan</w:t>
      </w:r>
      <w:r>
        <w:rPr>
          <w:rFonts w:ascii="Arial" w:cs="Arial" w:eastAsia="Arial" w:hAnsi="Arial"/>
          <w:sz w:val="16"/>
          <w:szCs w:val="16"/>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Arial" w:cs="Arial" w:eastAsia="Arial" w:hAnsi="Arial"/>
          <w:sz w:val="16"/>
          <w:szCs w:val="16"/>
          <w:color w:val="auto"/>
        </w:rPr>
      </w:pPr>
    </w:p>
    <w:p>
      <w:pPr>
        <w:jc w:val="both"/>
        <w:ind w:firstLine="8"/>
        <w:spacing w:after="0" w:line="270" w:lineRule="auto"/>
        <w:tabs>
          <w:tab w:leader="none" w:pos="36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of ERISA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24" w:lineRule="exact"/>
        <w:rPr>
          <w:rFonts w:ascii="Arial" w:cs="Arial" w:eastAsia="Arial" w:hAnsi="Arial"/>
          <w:sz w:val="17"/>
          <w:szCs w:val="17"/>
          <w:color w:val="auto"/>
        </w:rPr>
      </w:pPr>
    </w:p>
    <w:p>
      <w:pPr>
        <w:jc w:val="both"/>
        <w:ind w:firstLine="656"/>
        <w:spacing w:after="0" w:line="259" w:lineRule="auto"/>
        <w:tabs>
          <w:tab w:leader="none" w:pos="8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32"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jc w:val="both"/>
        <w:ind w:firstLine="656"/>
        <w:spacing w:after="0" w:line="255" w:lineRule="auto"/>
        <w:tabs>
          <w:tab w:leader="none" w:pos="87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38" w:lineRule="exact"/>
        <w:rPr>
          <w:rFonts w:ascii="Arial" w:cs="Arial" w:eastAsia="Arial" w:hAnsi="Arial"/>
          <w:sz w:val="18"/>
          <w:szCs w:val="18"/>
          <w:color w:val="auto"/>
        </w:rPr>
      </w:pPr>
    </w:p>
    <w:p>
      <w:pPr>
        <w:jc w:val="both"/>
        <w:ind w:firstLine="656"/>
        <w:spacing w:after="0" w:line="263" w:lineRule="auto"/>
        <w:tabs>
          <w:tab w:leader="none" w:pos="87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29"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116" w:lineRule="exact"/>
        <w:rPr>
          <w:rFonts w:ascii="Arial" w:cs="Arial" w:eastAsia="Arial" w:hAnsi="Arial"/>
          <w:sz w:val="18"/>
          <w:szCs w:val="18"/>
          <w:color w:val="auto"/>
        </w:rPr>
      </w:pPr>
    </w:p>
    <w:p>
      <w:pPr>
        <w:ind w:firstLine="656"/>
        <w:spacing w:after="0" w:line="277" w:lineRule="auto"/>
        <w:tabs>
          <w:tab w:leader="none" w:pos="87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89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No Group Company is a party to or negotiating any collective bargaining agreement with respect to employees of any Group Company.</w:t>
      </w:r>
    </w:p>
    <w:p>
      <w:pPr>
        <w:spacing w:after="0" w:line="182" w:lineRule="exact"/>
        <w:rPr>
          <w:rFonts w:ascii="Arial" w:cs="Arial" w:eastAsia="Arial" w:hAnsi="Arial"/>
          <w:sz w:val="17"/>
          <w:szCs w:val="17"/>
          <w:color w:val="auto"/>
        </w:rPr>
      </w:pPr>
    </w:p>
    <w:p>
      <w:pPr>
        <w:jc w:val="both"/>
        <w:ind w:firstLine="656"/>
        <w:spacing w:after="0" w:line="284" w:lineRule="auto"/>
        <w:tabs>
          <w:tab w:leader="none" w:pos="898"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4" w:lineRule="exact"/>
        <w:rPr>
          <w:rFonts w:ascii="Arial" w:cs="Arial" w:eastAsia="Arial" w:hAnsi="Arial"/>
          <w:sz w:val="16"/>
          <w:szCs w:val="16"/>
          <w:color w:val="auto"/>
        </w:rPr>
      </w:pPr>
    </w:p>
    <w:p>
      <w:pPr>
        <w:jc w:val="both"/>
        <w:ind w:firstLine="8"/>
        <w:spacing w:after="0" w:line="255" w:lineRule="auto"/>
        <w:tabs>
          <w:tab w:leader="none" w:pos="28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35" w:lineRule="exact"/>
        <w:rPr>
          <w:rFonts w:ascii="Arial" w:cs="Arial" w:eastAsia="Arial" w:hAnsi="Arial"/>
          <w:sz w:val="18"/>
          <w:szCs w:val="18"/>
          <w:color w:val="auto"/>
        </w:rPr>
      </w:pPr>
    </w:p>
    <w:p>
      <w:pPr>
        <w:jc w:val="both"/>
        <w:ind w:firstLine="656"/>
        <w:spacing w:after="0" w:line="257" w:lineRule="auto"/>
        <w:tabs>
          <w:tab w:leader="none" w:pos="89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jc w:val="both"/>
        <w:ind w:firstLine="656"/>
        <w:spacing w:after="0" w:line="279" w:lineRule="auto"/>
        <w:tabs>
          <w:tab w:leader="none" w:pos="895"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117" w:lineRule="exact"/>
        <w:rPr>
          <w:sz w:val="20"/>
          <w:szCs w:val="20"/>
          <w:color w:val="auto"/>
        </w:rPr>
      </w:pPr>
    </w:p>
    <w:p>
      <w:pPr>
        <w:ind w:left="880" w:hanging="224"/>
        <w:spacing w:after="0"/>
        <w:tabs>
          <w:tab w:leader="none" w:pos="88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88" w:lineRule="auto"/>
        <w:tabs>
          <w:tab w:leader="none" w:pos="22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14" w:lineRule="exact"/>
        <w:rPr>
          <w:rFonts w:ascii="Arial" w:cs="Arial" w:eastAsia="Arial" w:hAnsi="Arial"/>
          <w:sz w:val="16"/>
          <w:szCs w:val="16"/>
          <w:color w:val="auto"/>
        </w:rPr>
      </w:pPr>
    </w:p>
    <w:p>
      <w:pPr>
        <w:jc w:val="both"/>
        <w:ind w:firstLine="656"/>
        <w:spacing w:after="0" w:line="257" w:lineRule="auto"/>
        <w:tabs>
          <w:tab w:leader="none" w:pos="94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38" w:lineRule="exact"/>
        <w:rPr>
          <w:rFonts w:ascii="Arial" w:cs="Arial" w:eastAsia="Arial" w:hAnsi="Arial"/>
          <w:sz w:val="18"/>
          <w:szCs w:val="18"/>
          <w:color w:val="auto"/>
        </w:rPr>
      </w:pPr>
    </w:p>
    <w:p>
      <w:pPr>
        <w:jc w:val="both"/>
        <w:ind w:firstLine="656"/>
        <w:spacing w:after="0" w:line="263" w:lineRule="auto"/>
        <w:tabs>
          <w:tab w:leader="none" w:pos="901"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 Tangible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89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of the Company Disclosure Letter lists, as of the date of this Agreement, all real property owned by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or one of the Company Subsidiaries has good and marketable fee simple title to all Owned Real Property, subject only to any Permitted Liens.</w:t>
      </w:r>
    </w:p>
    <w:p>
      <w:pPr>
        <w:spacing w:after="0" w:line="129" w:lineRule="exact"/>
        <w:rPr>
          <w:rFonts w:ascii="Arial" w:cs="Arial" w:eastAsia="Arial" w:hAnsi="Arial"/>
          <w:sz w:val="18"/>
          <w:szCs w:val="18"/>
          <w:color w:val="auto"/>
        </w:rPr>
      </w:pPr>
    </w:p>
    <w:p>
      <w:pPr>
        <w:jc w:val="both"/>
        <w:ind w:firstLine="656"/>
        <w:spacing w:after="0" w:line="271" w:lineRule="auto"/>
        <w:tabs>
          <w:tab w:leader="none" w:pos="916"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Company Disclosure Letter lists, as of the date of this Agreement, all material real property leased by the Group Companies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Arial" w:cs="Arial" w:eastAsia="Arial" w:hAnsi="Arial"/>
          <w:sz w:val="17"/>
          <w:szCs w:val="17"/>
          <w:u w:val="single" w:color="auto"/>
          <w:color w:val="auto"/>
        </w:rPr>
        <w:t>Company Real Property Leases</w:t>
      </w:r>
      <w:r>
        <w:rPr>
          <w:rFonts w:ascii="Arial" w:cs="Arial" w:eastAsia="Arial" w:hAnsi="Arial"/>
          <w:sz w:val="17"/>
          <w:szCs w:val="17"/>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133" w:lineRule="exact"/>
        <w:rPr>
          <w:sz w:val="20"/>
          <w:szCs w:val="20"/>
          <w:color w:val="auto"/>
        </w:rPr>
      </w:pPr>
    </w:p>
    <w:p>
      <w:pPr>
        <w:jc w:val="both"/>
        <w:ind w:firstLine="656"/>
        <w:spacing w:after="0" w:line="271" w:lineRule="auto"/>
        <w:tabs>
          <w:tab w:leader="none" w:pos="89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75" w:lineRule="auto"/>
        <w:tabs>
          <w:tab w:leader="none" w:pos="92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22" w:lineRule="exact"/>
        <w:rPr>
          <w:rFonts w:ascii="Arial" w:cs="Arial" w:eastAsia="Arial" w:hAnsi="Arial"/>
          <w:sz w:val="17"/>
          <w:szCs w:val="17"/>
          <w:color w:val="auto"/>
        </w:rPr>
      </w:pPr>
    </w:p>
    <w:p>
      <w:pPr>
        <w:ind w:left="900" w:hanging="244"/>
        <w:spacing w:after="0"/>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the assets of the Group Companies.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884"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11" w:lineRule="exact"/>
        <w:rPr>
          <w:rFonts w:ascii="Arial" w:cs="Arial" w:eastAsia="Arial" w:hAnsi="Arial"/>
          <w:sz w:val="17"/>
          <w:szCs w:val="17"/>
          <w:color w:val="auto"/>
        </w:rPr>
      </w:pPr>
    </w:p>
    <w:p>
      <w:pPr>
        <w:ind w:firstLine="656"/>
        <w:spacing w:after="0" w:line="277" w:lineRule="auto"/>
        <w:tabs>
          <w:tab w:leader="none" w:pos="93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44" w:lineRule="exact"/>
        <w:rPr>
          <w:sz w:val="20"/>
          <w:szCs w:val="20"/>
          <w:color w:val="auto"/>
        </w:rPr>
      </w:pPr>
    </w:p>
    <w:p>
      <w:pPr>
        <w:ind w:left="920" w:hanging="264"/>
        <w:spacing w:after="0"/>
        <w:tabs>
          <w:tab w:leader="none" w:pos="9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None of the Group Companies has entered into a “listed transaction” within the meaning of Treasury Regulation Section 1.6011-4(b).</w:t>
      </w:r>
    </w:p>
    <w:p>
      <w:pPr>
        <w:spacing w:after="0" w:line="182" w:lineRule="exact"/>
        <w:rPr>
          <w:rFonts w:ascii="Arial" w:cs="Arial" w:eastAsia="Arial" w:hAnsi="Arial"/>
          <w:sz w:val="17"/>
          <w:szCs w:val="17"/>
          <w:color w:val="auto"/>
        </w:rPr>
      </w:pPr>
    </w:p>
    <w:p>
      <w:pPr>
        <w:jc w:val="both"/>
        <w:ind w:firstLine="656"/>
        <w:spacing w:after="0" w:line="259" w:lineRule="auto"/>
        <w:tabs>
          <w:tab w:leader="none" w:pos="86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32" w:lineRule="exact"/>
        <w:rPr>
          <w:rFonts w:ascii="Arial" w:cs="Arial" w:eastAsia="Arial" w:hAnsi="Arial"/>
          <w:sz w:val="18"/>
          <w:szCs w:val="18"/>
          <w:color w:val="auto"/>
        </w:rPr>
      </w:pPr>
    </w:p>
    <w:p>
      <w:pPr>
        <w:jc w:val="both"/>
        <w:ind w:firstLine="656"/>
        <w:spacing w:after="0" w:line="263" w:lineRule="auto"/>
        <w:tabs>
          <w:tab w:leader="none" w:pos="8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29"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26" w:lineRule="exact"/>
        <w:rPr>
          <w:rFonts w:ascii="Arial" w:cs="Arial" w:eastAsia="Arial" w:hAnsi="Arial"/>
          <w:sz w:val="17"/>
          <w:szCs w:val="17"/>
          <w:color w:val="auto"/>
        </w:rPr>
      </w:pPr>
    </w:p>
    <w:p>
      <w:pPr>
        <w:ind w:firstLine="656"/>
        <w:spacing w:after="0" w:line="277" w:lineRule="auto"/>
        <w:tabs>
          <w:tab w:leader="none" w:pos="95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Brokers; Third Party Expenses</w:t>
      </w:r>
      <w:r>
        <w:rPr>
          <w:rFonts w:ascii="Arial" w:cs="Arial" w:eastAsia="Arial" w:hAnsi="Arial"/>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2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32" w:lineRule="exact"/>
        <w:rPr>
          <w:rFonts w:ascii="Arial" w:cs="Arial" w:eastAsia="Arial" w:hAnsi="Arial"/>
          <w:sz w:val="18"/>
          <w:szCs w:val="18"/>
          <w:color w:val="auto"/>
        </w:rPr>
      </w:pPr>
    </w:p>
    <w:p>
      <w:pPr>
        <w:jc w:val="both"/>
        <w:ind w:firstLine="656"/>
        <w:spacing w:after="0" w:line="269" w:lineRule="auto"/>
        <w:tabs>
          <w:tab w:leader="none" w:pos="89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131" w:lineRule="exact"/>
        <w:rPr>
          <w:rFonts w:ascii="Arial" w:cs="Arial" w:eastAsia="Arial" w:hAnsi="Arial"/>
          <w:sz w:val="17"/>
          <w:szCs w:val="17"/>
          <w:color w:val="auto"/>
        </w:rPr>
      </w:pPr>
    </w:p>
    <w:p>
      <w:pPr>
        <w:jc w:val="both"/>
        <w:ind w:firstLine="656"/>
        <w:spacing w:after="0" w:line="271" w:lineRule="auto"/>
        <w:tabs>
          <w:tab w:leader="none" w:pos="93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24" w:lineRule="exact"/>
        <w:rPr>
          <w:rFonts w:ascii="Arial" w:cs="Arial" w:eastAsia="Arial" w:hAnsi="Arial"/>
          <w:sz w:val="17"/>
          <w:szCs w:val="17"/>
          <w:color w:val="auto"/>
        </w:rPr>
      </w:pPr>
    </w:p>
    <w:p>
      <w:pPr>
        <w:jc w:val="both"/>
        <w:ind w:firstLine="656"/>
        <w:spacing w:after="0" w:line="311" w:lineRule="auto"/>
        <w:tabs>
          <w:tab w:leader="none" w:pos="89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22" w:lineRule="exact"/>
        <w:rPr>
          <w:sz w:val="20"/>
          <w:szCs w:val="20"/>
          <w:color w:val="auto"/>
        </w:rPr>
      </w:pPr>
    </w:p>
    <w:p>
      <w:pPr>
        <w:jc w:val="both"/>
        <w:ind w:firstLine="656"/>
        <w:spacing w:after="0" w:line="284" w:lineRule="auto"/>
        <w:tabs>
          <w:tab w:leader="none" w:pos="873"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4" w:lineRule="exact"/>
        <w:rPr>
          <w:rFonts w:ascii="Arial" w:cs="Arial" w:eastAsia="Arial" w:hAnsi="Arial"/>
          <w:sz w:val="16"/>
          <w:szCs w:val="16"/>
          <w:color w:val="auto"/>
        </w:rPr>
      </w:pPr>
    </w:p>
    <w:p>
      <w:pPr>
        <w:ind w:firstLine="8"/>
        <w:spacing w:after="0" w:line="290" w:lineRule="auto"/>
        <w:tabs>
          <w:tab w:leader="none" w:pos="33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07" w:lineRule="exact"/>
        <w:rPr>
          <w:rFonts w:ascii="Arial" w:cs="Arial" w:eastAsia="Arial" w:hAnsi="Arial"/>
          <w:sz w:val="17"/>
          <w:szCs w:val="17"/>
          <w:color w:val="auto"/>
        </w:rPr>
      </w:pPr>
    </w:p>
    <w:p>
      <w:pPr>
        <w:jc w:val="both"/>
        <w:ind w:firstLine="656"/>
        <w:spacing w:after="0" w:line="257" w:lineRule="auto"/>
        <w:tabs>
          <w:tab w:leader="none" w:pos="90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33" w:lineRule="exact"/>
        <w:rPr>
          <w:rFonts w:ascii="Arial" w:cs="Arial" w:eastAsia="Arial" w:hAnsi="Arial"/>
          <w:sz w:val="18"/>
          <w:szCs w:val="18"/>
          <w:color w:val="auto"/>
        </w:rPr>
      </w:pPr>
    </w:p>
    <w:p>
      <w:pPr>
        <w:jc w:val="both"/>
        <w:ind w:firstLine="656"/>
        <w:spacing w:after="0" w:line="269" w:lineRule="auto"/>
        <w:tabs>
          <w:tab w:leader="none" w:pos="902"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131" w:lineRule="exact"/>
        <w:rPr>
          <w:rFonts w:ascii="Arial" w:cs="Arial" w:eastAsia="Arial" w:hAnsi="Arial"/>
          <w:sz w:val="17"/>
          <w:szCs w:val="17"/>
          <w:color w:val="auto"/>
        </w:rPr>
      </w:pPr>
    </w:p>
    <w:p>
      <w:pPr>
        <w:jc w:val="both"/>
        <w:ind w:firstLine="656"/>
        <w:spacing w:after="0" w:line="255" w:lineRule="auto"/>
        <w:tabs>
          <w:tab w:leader="none" w:pos="86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38" w:lineRule="exact"/>
        <w:rPr>
          <w:rFonts w:ascii="Arial" w:cs="Arial" w:eastAsia="Arial" w:hAnsi="Arial"/>
          <w:sz w:val="18"/>
          <w:szCs w:val="18"/>
          <w:color w:val="auto"/>
        </w:rPr>
      </w:pPr>
    </w:p>
    <w:p>
      <w:pPr>
        <w:ind w:firstLine="656"/>
        <w:spacing w:after="0" w:line="277" w:lineRule="auto"/>
        <w:tabs>
          <w:tab w:leader="none" w:pos="86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contains the sole and exclusive representations and warranties of the Group Companies with respect to Intellectual Property and other proprietary rights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Privacy &amp; Cybersecurity; HIPAA Compliance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3" w:lineRule="auto"/>
        <w:tabs>
          <w:tab w:leader="none" w:pos="90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Arial" w:cs="Arial" w:eastAsia="Arial" w:hAnsi="Arial"/>
          <w:sz w:val="18"/>
          <w:szCs w:val="18"/>
          <w:u w:val="single" w:color="auto"/>
          <w:color w:val="auto"/>
        </w:rPr>
        <w:t>Group Companies’ Privacy Notices</w:t>
      </w:r>
      <w:r>
        <w:rPr>
          <w:rFonts w:ascii="Arial" w:cs="Arial" w:eastAsia="Arial" w:hAnsi="Arial"/>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42"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32" w:lineRule="exact"/>
        <w:rPr>
          <w:rFonts w:ascii="Arial" w:cs="Arial" w:eastAsia="Arial" w:hAnsi="Arial"/>
          <w:sz w:val="18"/>
          <w:szCs w:val="18"/>
          <w:color w:val="auto"/>
        </w:rPr>
      </w:pPr>
    </w:p>
    <w:p>
      <w:pPr>
        <w:jc w:val="both"/>
        <w:ind w:firstLine="656"/>
        <w:spacing w:after="0" w:line="269" w:lineRule="auto"/>
        <w:tabs>
          <w:tab w:leader="none" w:pos="90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31" w:lineRule="exact"/>
        <w:rPr>
          <w:rFonts w:ascii="Arial" w:cs="Arial" w:eastAsia="Arial" w:hAnsi="Arial"/>
          <w:sz w:val="17"/>
          <w:szCs w:val="17"/>
          <w:color w:val="auto"/>
        </w:rPr>
      </w:pPr>
    </w:p>
    <w:p>
      <w:pPr>
        <w:ind w:right="20" w:firstLine="656"/>
        <w:spacing w:after="0" w:line="308" w:lineRule="auto"/>
        <w:tabs>
          <w:tab w:leader="none" w:pos="93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9" w:lineRule="auto"/>
        <w:tabs>
          <w:tab w:leader="none" w:pos="90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of the Group Companies shall mean (x) each Company IP Contract, (y) each Company Real Property Lease and (z) each of the following Contracts to which any of the Group Companies is a party:</w:t>
      </w:r>
    </w:p>
    <w:p>
      <w:pPr>
        <w:spacing w:after="0" w:line="132" w:lineRule="exact"/>
        <w:rPr>
          <w:rFonts w:ascii="Arial" w:cs="Arial" w:eastAsia="Arial" w:hAnsi="Arial"/>
          <w:sz w:val="18"/>
          <w:szCs w:val="18"/>
          <w:color w:val="auto"/>
        </w:rPr>
      </w:pPr>
    </w:p>
    <w:p>
      <w:pPr>
        <w:jc w:val="both"/>
        <w:ind w:left="660" w:right="20" w:firstLine="644"/>
        <w:spacing w:after="0" w:line="279" w:lineRule="auto"/>
        <w:tabs>
          <w:tab w:leader="none" w:pos="1528" w:val="left"/>
        </w:tabs>
        <w:numPr>
          <w:ilvl w:val="1"/>
          <w:numId w:val="308"/>
        </w:numPr>
        <w:rPr>
          <w:rFonts w:ascii="Arial" w:cs="Arial" w:eastAsia="Arial" w:hAnsi="Arial"/>
          <w:sz w:val="17"/>
          <w:szCs w:val="17"/>
          <w:color w:val="auto"/>
        </w:rPr>
      </w:pPr>
      <w:r>
        <w:rPr>
          <w:rFonts w:ascii="Arial" w:cs="Arial" w:eastAsia="Arial" w:hAnsi="Arial"/>
          <w:sz w:val="17"/>
          <w:szCs w:val="17"/>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17" w:lineRule="exact"/>
        <w:rPr>
          <w:rFonts w:ascii="Arial" w:cs="Arial" w:eastAsia="Arial" w:hAnsi="Arial"/>
          <w:sz w:val="17"/>
          <w:szCs w:val="17"/>
          <w:color w:val="auto"/>
        </w:rPr>
      </w:pPr>
    </w:p>
    <w:p>
      <w:pPr>
        <w:ind w:left="660" w:firstLine="644"/>
        <w:spacing w:after="0" w:line="277" w:lineRule="auto"/>
        <w:tabs>
          <w:tab w:leader="none" w:pos="158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any of the Group Companies from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party, in each case, having an outstanding principal amount in excess of $250,000, but excluding guarantees of performance under Government Contracts entered into in the ordinary course of business;</w:t>
      </w:r>
    </w:p>
    <w:p>
      <w:pPr>
        <w:spacing w:after="0" w:line="116" w:lineRule="exact"/>
        <w:rPr>
          <w:sz w:val="20"/>
          <w:szCs w:val="20"/>
          <w:color w:val="auto"/>
        </w:rPr>
      </w:pPr>
    </w:p>
    <w:p>
      <w:pPr>
        <w:jc w:val="both"/>
        <w:ind w:left="660" w:firstLine="644"/>
        <w:spacing w:after="0" w:line="259" w:lineRule="auto"/>
        <w:tabs>
          <w:tab w:leader="none" w:pos="162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32" w:lineRule="exact"/>
        <w:rPr>
          <w:rFonts w:ascii="Arial" w:cs="Arial" w:eastAsia="Arial" w:hAnsi="Arial"/>
          <w:sz w:val="18"/>
          <w:szCs w:val="18"/>
          <w:color w:val="auto"/>
        </w:rPr>
      </w:pPr>
    </w:p>
    <w:p>
      <w:pPr>
        <w:ind w:left="660" w:firstLine="644"/>
        <w:spacing w:after="0" w:line="277" w:lineRule="auto"/>
        <w:tabs>
          <w:tab w:leader="none" w:pos="163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obligation to make payments, contingent or otherwise, arising out of the prior acquisition of the business, assets or stock of other Persons;</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collective bargaining agreement with any labor union;</w:t>
      </w:r>
    </w:p>
    <w:p>
      <w:pPr>
        <w:spacing w:after="0" w:line="171" w:lineRule="exact"/>
        <w:rPr>
          <w:rFonts w:ascii="Arial" w:cs="Arial" w:eastAsia="Arial" w:hAnsi="Arial"/>
          <w:sz w:val="18"/>
          <w:szCs w:val="18"/>
          <w:color w:val="auto"/>
        </w:rPr>
      </w:pPr>
    </w:p>
    <w:p>
      <w:pPr>
        <w:jc w:val="both"/>
        <w:ind w:left="660" w:firstLine="644"/>
        <w:spacing w:after="0" w:line="259" w:lineRule="auto"/>
        <w:tabs>
          <w:tab w:leader="none" w:pos="162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32" w:lineRule="exact"/>
        <w:rPr>
          <w:rFonts w:ascii="Arial" w:cs="Arial" w:eastAsia="Arial" w:hAnsi="Arial"/>
          <w:sz w:val="18"/>
          <w:szCs w:val="18"/>
          <w:color w:val="auto"/>
        </w:rPr>
      </w:pPr>
    </w:p>
    <w:p>
      <w:pPr>
        <w:jc w:val="both"/>
        <w:ind w:left="660" w:firstLine="644"/>
        <w:spacing w:after="0" w:line="263" w:lineRule="auto"/>
        <w:tabs>
          <w:tab w:leader="none" w:pos="167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29" w:lineRule="exact"/>
        <w:rPr>
          <w:rFonts w:ascii="Arial" w:cs="Arial" w:eastAsia="Arial" w:hAnsi="Arial"/>
          <w:sz w:val="18"/>
          <w:szCs w:val="18"/>
          <w:color w:val="auto"/>
        </w:rPr>
      </w:pPr>
    </w:p>
    <w:p>
      <w:pPr>
        <w:ind w:left="660" w:firstLine="644"/>
        <w:spacing w:after="0" w:line="277" w:lineRule="auto"/>
        <w:tabs>
          <w:tab w:leader="none" w:pos="172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joint venture Contract, partnership agreement or limited liability company agreement with a third party (in each case, other than with respect to wholly owned Company Subsidiaries);</w:t>
      </w:r>
    </w:p>
    <w:p>
      <w:pPr>
        <w:spacing w:after="0" w:line="116" w:lineRule="exact"/>
        <w:rPr>
          <w:rFonts w:ascii="Arial" w:cs="Arial" w:eastAsia="Arial" w:hAnsi="Arial"/>
          <w:sz w:val="18"/>
          <w:szCs w:val="18"/>
          <w:color w:val="auto"/>
        </w:rPr>
      </w:pPr>
    </w:p>
    <w:p>
      <w:pPr>
        <w:jc w:val="both"/>
        <w:ind w:left="660" w:firstLine="644"/>
        <w:spacing w:after="0" w:line="279" w:lineRule="auto"/>
        <w:tabs>
          <w:tab w:leader="none" w:pos="164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17" w:lineRule="exact"/>
        <w:rPr>
          <w:rFonts w:ascii="Arial" w:cs="Arial" w:eastAsia="Arial" w:hAnsi="Arial"/>
          <w:sz w:val="17"/>
          <w:szCs w:val="17"/>
          <w:color w:val="auto"/>
        </w:rPr>
      </w:pPr>
    </w:p>
    <w:p>
      <w:pPr>
        <w:jc w:val="both"/>
        <w:ind w:left="660" w:firstLine="644"/>
        <w:spacing w:after="0" w:line="263" w:lineRule="auto"/>
        <w:tabs>
          <w:tab w:leader="none" w:pos="158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162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29" w:lineRule="exact"/>
        <w:rPr>
          <w:rFonts w:ascii="Arial" w:cs="Arial" w:eastAsia="Arial" w:hAnsi="Arial"/>
          <w:sz w:val="18"/>
          <w:szCs w:val="18"/>
          <w:color w:val="auto"/>
        </w:rPr>
      </w:pPr>
    </w:p>
    <w:p>
      <w:pPr>
        <w:ind w:left="660" w:firstLine="644"/>
        <w:spacing w:after="0" w:line="277" w:lineRule="auto"/>
        <w:tabs>
          <w:tab w:leader="none" w:pos="167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obligation to register any Company Common Stock, Company Preferred Stock or other securities of the Company with any Governmental Entity.</w:t>
      </w:r>
    </w:p>
    <w:p>
      <w:pPr>
        <w:spacing w:after="0" w:line="116" w:lineRule="exact"/>
        <w:rPr>
          <w:rFonts w:ascii="Arial" w:cs="Arial" w:eastAsia="Arial" w:hAnsi="Arial"/>
          <w:sz w:val="18"/>
          <w:szCs w:val="18"/>
          <w:color w:val="auto"/>
        </w:rPr>
      </w:pPr>
    </w:p>
    <w:p>
      <w:pPr>
        <w:jc w:val="both"/>
        <w:ind w:firstLine="656"/>
        <w:spacing w:after="0" w:line="272" w:lineRule="auto"/>
        <w:tabs>
          <w:tab w:leader="none" w:pos="90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u w:val="single" w:color="auto"/>
          <w:color w:val="auto"/>
        </w:rPr>
        <w:t>Affiliate Matters</w:t>
      </w:r>
      <w:r>
        <w:rPr>
          <w:rFonts w:ascii="Arial" w:cs="Arial" w:eastAsia="Arial" w:hAnsi="Arial"/>
          <w:sz w:val="17"/>
          <w:szCs w:val="17"/>
          <w:color w:val="auto"/>
        </w:rPr>
        <w:t xml:space="preserve">. Except: (a) the Company Benefit Plans; (b) Contracts relating to labor and employment matters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Arial" w:cs="Arial" w:eastAsia="Arial" w:hAnsi="Arial"/>
          <w:sz w:val="17"/>
          <w:szCs w:val="17"/>
          <w:u w:val="single" w:color="auto"/>
          <w:color w:val="auto"/>
        </w:rPr>
        <w:t>Insider</w:t>
      </w:r>
      <w:r>
        <w:rPr>
          <w:rFonts w:ascii="Arial" w:cs="Arial" w:eastAsia="Arial" w:hAnsi="Arial"/>
          <w:sz w:val="17"/>
          <w:szCs w:val="17"/>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Certain Provided Information</w:t>
      </w:r>
      <w:r>
        <w:rPr>
          <w:rFonts w:ascii="Arial" w:cs="Arial" w:eastAsia="Arial" w:hAnsi="Arial"/>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9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10"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29" w:lineRule="exact"/>
        <w:rPr>
          <w:rFonts w:ascii="Arial" w:cs="Arial" w:eastAsia="Arial" w:hAnsi="Arial"/>
          <w:sz w:val="18"/>
          <w:szCs w:val="18"/>
          <w:color w:val="auto"/>
        </w:rPr>
      </w:pPr>
    </w:p>
    <w:p>
      <w:pPr>
        <w:jc w:val="both"/>
        <w:ind w:firstLine="656"/>
        <w:spacing w:after="0" w:line="279" w:lineRule="auto"/>
        <w:tabs>
          <w:tab w:leader="none" w:pos="91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Crimea, Cuba, Iran, North Korea, and Syria). None of the Group Companies’ products are identified or described on the Commerce Control List of the EAR or otherwise controlled for export.</w:t>
      </w:r>
    </w:p>
    <w:p>
      <w:pPr>
        <w:spacing w:after="0" w:line="116" w:lineRule="exact"/>
        <w:rPr>
          <w:sz w:val="20"/>
          <w:szCs w:val="20"/>
          <w:color w:val="auto"/>
        </w:rPr>
      </w:pPr>
    </w:p>
    <w:p>
      <w:pPr>
        <w:jc w:val="both"/>
        <w:ind w:firstLine="656"/>
        <w:spacing w:after="0" w:line="296" w:lineRule="auto"/>
        <w:tabs>
          <w:tab w:leader="none" w:pos="91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1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Government Grants and Incentives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Arial" w:cs="Arial" w:eastAsia="Arial" w:hAnsi="Arial"/>
          <w:sz w:val="16"/>
          <w:szCs w:val="16"/>
          <w:u w:val="single" w:color="auto"/>
          <w:color w:val="auto"/>
        </w:rPr>
        <w:t>Government Grants</w:t>
      </w:r>
      <w:r>
        <w:rPr>
          <w:rFonts w:ascii="Arial" w:cs="Arial" w:eastAsia="Arial" w:hAnsi="Arial"/>
          <w:sz w:val="16"/>
          <w:szCs w:val="16"/>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OIG</w:t>
      </w:r>
      <w:r>
        <w:rPr>
          <w:rFonts w:ascii="Arial" w:cs="Arial" w:eastAsia="Arial" w:hAnsi="Arial"/>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Schedule 4.27(a)</w:t>
      </w:r>
      <w:r>
        <w:rPr>
          <w:rFonts w:ascii="Arial" w:cs="Arial" w:eastAsia="Arial" w:hAnsi="Arial"/>
          <w:sz w:val="18"/>
          <w:szCs w:val="18"/>
          <w:color w:val="auto"/>
        </w:rPr>
        <w:t xml:space="preserve"> lists the 20 largest customers (by revenue) of the Group Companies, during the 12-month period ending on December 31, 2020 (each, a “</w:t>
      </w:r>
      <w:r>
        <w:rPr>
          <w:rFonts w:ascii="Arial" w:cs="Arial" w:eastAsia="Arial" w:hAnsi="Arial"/>
          <w:sz w:val="18"/>
          <w:szCs w:val="18"/>
          <w:u w:val="single" w:color="auto"/>
          <w:color w:val="auto"/>
        </w:rPr>
        <w:t>Top Customer</w:t>
      </w:r>
      <w:r>
        <w:rPr>
          <w:rFonts w:ascii="Arial" w:cs="Arial" w:eastAsia="Arial" w:hAnsi="Arial"/>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3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Schedule 4.27(b)</w:t>
      </w:r>
      <w:r>
        <w:rPr>
          <w:rFonts w:ascii="Arial" w:cs="Arial" w:eastAsia="Arial" w:hAnsi="Arial"/>
          <w:sz w:val="17"/>
          <w:szCs w:val="17"/>
          <w:color w:val="auto"/>
        </w:rPr>
        <w:t xml:space="preserve"> lists the 20 largest suppliers (by amounts paid/payable to such suppliers) of the Group Companies, during the 12-month period ending on December 31, 2020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THE COMPANY HEREBY ACKNOWLEDGES THAT, EXCEPT AS EXPRESSLY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COMPANY, COMPANY STOCKHOLDERS, OR THEIR RESPECTIVE AFFILIATES OR REPRESENTATIVES ANY REPRESENTATION OR WARRANTY OTHER THAN AS EXPRESSLY MADE BY PARENT AND MERGER SUB TO THE COMPANY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 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CLAIMS AGAINST PARENT, MERGER SUB, OR ANY OTHER PERSON SHALL NOT BE LIMITED IN ANY RESPECT IN THE EVENT OF INTENTIONAL FRAUD IN THE MAKING OF THE REPRESENTATIONS AND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 as set forth in the letter dated as of the date of this Agreement and delivered by Parent and Merger Sub to the Company on or prior to the date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71" w:lineRule="exact"/>
        <w:rPr>
          <w:sz w:val="20"/>
          <w:szCs w:val="20"/>
          <w:color w:val="auto"/>
        </w:rPr>
      </w:pPr>
    </w:p>
    <w:p>
      <w:pPr>
        <w:ind w:right="20" w:firstLine="656"/>
        <w:spacing w:after="0" w:line="342" w:lineRule="auto"/>
        <w:tabs>
          <w:tab w:leader="none" w:pos="9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69" w:lineRule="exact"/>
        <w:rPr>
          <w:rFonts w:ascii="Arial" w:cs="Arial" w:eastAsia="Arial" w:hAnsi="Arial"/>
          <w:sz w:val="16"/>
          <w:szCs w:val="16"/>
          <w:color w:val="auto"/>
        </w:rPr>
      </w:pPr>
    </w:p>
    <w:p>
      <w:pPr>
        <w:ind w:right="20" w:firstLine="656"/>
        <w:spacing w:after="0" w:line="342" w:lineRule="auto"/>
        <w:tabs>
          <w:tab w:leader="none" w:pos="9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69" w:lineRule="exact"/>
        <w:rPr>
          <w:rFonts w:ascii="Arial" w:cs="Arial" w:eastAsia="Arial" w:hAnsi="Arial"/>
          <w:sz w:val="16"/>
          <w:szCs w:val="16"/>
          <w:color w:val="auto"/>
        </w:rPr>
      </w:pPr>
    </w:p>
    <w:p>
      <w:pPr>
        <w:ind w:left="900" w:hanging="244"/>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None of Parent or Merger Sub are in violation of any of the provisions of their respective Charter Documents.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Arial" w:cs="Arial" w:eastAsia="Arial" w:hAnsi="Arial"/>
          <w:sz w:val="17"/>
          <w:szCs w:val="17"/>
          <w:u w:val="single" w:color="auto"/>
          <w:color w:val="auto"/>
        </w:rPr>
        <w:t>Schedule 5.1(d)</w:t>
      </w:r>
      <w:r>
        <w:rPr>
          <w:rFonts w:ascii="Arial" w:cs="Arial" w:eastAsia="Arial" w:hAnsi="Arial"/>
          <w:sz w:val="17"/>
          <w:szCs w:val="17"/>
          <w:color w:val="auto"/>
        </w:rPr>
        <w:t xml:space="preserve"> of the Parent Disclosure Letter.</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Parent Subsidiaries</w:t>
      </w:r>
      <w:r>
        <w:rPr>
          <w:rFonts w:ascii="Arial" w:cs="Arial" w:eastAsia="Arial" w:hAnsi="Arial"/>
          <w:sz w:val="17"/>
          <w:szCs w:val="17"/>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88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As of the date of this Agreement: (i) 380,000,000 Class A common shares of Parent, par value $0.0001 per share (“</w:t>
      </w:r>
      <w:r>
        <w:rPr>
          <w:rFonts w:ascii="Arial" w:cs="Arial" w:eastAsia="Arial" w:hAnsi="Arial"/>
          <w:sz w:val="17"/>
          <w:szCs w:val="17"/>
          <w:u w:val="single" w:color="auto"/>
          <w:color w:val="auto"/>
        </w:rPr>
        <w:t>Parent Class A Stock</w:t>
      </w:r>
      <w:r>
        <w:rPr>
          <w:rFonts w:ascii="Arial" w:cs="Arial" w:eastAsia="Arial" w:hAnsi="Arial"/>
          <w:sz w:val="17"/>
          <w:szCs w:val="17"/>
          <w:color w:val="auto"/>
        </w:rPr>
        <w:t>”), are authorized and 44,275,000 shares of Parent Class A Stock are issued and outstanding; (ii) 20,000,000 Class B common shares of Parent, par value $0.0001 per share (“</w:t>
      </w:r>
      <w:r>
        <w:rPr>
          <w:rFonts w:ascii="Arial" w:cs="Arial" w:eastAsia="Arial" w:hAnsi="Arial"/>
          <w:sz w:val="17"/>
          <w:szCs w:val="17"/>
          <w:u w:val="single" w:color="auto"/>
          <w:color w:val="auto"/>
        </w:rPr>
        <w:t>Parent Class B Stock</w:t>
      </w:r>
      <w:r>
        <w:rPr>
          <w:rFonts w:ascii="Arial" w:cs="Arial" w:eastAsia="Arial" w:hAnsi="Arial"/>
          <w:sz w:val="17"/>
          <w:szCs w:val="17"/>
          <w:color w:val="auto"/>
        </w:rPr>
        <w:t>” and, together with the Parent Class A Stock, the “</w:t>
      </w:r>
      <w:r>
        <w:rPr>
          <w:rFonts w:ascii="Arial" w:cs="Arial" w:eastAsia="Arial" w:hAnsi="Arial"/>
          <w:sz w:val="17"/>
          <w:szCs w:val="17"/>
          <w:u w:val="single" w:color="auto"/>
          <w:color w:val="auto"/>
        </w:rPr>
        <w:t>Parent Shares</w:t>
      </w:r>
      <w:r>
        <w:rPr>
          <w:rFonts w:ascii="Arial" w:cs="Arial" w:eastAsia="Arial" w:hAnsi="Arial"/>
          <w:sz w:val="17"/>
          <w:szCs w:val="17"/>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are outstanding; and (v) 14,758,333 warrants to purchase one share of Parent Class A Stock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collectively with the Private Placement Warrants, the “</w:t>
      </w:r>
      <w:r>
        <w:rPr>
          <w:rFonts w:ascii="Arial" w:cs="Arial" w:eastAsia="Arial" w:hAnsi="Arial"/>
          <w:sz w:val="17"/>
          <w:szCs w:val="17"/>
          <w:u w:val="single" w:color="auto"/>
          <w:color w:val="auto"/>
        </w:rPr>
        <w:t>Parent Warrants</w:t>
      </w:r>
      <w:r>
        <w:rPr>
          <w:rFonts w:ascii="Arial" w:cs="Arial" w:eastAsia="Arial" w:hAnsi="Arial"/>
          <w:sz w:val="17"/>
          <w:szCs w:val="17"/>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26" w:lineRule="exact"/>
        <w:rPr>
          <w:rFonts w:ascii="Arial" w:cs="Arial" w:eastAsia="Arial" w:hAnsi="Arial"/>
          <w:sz w:val="17"/>
          <w:szCs w:val="17"/>
          <w:color w:val="auto"/>
        </w:rPr>
      </w:pPr>
    </w:p>
    <w:p>
      <w:pPr>
        <w:jc w:val="both"/>
        <w:ind w:firstLine="656"/>
        <w:spacing w:after="0" w:line="311" w:lineRule="auto"/>
        <w:tabs>
          <w:tab w:leader="none" w:pos="90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 shares of common stock, par value $0.0001 per share (the “</w:t>
      </w:r>
      <w:r>
        <w:rPr>
          <w:rFonts w:ascii="Arial" w:cs="Arial" w:eastAsia="Arial" w:hAnsi="Arial"/>
          <w:sz w:val="16"/>
          <w:szCs w:val="16"/>
          <w:u w:val="single" w:color="auto"/>
          <w:color w:val="auto"/>
        </w:rPr>
        <w:t>Merger Sub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44" w:lineRule="exact"/>
        <w:rPr>
          <w:sz w:val="20"/>
          <w:szCs w:val="20"/>
          <w:color w:val="auto"/>
        </w:rPr>
      </w:pPr>
    </w:p>
    <w:p>
      <w:pPr>
        <w:jc w:val="both"/>
        <w:ind w:firstLine="656"/>
        <w:spacing w:after="0" w:line="273" w:lineRule="auto"/>
        <w:tabs>
          <w:tab w:leader="none" w:pos="927" w:val="left"/>
        </w:tabs>
        <w:numPr>
          <w:ilvl w:val="1"/>
          <w:numId w:val="316"/>
        </w:numPr>
        <w:rPr>
          <w:rFonts w:ascii="Arial" w:cs="Arial" w:eastAsia="Arial" w:hAnsi="Arial"/>
          <w:sz w:val="17"/>
          <w:szCs w:val="17"/>
          <w:color w:val="auto"/>
        </w:rPr>
      </w:pPr>
      <w:r>
        <w:rPr>
          <w:rFonts w:ascii="Arial" w:cs="Arial" w:eastAsia="Arial" w:hAnsi="Arial"/>
          <w:sz w:val="17"/>
          <w:szCs w:val="17"/>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23" w:lineRule="exact"/>
        <w:rPr>
          <w:rFonts w:ascii="Arial" w:cs="Arial" w:eastAsia="Arial" w:hAnsi="Arial"/>
          <w:sz w:val="17"/>
          <w:szCs w:val="17"/>
          <w:color w:val="auto"/>
        </w:rPr>
      </w:pPr>
    </w:p>
    <w:p>
      <w:pPr>
        <w:ind w:left="920" w:hanging="264"/>
        <w:spacing w:after="0"/>
        <w:tabs>
          <w:tab w:leader="none" w:pos="9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Each Parent Share, share of Merger Sub Common Stock and Parent Warrant: (i) has been issued in compliance in all material respects with:</w:t>
      </w:r>
    </w:p>
    <w:p>
      <w:pPr>
        <w:spacing w:after="0" w:line="46" w:lineRule="exact"/>
        <w:rPr>
          <w:rFonts w:ascii="Arial" w:cs="Arial" w:eastAsia="Arial" w:hAnsi="Arial"/>
          <w:sz w:val="16"/>
          <w:szCs w:val="16"/>
          <w:color w:val="auto"/>
        </w:rPr>
      </w:pPr>
    </w:p>
    <w:p>
      <w:pPr>
        <w:jc w:val="both"/>
        <w:ind w:firstLine="8"/>
        <w:spacing w:after="0" w:line="277" w:lineRule="auto"/>
        <w:tabs>
          <w:tab w:leader="none" w:pos="311"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18" w:lineRule="exact"/>
        <w:rPr>
          <w:rFonts w:ascii="Arial" w:cs="Arial" w:eastAsia="Arial" w:hAnsi="Arial"/>
          <w:sz w:val="17"/>
          <w:szCs w:val="17"/>
          <w:color w:val="auto"/>
        </w:rPr>
      </w:pPr>
    </w:p>
    <w:p>
      <w:pPr>
        <w:ind w:firstLine="656"/>
        <w:spacing w:after="0" w:line="277" w:lineRule="auto"/>
        <w:tabs>
          <w:tab w:leader="none" w:pos="895"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16" w:lineRule="exact"/>
        <w:rPr>
          <w:rFonts w:ascii="Arial" w:cs="Arial" w:eastAsia="Arial" w:hAnsi="Arial"/>
          <w:sz w:val="18"/>
          <w:szCs w:val="18"/>
          <w:color w:val="auto"/>
        </w:rPr>
      </w:pPr>
    </w:p>
    <w:p>
      <w:pPr>
        <w:jc w:val="both"/>
        <w:ind w:right="20" w:firstLine="656"/>
        <w:spacing w:after="0" w:line="279" w:lineRule="auto"/>
        <w:tabs>
          <w:tab w:leader="none" w:pos="899" w:val="left"/>
        </w:tabs>
        <w:numPr>
          <w:ilvl w:val="1"/>
          <w:numId w:val="317"/>
        </w:numPr>
        <w:rPr>
          <w:rFonts w:ascii="Arial" w:cs="Arial" w:eastAsia="Arial" w:hAnsi="Arial"/>
          <w:sz w:val="17"/>
          <w:szCs w:val="17"/>
          <w:color w:val="auto"/>
        </w:rPr>
      </w:pPr>
      <w:r>
        <w:rPr>
          <w:rFonts w:ascii="Arial" w:cs="Arial" w:eastAsia="Arial" w:hAnsi="Arial"/>
          <w:sz w:val="17"/>
          <w:szCs w:val="17"/>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117"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9"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29" w:lineRule="exact"/>
        <w:rPr>
          <w:rFonts w:ascii="Arial" w:cs="Arial" w:eastAsia="Arial" w:hAnsi="Arial"/>
          <w:sz w:val="18"/>
          <w:szCs w:val="18"/>
          <w:color w:val="auto"/>
        </w:rPr>
      </w:pPr>
    </w:p>
    <w:p>
      <w:pPr>
        <w:ind w:left="860" w:hanging="204"/>
        <w:spacing w:after="0"/>
        <w:tabs>
          <w:tab w:leader="none" w:pos="86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holders of the Parent Class B Stock have waived any adjustment to the Initial Conversion Ratio (as defined in the Parent Charter).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9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4" w:lineRule="exact"/>
        <w:rPr>
          <w:sz w:val="20"/>
          <w:szCs w:val="20"/>
          <w:color w:val="auto"/>
        </w:rPr>
      </w:pPr>
    </w:p>
    <w:p>
      <w:pPr>
        <w:jc w:val="both"/>
        <w:ind w:firstLine="656"/>
        <w:spacing w:after="0" w:line="273" w:lineRule="auto"/>
        <w:tabs>
          <w:tab w:leader="none" w:pos="90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Parent Stockholder Approval is the only vote of the holders of any class or series of capital stock of Parent required to approve and adopt this Agreement and approve the Transactions.</w:t>
      </w:r>
    </w:p>
    <w:p>
      <w:pPr>
        <w:spacing w:after="0" w:line="123" w:lineRule="exact"/>
        <w:rPr>
          <w:rFonts w:ascii="Arial" w:cs="Arial" w:eastAsia="Arial" w:hAnsi="Arial"/>
          <w:sz w:val="17"/>
          <w:szCs w:val="17"/>
          <w:color w:val="auto"/>
        </w:rPr>
      </w:pPr>
    </w:p>
    <w:p>
      <w:pPr>
        <w:jc w:val="both"/>
        <w:ind w:firstLine="656"/>
        <w:spacing w:after="0" w:line="255" w:lineRule="auto"/>
        <w:tabs>
          <w:tab w:leader="none" w:pos="88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0" w:lineRule="auto"/>
        <w:tabs>
          <w:tab w:leader="none" w:pos="90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11" w:lineRule="exact"/>
        <w:rPr>
          <w:rFonts w:ascii="Arial" w:cs="Arial" w:eastAsia="Arial" w:hAnsi="Arial"/>
          <w:sz w:val="16"/>
          <w:szCs w:val="16"/>
          <w:color w:val="auto"/>
        </w:rPr>
      </w:pPr>
    </w:p>
    <w:p>
      <w:pPr>
        <w:jc w:val="both"/>
        <w:ind w:firstLine="656"/>
        <w:spacing w:after="0" w:line="254" w:lineRule="auto"/>
        <w:tabs>
          <w:tab w:leader="none" w:pos="90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Compliance; Approvals</w:t>
      </w:r>
      <w:r>
        <w:rPr>
          <w:rFonts w:ascii="Arial" w:cs="Arial" w:eastAsia="Arial" w:hAnsi="Arial"/>
          <w:sz w:val="17"/>
          <w:szCs w:val="17"/>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Parent SEC Reports and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89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and will have filed all such forms, reports, schedules, statements and other documents required to be filed subsequent to the date of this Agreement through the Closing Date (the “</w:t>
      </w:r>
      <w:r>
        <w:rPr>
          <w:rFonts w:ascii="Arial" w:cs="Arial" w:eastAsia="Arial" w:hAnsi="Arial"/>
          <w:sz w:val="16"/>
          <w:szCs w:val="16"/>
          <w:u w:val="single" w:color="auto"/>
          <w:color w:val="auto"/>
        </w:rPr>
        <w:t>Additional Parent SEC Reports</w:t>
      </w:r>
      <w:r>
        <w:rPr>
          <w:rFonts w:ascii="Arial" w:cs="Arial" w:eastAsia="Arial" w:hAnsi="Arial"/>
          <w:sz w:val="16"/>
          <w:szCs w:val="16"/>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6"/>
          <w:szCs w:val="16"/>
          <w:u w:val="single" w:color="auto"/>
          <w:color w:val="auto"/>
        </w:rPr>
        <w:t>Certifications</w:t>
      </w:r>
      <w:r>
        <w:rPr>
          <w:rFonts w:ascii="Arial" w:cs="Arial" w:eastAsia="Arial" w:hAnsi="Arial"/>
          <w:sz w:val="16"/>
          <w:szCs w:val="16"/>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341" w:lineRule="exact"/>
        <w:rPr>
          <w:rFonts w:ascii="Arial" w:cs="Arial" w:eastAsia="Arial" w:hAnsi="Arial"/>
          <w:sz w:val="16"/>
          <w:szCs w:val="16"/>
          <w:color w:val="auto"/>
        </w:rPr>
      </w:pPr>
    </w:p>
    <w:p>
      <w:pPr>
        <w:jc w:val="both"/>
        <w:ind w:firstLine="656"/>
        <w:spacing w:after="0" w:line="254" w:lineRule="auto"/>
        <w:tabs>
          <w:tab w:leader="none" w:pos="93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of its Subsidiaries that would be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such action were taken on or after the date hereof without the consent of the Company.</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Business Activities ; Liabilities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4" w:lineRule="auto"/>
        <w:tabs>
          <w:tab w:leader="none" w:pos="93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40" w:lineRule="exact"/>
        <w:rPr>
          <w:rFonts w:ascii="Arial" w:cs="Arial" w:eastAsia="Arial" w:hAnsi="Arial"/>
          <w:sz w:val="18"/>
          <w:szCs w:val="18"/>
          <w:color w:val="auto"/>
        </w:rPr>
      </w:pPr>
    </w:p>
    <w:p>
      <w:pPr>
        <w:jc w:val="both"/>
        <w:ind w:firstLine="656"/>
        <w:spacing w:after="0" w:line="301" w:lineRule="auto"/>
        <w:tabs>
          <w:tab w:leader="none" w:pos="92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03"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Parent Listing</w:t>
      </w:r>
      <w:r>
        <w:rPr>
          <w:rFonts w:ascii="Arial" w:cs="Arial" w:eastAsia="Arial" w:hAnsi="Arial"/>
          <w:sz w:val="17"/>
          <w:szCs w:val="17"/>
          <w:color w:val="auto"/>
        </w:rPr>
        <w:t>. The issued and outstanding Parent Units are registered pursuant to Section 12(b) of the Exchange Act and are listed for trading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 “</w:t>
      </w:r>
      <w:r>
        <w:rPr>
          <w:rFonts w:ascii="Arial" w:cs="Arial" w:eastAsia="Arial" w:hAnsi="Arial"/>
          <w:sz w:val="17"/>
          <w:szCs w:val="17"/>
          <w:u w:val="single" w:color="auto"/>
          <w:color w:val="auto"/>
        </w:rPr>
        <w:t>CMLFU</w:t>
      </w:r>
      <w:r>
        <w:rPr>
          <w:rFonts w:ascii="Arial" w:cs="Arial" w:eastAsia="Arial" w:hAnsi="Arial"/>
          <w:sz w:val="17"/>
          <w:szCs w:val="17"/>
          <w:color w:val="auto"/>
        </w:rPr>
        <w:t>”. The issued and outstanding shares of Parent Class A Stock are registered pursuant to Section 12(b) of the Exchange Act and are listed for trading on Nasdaq under the symbol “</w:t>
      </w:r>
      <w:r>
        <w:rPr>
          <w:rFonts w:ascii="Arial" w:cs="Arial" w:eastAsia="Arial" w:hAnsi="Arial"/>
          <w:sz w:val="17"/>
          <w:szCs w:val="17"/>
          <w:u w:val="single" w:color="auto"/>
          <w:color w:val="auto"/>
        </w:rPr>
        <w:t>CMLF</w:t>
      </w:r>
      <w:r>
        <w:rPr>
          <w:rFonts w:ascii="Arial" w:cs="Arial" w:eastAsia="Arial" w:hAnsi="Arial"/>
          <w:sz w:val="17"/>
          <w:szCs w:val="17"/>
          <w:color w:val="auto"/>
        </w:rPr>
        <w:t>”. The issued and outstanding Public Warrants are registered pursuant to Section 12(b) of the Exchange Act and are listed for trading on Nasdaq under the symbol “</w:t>
      </w:r>
      <w:r>
        <w:rPr>
          <w:rFonts w:ascii="Arial" w:cs="Arial" w:eastAsia="Arial" w:hAnsi="Arial"/>
          <w:sz w:val="17"/>
          <w:szCs w:val="17"/>
          <w:u w:val="single" w:color="auto"/>
          <w:color w:val="auto"/>
        </w:rPr>
        <w:t>CMLFW</w:t>
      </w:r>
      <w:r>
        <w:rPr>
          <w:rFonts w:ascii="Arial" w:cs="Arial" w:eastAsia="Arial" w:hAnsi="Arial"/>
          <w:sz w:val="17"/>
          <w:szCs w:val="17"/>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Parent Disclosure Letter sets forth a true, accurate and complete list of each of the subscription agreements (the “</w:t>
      </w:r>
      <w:r>
        <w:rPr>
          <w:rFonts w:ascii="Arial" w:cs="Arial" w:eastAsia="Arial" w:hAnsi="Arial"/>
          <w:sz w:val="16"/>
          <w:szCs w:val="16"/>
          <w:u w:val="single" w:color="auto"/>
          <w:color w:val="auto"/>
        </w:rPr>
        <w:t>Equity Financing Agreements</w:t>
      </w:r>
      <w:r>
        <w:rPr>
          <w:rFonts w:ascii="Arial" w:cs="Arial" w:eastAsia="Arial" w:hAnsi="Arial"/>
          <w:sz w:val="16"/>
          <w:szCs w:val="16"/>
          <w:color w:val="auto"/>
        </w:rPr>
        <w:t>”) entered into by Parent with the applicable investors named therein (collectively, the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Investors</w:t>
      </w:r>
      <w:r>
        <w:rPr>
          <w:rFonts w:ascii="Arial" w:cs="Arial" w:eastAsia="Arial" w:hAnsi="Arial"/>
          <w:sz w:val="16"/>
          <w:szCs w:val="16"/>
          <w:color w:val="auto"/>
        </w:rPr>
        <w:t>”), pursuant to which the Equity Financing Investors have committed to provide equity financing to Parent in the aggregate amount of $350,000,000 (the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8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As of January 29, 2021, Parent had $442,767,712.12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and invested pursuant to that certain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effective as of September 1, 2020, by and between Parent and Continental Stock Transfer &amp; Trust Company, a New York corporation (“</w:t>
      </w:r>
      <w:r>
        <w:rPr>
          <w:rFonts w:ascii="Arial" w:cs="Arial" w:eastAsia="Arial" w:hAnsi="Arial"/>
          <w:sz w:val="16"/>
          <w:szCs w:val="16"/>
          <w:u w:val="single" w:color="auto"/>
          <w:color w:val="auto"/>
        </w:rPr>
        <w:t>Continental</w:t>
      </w:r>
      <w:r>
        <w:rPr>
          <w:rFonts w:ascii="Arial" w:cs="Arial" w:eastAsia="Arial" w:hAnsi="Arial"/>
          <w:sz w:val="16"/>
          <w:szCs w:val="16"/>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10" w:lineRule="exact"/>
        <w:rPr>
          <w:rFonts w:ascii="Arial" w:cs="Arial" w:eastAsia="Arial" w:hAnsi="Arial"/>
          <w:sz w:val="16"/>
          <w:szCs w:val="16"/>
          <w:color w:val="auto"/>
        </w:rPr>
      </w:pPr>
    </w:p>
    <w:p>
      <w:pPr>
        <w:jc w:val="both"/>
        <w:ind w:firstLine="656"/>
        <w:spacing w:after="0" w:line="286" w:lineRule="auto"/>
        <w:tabs>
          <w:tab w:leader="none" w:pos="91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ind w:left="920" w:hanging="264"/>
        <w:spacing w:after="0"/>
        <w:tabs>
          <w:tab w:leader="none" w:pos="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Parent has paid all material amounts of its Taxes which are due and payable.</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73" w:lineRule="auto"/>
        <w:tabs>
          <w:tab w:leader="none" w:pos="90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23" w:lineRule="exact"/>
        <w:rPr>
          <w:rFonts w:ascii="Arial" w:cs="Arial" w:eastAsia="Arial" w:hAnsi="Arial"/>
          <w:sz w:val="17"/>
          <w:szCs w:val="17"/>
          <w:color w:val="auto"/>
        </w:rPr>
      </w:pPr>
    </w:p>
    <w:p>
      <w:pPr>
        <w:ind w:left="900" w:hanging="244"/>
        <w:spacing w:after="0"/>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Parent’s assets.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Employees; Benefit Plans</w:t>
      </w:r>
      <w:r>
        <w:rPr>
          <w:rFonts w:ascii="Arial" w:cs="Arial" w:eastAsia="Arial" w:hAnsi="Arial"/>
          <w:sz w:val="16"/>
          <w:szCs w:val="16"/>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2" w:lineRule="exact"/>
        <w:rPr>
          <w:sz w:val="20"/>
          <w:szCs w:val="20"/>
          <w:color w:val="auto"/>
        </w:rPr>
      </w:pPr>
    </w:p>
    <w:p>
      <w:pPr>
        <w:jc w:val="both"/>
        <w:ind w:firstLine="8"/>
        <w:spacing w:after="0" w:line="255" w:lineRule="auto"/>
        <w:tabs>
          <w:tab w:leader="none" w:pos="25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3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Board Approval; Stockholder Vote</w:t>
      </w:r>
      <w:r>
        <w:rPr>
          <w:rFonts w:ascii="Arial" w:cs="Arial" w:eastAsia="Arial" w:hAnsi="Arial"/>
          <w:sz w:val="16"/>
          <w:szCs w:val="16"/>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Title to Assets</w:t>
      </w:r>
      <w:r>
        <w:rPr>
          <w:rFonts w:ascii="Arial" w:cs="Arial" w:eastAsia="Arial" w:hAnsi="Arial"/>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PARENT AND MERGER SUB HEREBY ACKNOWLEDGE THAT, (x) NONE OF ISMMS OR ANY OTHER MSHS ENTITY, OR (y) EXCEPT AS EXPRESSLY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AND (b) NONE OF THE COMPANY NOR ANY OF ITS SUBSIDIARIES, NOR THEIR RESPECTIVE AFFILIATES OR REPRESENTATIVES, HAS MADE, IS MAKING, OR SHALL BE DEEMED TO MAKE TO PARENT, MERGER SUB, OR THEIR RESPECTIVE AFFILIATES OR REPRESENTATIVES OR ANY OTHER PERSON ANY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CLAIMS AGAINST THE COMPANY OR ANY OTHER PERSON SHALL NOT BE LIMITED IN ANY RESPECT IN THE EVENT OF INTENTIONAL FRAUD IN THE MAKING THE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BY SUCH PERSON. PARENT AND MERGER SUB HEREBY ACKNOWLEDGE THAT: (A) 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CONDUCT PRIOR TO THE CLOSING DATE</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Business by the Company and the Company Subsidiaries</w:t>
      </w:r>
      <w:r>
        <w:rPr>
          <w:rFonts w:ascii="Arial" w:cs="Arial" w:eastAsia="Arial" w:hAnsi="Arial"/>
          <w:sz w:val="16"/>
          <w:szCs w:val="16"/>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12" w:lineRule="exact"/>
        <w:rPr>
          <w:sz w:val="20"/>
          <w:szCs w:val="20"/>
          <w:color w:val="auto"/>
        </w:rPr>
      </w:pPr>
    </w:p>
    <w:p>
      <w:pPr>
        <w:jc w:val="both"/>
        <w:ind w:firstLine="656"/>
        <w:spacing w:after="0" w:line="269" w:lineRule="auto"/>
        <w:tabs>
          <w:tab w:leader="none" w:pos="90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24" w:lineRule="exact"/>
        <w:rPr>
          <w:rFonts w:ascii="Arial" w:cs="Arial" w:eastAsia="Arial" w:hAnsi="Arial"/>
          <w:sz w:val="17"/>
          <w:szCs w:val="17"/>
          <w:color w:val="auto"/>
        </w:rPr>
      </w:pPr>
    </w:p>
    <w:p>
      <w:pPr>
        <w:jc w:val="both"/>
        <w:ind w:firstLine="656"/>
        <w:spacing w:after="0" w:line="270" w:lineRule="auto"/>
        <w:tabs>
          <w:tab w:leader="none" w:pos="91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license on an exclusive basis or sell any material Owned Intellectual Property;</w:t>
      </w:r>
    </w:p>
    <w:p>
      <w:pPr>
        <w:spacing w:after="0" w:line="126" w:lineRule="exact"/>
        <w:rPr>
          <w:rFonts w:ascii="Arial" w:cs="Arial" w:eastAsia="Arial" w:hAnsi="Arial"/>
          <w:sz w:val="17"/>
          <w:szCs w:val="17"/>
          <w:color w:val="auto"/>
        </w:rPr>
      </w:pPr>
    </w:p>
    <w:p>
      <w:pPr>
        <w:jc w:val="both"/>
        <w:ind w:firstLine="656"/>
        <w:spacing w:after="0" w:line="272" w:lineRule="auto"/>
        <w:tabs>
          <w:tab w:leader="none" w:pos="91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24" w:lineRule="exact"/>
        <w:rPr>
          <w:sz w:val="20"/>
          <w:szCs w:val="20"/>
          <w:color w:val="auto"/>
        </w:rPr>
      </w:pPr>
    </w:p>
    <w:p>
      <w:pPr>
        <w:ind w:left="920" w:hanging="264"/>
        <w:spacing w:after="0"/>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Arial" w:cs="Arial" w:eastAsia="Arial" w:hAnsi="Arial"/>
          <w:sz w:val="18"/>
          <w:szCs w:val="18"/>
          <w:u w:val="single" w:color="auto"/>
          <w:color w:val="auto"/>
        </w:rPr>
        <w:t>Schedule 6.1(f)</w:t>
      </w:r>
      <w:r>
        <w:rPr>
          <w:rFonts w:ascii="Arial" w:cs="Arial" w:eastAsia="Arial" w:hAnsi="Arial"/>
          <w:sz w:val="18"/>
          <w:szCs w:val="18"/>
          <w:color w:val="auto"/>
        </w:rPr>
        <w:t xml:space="preserve"> of the Company Disclosure Letter;</w:t>
      </w:r>
    </w:p>
    <w:p>
      <w:pPr>
        <w:spacing w:after="0" w:line="129"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Arial" w:cs="Arial" w:eastAsia="Arial" w:hAnsi="Arial"/>
          <w:sz w:val="17"/>
          <w:szCs w:val="17"/>
          <w:u w:val="single" w:color="auto"/>
          <w:color w:val="auto"/>
        </w:rPr>
        <w:t>Schedule 6.1(g)</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26" w:lineRule="exact"/>
        <w:rPr>
          <w:rFonts w:ascii="Arial" w:cs="Arial" w:eastAsia="Arial" w:hAnsi="Arial"/>
          <w:sz w:val="17"/>
          <w:szCs w:val="17"/>
          <w:color w:val="auto"/>
        </w:rPr>
      </w:pPr>
    </w:p>
    <w:p>
      <w:pPr>
        <w:ind w:left="920" w:hanging="264"/>
        <w:spacing w:after="0"/>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Group Companies, taken as a whole;</w:t>
      </w:r>
    </w:p>
    <w:p>
      <w:pPr>
        <w:spacing w:after="0" w:line="171" w:lineRule="exact"/>
        <w:rPr>
          <w:rFonts w:ascii="Arial" w:cs="Arial" w:eastAsia="Arial" w:hAnsi="Arial"/>
          <w:sz w:val="18"/>
          <w:szCs w:val="18"/>
          <w:color w:val="auto"/>
        </w:rPr>
      </w:pPr>
    </w:p>
    <w:p>
      <w:pPr>
        <w:jc w:val="both"/>
        <w:ind w:firstLine="656"/>
        <w:spacing w:after="0" w:line="279" w:lineRule="auto"/>
        <w:tabs>
          <w:tab w:leader="none" w:pos="87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117" w:lineRule="exact"/>
        <w:rPr>
          <w:rFonts w:ascii="Arial" w:cs="Arial" w:eastAsia="Arial" w:hAnsi="Arial"/>
          <w:sz w:val="17"/>
          <w:szCs w:val="17"/>
          <w:color w:val="auto"/>
        </w:rPr>
      </w:pPr>
    </w:p>
    <w:p>
      <w:pPr>
        <w:jc w:val="both"/>
        <w:ind w:firstLine="656"/>
        <w:spacing w:after="0" w:line="259" w:lineRule="auto"/>
        <w:tabs>
          <w:tab w:leader="none" w:pos="86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incur or enter into a Contract requiring the Company to make any capital expenditures in excess of $250,000 in any 12-month period;</w:t>
      </w:r>
    </w:p>
    <w:p>
      <w:pPr>
        <w:spacing w:after="0" w:line="182" w:lineRule="exact"/>
        <w:rPr>
          <w:rFonts w:ascii="Arial" w:cs="Arial" w:eastAsia="Arial" w:hAnsi="Arial"/>
          <w:sz w:val="17"/>
          <w:szCs w:val="17"/>
          <w:color w:val="auto"/>
        </w:rPr>
      </w:pPr>
    </w:p>
    <w:p>
      <w:pPr>
        <w:ind w:right="20" w:firstLine="656"/>
        <w:spacing w:after="0" w:line="277" w:lineRule="auto"/>
        <w:tabs>
          <w:tab w:leader="none" w:pos="87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ind w:firstLine="656"/>
        <w:spacing w:after="0" w:line="277" w:lineRule="auto"/>
        <w:tabs>
          <w:tab w:leader="none" w:pos="9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make or rescind any material Tax election; (ii) settle or compromise any material Tax claim; (iii) change (or request to change) any method of accounting for Tax purposes; (iv) file any amendment to an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41" w:lineRule="exact"/>
        <w:rPr>
          <w:sz w:val="20"/>
          <w:szCs w:val="20"/>
          <w:color w:val="auto"/>
        </w:rPr>
      </w:pPr>
    </w:p>
    <w:p>
      <w:pPr>
        <w:jc w:val="both"/>
        <w:ind w:firstLine="656"/>
        <w:spacing w:after="0" w:line="259" w:lineRule="auto"/>
        <w:tabs>
          <w:tab w:leader="none" w:pos="9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Arial" w:cs="Arial" w:eastAsia="Arial" w:hAnsi="Arial"/>
          <w:sz w:val="18"/>
          <w:szCs w:val="18"/>
          <w:u w:val="single" w:color="auto"/>
          <w:color w:val="auto"/>
        </w:rPr>
        <w:t>Schedule 6.1(n)</w:t>
      </w:r>
      <w:r>
        <w:rPr>
          <w:rFonts w:ascii="Arial" w:cs="Arial" w:eastAsia="Arial" w:hAnsi="Arial"/>
          <w:sz w:val="18"/>
          <w:szCs w:val="18"/>
          <w:color w:val="auto"/>
        </w:rPr>
        <w:t xml:space="preserve"> of the Company Disclosure Letter as existing on the date of this Agreement;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92" w:lineRule="auto"/>
        <w:tabs>
          <w:tab w:leader="none" w:pos="26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Parent and Merger Sub</w:t>
      </w:r>
      <w:r>
        <w:rPr>
          <w:rFonts w:ascii="Arial" w:cs="Arial" w:eastAsia="Arial" w:hAnsi="Arial"/>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38" w:lineRule="exact"/>
        <w:rPr>
          <w:sz w:val="20"/>
          <w:szCs w:val="20"/>
          <w:color w:val="auto"/>
        </w:rPr>
      </w:pPr>
    </w:p>
    <w:p>
      <w:pPr>
        <w:jc w:val="both"/>
        <w:ind w:firstLine="656"/>
        <w:spacing w:after="0" w:line="286" w:lineRule="auto"/>
        <w:tabs>
          <w:tab w:leader="none" w:pos="902" w:val="left"/>
        </w:tabs>
        <w:numPr>
          <w:ilvl w:val="0"/>
          <w:numId w:val="330"/>
        </w:numPr>
        <w:rPr>
          <w:rFonts w:ascii="Arial" w:cs="Arial" w:eastAsia="Arial" w:hAnsi="Arial"/>
          <w:sz w:val="17"/>
          <w:szCs w:val="17"/>
          <w:color w:val="auto"/>
        </w:rPr>
      </w:pPr>
      <w:r>
        <w:rPr>
          <w:rFonts w:ascii="Arial" w:cs="Arial" w:eastAsia="Arial" w:hAnsi="Arial"/>
          <w:sz w:val="17"/>
          <w:szCs w:val="17"/>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11" w:lineRule="exact"/>
        <w:rPr>
          <w:rFonts w:ascii="Arial" w:cs="Arial" w:eastAsia="Arial" w:hAnsi="Arial"/>
          <w:sz w:val="17"/>
          <w:szCs w:val="17"/>
          <w:color w:val="auto"/>
        </w:rPr>
      </w:pPr>
    </w:p>
    <w:p>
      <w:pPr>
        <w:ind w:left="920" w:hanging="264"/>
        <w:spacing w:after="0"/>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144" w:lineRule="exact"/>
        <w:rPr>
          <w:sz w:val="20"/>
          <w:szCs w:val="20"/>
          <w:color w:val="auto"/>
        </w:rPr>
      </w:pPr>
    </w:p>
    <w:p>
      <w:pPr>
        <w:jc w:val="both"/>
        <w:ind w:firstLine="656"/>
        <w:spacing w:after="0" w:line="275" w:lineRule="auto"/>
        <w:tabs>
          <w:tab w:leader="none" w:pos="895" w:val="left"/>
        </w:tabs>
        <w:numPr>
          <w:ilvl w:val="1"/>
          <w:numId w:val="331"/>
        </w:numPr>
        <w:rPr>
          <w:rFonts w:ascii="Arial" w:cs="Arial" w:eastAsia="Arial" w:hAnsi="Arial"/>
          <w:sz w:val="17"/>
          <w:szCs w:val="17"/>
          <w:color w:val="auto"/>
        </w:rPr>
      </w:pPr>
      <w:r>
        <w:rPr>
          <w:rFonts w:ascii="Arial" w:cs="Arial" w:eastAsia="Arial" w:hAnsi="Arial"/>
          <w:sz w:val="17"/>
          <w:szCs w:val="17"/>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22" w:lineRule="exact"/>
        <w:rPr>
          <w:rFonts w:ascii="Arial" w:cs="Arial" w:eastAsia="Arial" w:hAnsi="Arial"/>
          <w:sz w:val="17"/>
          <w:szCs w:val="17"/>
          <w:color w:val="auto"/>
        </w:rPr>
      </w:pPr>
    </w:p>
    <w:p>
      <w:pPr>
        <w:ind w:left="920" w:hanging="264"/>
        <w:spacing w:after="0"/>
        <w:tabs>
          <w:tab w:leader="none" w:pos="9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311" w:lineRule="auto"/>
        <w:tabs>
          <w:tab w:leader="none" w:pos="90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4" w:lineRule="exact"/>
        <w:rPr>
          <w:rFonts w:ascii="Arial" w:cs="Arial" w:eastAsia="Arial" w:hAnsi="Arial"/>
          <w:sz w:val="16"/>
          <w:szCs w:val="16"/>
          <w:color w:val="auto"/>
        </w:rPr>
      </w:pPr>
    </w:p>
    <w:p>
      <w:pPr>
        <w:jc w:val="both"/>
        <w:ind w:firstLine="656"/>
        <w:spacing w:after="0" w:line="311" w:lineRule="auto"/>
        <w:tabs>
          <w:tab w:leader="none" w:pos="87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94" w:lineRule="exact"/>
        <w:rPr>
          <w:rFonts w:ascii="Arial" w:cs="Arial" w:eastAsia="Arial" w:hAnsi="Arial"/>
          <w:sz w:val="16"/>
          <w:szCs w:val="16"/>
          <w:color w:val="auto"/>
        </w:rPr>
      </w:pPr>
    </w:p>
    <w:p>
      <w:pPr>
        <w:ind w:firstLine="656"/>
        <w:spacing w:after="0" w:line="277" w:lineRule="auto"/>
        <w:tabs>
          <w:tab w:leader="none" w:pos="92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firstLine="656"/>
        <w:spacing w:after="0" w:line="287" w:lineRule="auto"/>
        <w:tabs>
          <w:tab w:leader="none" w:pos="909"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53" w:lineRule="auto"/>
        <w:tabs>
          <w:tab w:leader="none" w:pos="32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38" w:lineRule="exact"/>
        <w:rPr>
          <w:rFonts w:ascii="Arial" w:cs="Arial" w:eastAsia="Arial" w:hAnsi="Arial"/>
          <w:sz w:val="18"/>
          <w:szCs w:val="18"/>
          <w:color w:val="auto"/>
        </w:rPr>
      </w:pPr>
    </w:p>
    <w:p>
      <w:pPr>
        <w:ind w:left="880" w:hanging="224"/>
        <w:spacing w:after="0"/>
        <w:tabs>
          <w:tab w:leader="none" w:pos="8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Parent or Merger Sub;</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ind w:firstLine="656"/>
        <w:spacing w:after="0" w:line="277" w:lineRule="auto"/>
        <w:tabs>
          <w:tab w:leader="none" w:pos="9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48"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29" w:lineRule="exact"/>
        <w:rPr>
          <w:rFonts w:ascii="Arial" w:cs="Arial" w:eastAsia="Arial" w:hAnsi="Arial"/>
          <w:sz w:val="18"/>
          <w:szCs w:val="18"/>
          <w:color w:val="auto"/>
        </w:rPr>
      </w:pPr>
    </w:p>
    <w:p>
      <w:pPr>
        <w:ind w:left="920" w:hanging="264"/>
        <w:spacing w:after="0"/>
        <w:tabs>
          <w:tab w:leader="none" w:pos="9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ADDITIONAL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Proxy Statement; Special Meeting</w:t>
      </w:r>
      <w:r>
        <w:rPr>
          <w:rFonts w:ascii="Arial" w:cs="Arial" w:eastAsia="Arial" w:hAnsi="Arial"/>
          <w:sz w:val="18"/>
          <w:szCs w:val="18"/>
          <w:color w:val="auto"/>
        </w:rPr>
        <w:t>.</w:t>
      </w:r>
    </w:p>
    <w:p>
      <w:pPr>
        <w:spacing w:after="0" w:line="171" w:lineRule="exact"/>
        <w:rPr>
          <w:sz w:val="20"/>
          <w:szCs w:val="20"/>
          <w:color w:val="auto"/>
        </w:rPr>
      </w:pPr>
    </w:p>
    <w:p>
      <w:pPr>
        <w:ind w:left="560" w:hanging="244"/>
        <w:spacing w:after="0"/>
        <w:tabs>
          <w:tab w:leader="none" w:pos="5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Proxy Statement.</w:t>
      </w:r>
    </w:p>
    <w:p>
      <w:pPr>
        <w:spacing w:after="0" w:line="171" w:lineRule="exact"/>
        <w:rPr>
          <w:rFonts w:ascii="Arial" w:cs="Arial" w:eastAsia="Arial" w:hAnsi="Arial"/>
          <w:sz w:val="18"/>
          <w:szCs w:val="18"/>
          <w:color w:val="auto"/>
        </w:rPr>
      </w:pPr>
    </w:p>
    <w:p>
      <w:pPr>
        <w:jc w:val="both"/>
        <w:ind w:left="320" w:firstLine="644"/>
        <w:spacing w:after="0" w:line="268" w:lineRule="auto"/>
        <w:tabs>
          <w:tab w:leader="none" w:pos="1211"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execution and delivery of this Agreement and the delivery of the PCAOB Financial Statements, Parent shall, in accordance with this </w:t>
      </w:r>
      <w:r>
        <w:rPr>
          <w:rFonts w:ascii="Arial" w:cs="Arial" w:eastAsia="Arial" w:hAnsi="Arial"/>
          <w:sz w:val="17"/>
          <w:szCs w:val="17"/>
          <w:u w:val="single" w:color="auto"/>
          <w:color w:val="auto"/>
        </w:rPr>
        <w:t>Section 7.1(a)</w:t>
      </w:r>
      <w:r>
        <w:rPr>
          <w:rFonts w:ascii="Arial" w:cs="Arial" w:eastAsia="Arial" w:hAnsi="Arial"/>
          <w:sz w:val="17"/>
          <w:szCs w:val="17"/>
          <w:color w:val="auto"/>
        </w:rPr>
        <w:t>, prepare, with the assistance of the Company, and file with the SEC, in preliminary form, a proxy statement in connection with the Transactions (as amended or supplemented,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to be sent to the stockholders of Parent in advance of the Special Meeting, for the purpose of, among other things: (A) providing Parent’s stockholders with the opportunity to redeem shares of Parent Class A Stock (the “</w:t>
      </w:r>
      <w:r>
        <w:rPr>
          <w:rFonts w:ascii="Arial" w:cs="Arial" w:eastAsia="Arial" w:hAnsi="Arial"/>
          <w:sz w:val="17"/>
          <w:szCs w:val="17"/>
          <w:u w:val="single" w:color="auto"/>
          <w:color w:val="auto"/>
        </w:rPr>
        <w:t>Parent Stockholder Redemption</w:t>
      </w:r>
      <w:r>
        <w:rPr>
          <w:rFonts w:ascii="Arial" w:cs="Arial" w:eastAsia="Arial" w:hAnsi="Arial"/>
          <w:sz w:val="17"/>
          <w:szCs w:val="17"/>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(3) the amendment and restatement of the Parent Organizational Documents in the form of the Parent A&amp;R Charter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Parent A&amp;R Bylaws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(4) adoption of the LTIP and ESPP and (5) any other proposals the Parties deem reasonably necessary or desirable to consummate the Transactions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Matters</w:t>
      </w:r>
      <w:r>
        <w:rPr>
          <w:rFonts w:ascii="Arial" w:cs="Arial" w:eastAsia="Arial" w:hAnsi="Arial"/>
          <w:sz w:val="17"/>
          <w:szCs w:val="17"/>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Arial" w:cs="Arial" w:eastAsia="Arial" w:hAnsi="Arial"/>
          <w:sz w:val="17"/>
          <w:szCs w:val="17"/>
          <w:u w:val="single" w:color="auto"/>
          <w:color w:val="auto"/>
        </w:rPr>
        <w:t>Proxy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left="320" w:firstLine="644"/>
        <w:spacing w:after="0" w:line="286" w:lineRule="auto"/>
        <w:tabs>
          <w:tab w:leader="none" w:pos="1243"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“PCAOB Financial Statements”); provided, that, upon delivery of such PCAOB Financial Statements, such financial statements shall be deemed “Audited Financial Statements” for all the purposes of this Agreement and the representation and warranties set forth in Section 4.8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19" w:lineRule="exact"/>
        <w:rPr>
          <w:rFonts w:ascii="Arial" w:cs="Arial" w:eastAsia="Arial" w:hAnsi="Arial"/>
          <w:sz w:val="16"/>
          <w:szCs w:val="16"/>
          <w:color w:val="auto"/>
        </w:rPr>
      </w:pPr>
    </w:p>
    <w:p>
      <w:pPr>
        <w:jc w:val="both"/>
        <w:ind w:left="320" w:firstLine="644"/>
        <w:spacing w:after="0" w:line="255" w:lineRule="auto"/>
        <w:tabs>
          <w:tab w:leader="none" w:pos="129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00"/>
          </w:cols>
          <w:pgMar w:left="660" w:top="1440" w:right="339" w:bottom="1440" w:gutter="0" w:footer="0" w:header="0"/>
        </w:sectPr>
      </w:pPr>
    </w:p>
    <w:bookmarkStart w:id="472" w:name="page473"/>
    <w:bookmarkEnd w:id="472"/>
    <w:p>
      <w:pPr>
        <w:spacing w:after="0" w:line="144"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w:t>
      </w:r>
    </w:p>
    <w:p>
      <w:pPr>
        <w:spacing w:after="0" w:line="2" w:lineRule="exact"/>
        <w:rPr>
          <w:sz w:val="20"/>
          <w:szCs w:val="20"/>
          <w:color w:val="auto"/>
        </w:rPr>
      </w:pPr>
    </w:p>
    <w:p>
      <w:pPr>
        <w:jc w:val="both"/>
        <w:ind w:left="660" w:hanging="4"/>
        <w:spacing w:after="0" w:line="253" w:lineRule="auto"/>
        <w:tabs>
          <w:tab w:leader="none" w:pos="95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138" w:lineRule="exact"/>
        <w:rPr>
          <w:rFonts w:ascii="Arial" w:cs="Arial" w:eastAsia="Arial" w:hAnsi="Arial"/>
          <w:sz w:val="18"/>
          <w:szCs w:val="18"/>
          <w:color w:val="auto"/>
        </w:rPr>
      </w:pPr>
    </w:p>
    <w:p>
      <w:pPr>
        <w:jc w:val="both"/>
        <w:ind w:left="660" w:firstLine="644"/>
        <w:spacing w:after="0" w:line="289" w:lineRule="auto"/>
        <w:tabs>
          <w:tab w:leader="none" w:pos="163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12" w:lineRule="exact"/>
        <w:rPr>
          <w:rFonts w:ascii="Arial" w:cs="Arial" w:eastAsia="Arial" w:hAnsi="Arial"/>
          <w:sz w:val="16"/>
          <w:szCs w:val="16"/>
          <w:color w:val="auto"/>
        </w:rPr>
      </w:pPr>
    </w:p>
    <w:p>
      <w:pPr>
        <w:jc w:val="both"/>
        <w:ind w:left="660" w:firstLine="644"/>
        <w:spacing w:after="0" w:line="273" w:lineRule="auto"/>
        <w:tabs>
          <w:tab w:leader="none" w:pos="1581" w:val="left"/>
        </w:tabs>
        <w:numPr>
          <w:ilvl w:val="1"/>
          <w:numId w:val="334"/>
        </w:numPr>
        <w:rPr>
          <w:rFonts w:ascii="Arial" w:cs="Arial" w:eastAsia="Arial" w:hAnsi="Arial"/>
          <w:sz w:val="17"/>
          <w:szCs w:val="17"/>
          <w:color w:val="auto"/>
        </w:rPr>
      </w:pPr>
      <w:r>
        <w:rPr>
          <w:rFonts w:ascii="Arial" w:cs="Arial" w:eastAsia="Arial" w:hAnsi="Arial"/>
          <w:sz w:val="17"/>
          <w:szCs w:val="17"/>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24" w:lineRule="exact"/>
        <w:rPr>
          <w:sz w:val="20"/>
          <w:szCs w:val="20"/>
          <w:color w:val="auto"/>
        </w:rPr>
      </w:pPr>
    </w:p>
    <w:p>
      <w:pPr>
        <w:jc w:val="both"/>
        <w:ind w:firstLine="656"/>
        <w:spacing w:after="0" w:line="267" w:lineRule="auto"/>
        <w:tabs>
          <w:tab w:leader="none" w:pos="90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“Special Meeting”),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“Change in Recommendation”).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Section 7.1(b),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122" w:lineRule="exact"/>
        <w:rPr>
          <w:sz w:val="20"/>
          <w:szCs w:val="20"/>
          <w:color w:val="auto"/>
        </w:rPr>
      </w:pPr>
    </w:p>
    <w:p>
      <w:pPr>
        <w:jc w:val="both"/>
        <w:ind w:firstLine="656"/>
        <w:spacing w:after="0" w:line="275" w:lineRule="auto"/>
        <w:tabs>
          <w:tab w:leader="none" w:pos="90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Company Stockholder Approval.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2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Filings; Press Release.</w:t>
      </w:r>
    </w:p>
    <w:p>
      <w:pPr>
        <w:spacing w:after="0" w:line="171" w:lineRule="exact"/>
        <w:rPr>
          <w:sz w:val="20"/>
          <w:szCs w:val="20"/>
          <w:color w:val="auto"/>
        </w:rPr>
      </w:pPr>
    </w:p>
    <w:p>
      <w:pPr>
        <w:ind w:right="20" w:firstLine="656"/>
        <w:spacing w:after="0" w:line="308" w:lineRule="auto"/>
        <w:tabs>
          <w:tab w:leader="none" w:pos="90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44" w:lineRule="exact"/>
        <w:rPr>
          <w:sz w:val="20"/>
          <w:szCs w:val="20"/>
          <w:color w:val="auto"/>
        </w:rPr>
      </w:pPr>
    </w:p>
    <w:p>
      <w:pPr>
        <w:ind w:firstLine="656"/>
        <w:spacing w:after="0" w:line="308" w:lineRule="auto"/>
        <w:tabs>
          <w:tab w:leader="none" w:pos="90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Promptly after the execution of this Agreement, Parent and the Company shall also issue a joint press release announcing the execution of this Agreement; provided that any references to ISMMS in such press release will be subject to the prior review and approval of ISMMS.</w:t>
      </w:r>
    </w:p>
    <w:p>
      <w:pPr>
        <w:spacing w:after="0" w:line="92" w:lineRule="exact"/>
        <w:rPr>
          <w:rFonts w:ascii="Arial" w:cs="Arial" w:eastAsia="Arial" w:hAnsi="Arial"/>
          <w:sz w:val="17"/>
          <w:szCs w:val="17"/>
          <w:color w:val="auto"/>
        </w:rPr>
      </w:pPr>
    </w:p>
    <w:p>
      <w:pPr>
        <w:jc w:val="both"/>
        <w:ind w:firstLine="656"/>
        <w:spacing w:after="0" w:line="296" w:lineRule="auto"/>
        <w:tabs>
          <w:tab w:leader="none" w:pos="91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(“Closing Form 8-K”). Prior to Closing, Parent and the Company shall prepare a joint press release announcing the consummation of the Transactions hereunder (“Closing Press Release”). Concurrently with the Closing, Parent shall issue the Closing Press Release. Concurrently with the Closing, or as soon as practicable thereafter, Parent shall file the Closing Form 8-K with the SEC.</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Access to Information.</w:t>
      </w:r>
    </w:p>
    <w:p>
      <w:pPr>
        <w:spacing w:after="0" w:line="171" w:lineRule="exact"/>
        <w:rPr>
          <w:sz w:val="20"/>
          <w:szCs w:val="20"/>
          <w:color w:val="auto"/>
        </w:rPr>
      </w:pPr>
    </w:p>
    <w:p>
      <w:pPr>
        <w:jc w:val="both"/>
        <w:ind w:firstLine="656"/>
        <w:spacing w:after="0" w:line="268" w:lineRule="auto"/>
        <w:tabs>
          <w:tab w:leader="none" w:pos="89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provided, however,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32" w:lineRule="exact"/>
        <w:rPr>
          <w:rFonts w:ascii="Arial" w:cs="Arial" w:eastAsia="Arial" w:hAnsi="Arial"/>
          <w:sz w:val="17"/>
          <w:szCs w:val="17"/>
          <w:color w:val="auto"/>
        </w:rPr>
      </w:pPr>
    </w:p>
    <w:p>
      <w:pPr>
        <w:jc w:val="both"/>
        <w:ind w:firstLine="656"/>
        <w:spacing w:after="0" w:line="286" w:lineRule="auto"/>
        <w:tabs>
          <w:tab w:leader="none" w:pos="92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Section 7.3 or this Section 7.4(b);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113" w:lineRule="exact"/>
        <w:rPr>
          <w:rFonts w:ascii="Arial" w:cs="Arial" w:eastAsia="Arial" w:hAnsi="Arial"/>
          <w:sz w:val="16"/>
          <w:szCs w:val="16"/>
          <w:color w:val="auto"/>
        </w:rPr>
      </w:pPr>
    </w:p>
    <w:p>
      <w:pPr>
        <w:ind w:firstLine="656"/>
        <w:spacing w:after="0" w:line="277" w:lineRule="auto"/>
        <w:tabs>
          <w:tab w:leader="none" w:pos="90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Company will afford Parent and its financial advisors, accountants, counsel and other representatives reasonable access during normal business hours, upon reasonable notice, to the properties,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provided, however, that (i) any such access shall be conducted in a manner not to interfere with the businesses or operations of the Company, (ii)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w:t>
      </w:r>
    </w:p>
    <w:p>
      <w:pPr>
        <w:spacing w:after="0" w:line="2" w:lineRule="exact"/>
        <w:rPr>
          <w:sz w:val="20"/>
          <w:szCs w:val="20"/>
          <w:color w:val="auto"/>
        </w:rPr>
      </w:pPr>
    </w:p>
    <w:p>
      <w:pPr>
        <w:ind w:right="20" w:firstLine="8"/>
        <w:spacing w:after="0" w:line="260" w:lineRule="auto"/>
        <w:tabs>
          <w:tab w:leader="none" w:pos="33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31" w:lineRule="exact"/>
        <w:rPr>
          <w:rFonts w:ascii="Arial" w:cs="Arial" w:eastAsia="Arial" w:hAnsi="Arial"/>
          <w:sz w:val="18"/>
          <w:szCs w:val="18"/>
          <w:color w:val="auto"/>
        </w:rPr>
      </w:pPr>
    </w:p>
    <w:p>
      <w:pPr>
        <w:jc w:val="both"/>
        <w:ind w:firstLine="656"/>
        <w:spacing w:after="0" w:line="257" w:lineRule="auto"/>
        <w:tabs>
          <w:tab w:leader="none" w:pos="931" w:val="left"/>
        </w:tabs>
        <w:numPr>
          <w:ilvl w:val="1"/>
          <w:numId w:val="340"/>
        </w:numPr>
        <w:rPr>
          <w:rFonts w:ascii="Arial" w:cs="Arial" w:eastAsia="Arial" w:hAnsi="Arial"/>
          <w:sz w:val="18"/>
          <w:szCs w:val="18"/>
          <w:color w:val="auto"/>
        </w:rPr>
      </w:pPr>
      <w:r>
        <w:rPr>
          <w:rFonts w:ascii="Arial" w:cs="Arial" w:eastAsia="Arial" w:hAnsi="Arial"/>
          <w:sz w:val="18"/>
          <w:szCs w:val="18"/>
          <w:color w:val="auto"/>
        </w:rPr>
        <w:t>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provided, however, that any such access shall be conducted in a manner not to interfere with the businesses or operations of Parent.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Reasonable Best Efforts.</w:t>
      </w:r>
    </w:p>
    <w:p>
      <w:pPr>
        <w:spacing w:after="0" w:line="171" w:lineRule="exact"/>
        <w:rPr>
          <w:sz w:val="20"/>
          <w:szCs w:val="20"/>
          <w:color w:val="auto"/>
        </w:rPr>
      </w:pPr>
    </w:p>
    <w:p>
      <w:pPr>
        <w:jc w:val="both"/>
        <w:ind w:firstLine="656"/>
        <w:spacing w:after="0" w:line="284" w:lineRule="auto"/>
        <w:tabs>
          <w:tab w:leader="none" w:pos="89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Article VIII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4" w:lineRule="exact"/>
        <w:rPr>
          <w:rFonts w:ascii="Arial" w:cs="Arial" w:eastAsia="Arial" w:hAnsi="Arial"/>
          <w:sz w:val="16"/>
          <w:szCs w:val="16"/>
          <w:color w:val="auto"/>
        </w:rPr>
      </w:pPr>
    </w:p>
    <w:p>
      <w:pPr>
        <w:jc w:val="both"/>
        <w:ind w:firstLine="8"/>
        <w:spacing w:after="0" w:line="287" w:lineRule="auto"/>
        <w:tabs>
          <w:tab w:leader="none" w:pos="3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taking of commercially reasonable acts necessary to obtain all consents, approvals or waivers from third parties required as a result of the Transactions, including any other consents, approvals or waivers from third parties referred to on Schedule 4.5(b)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“Trust Termination Letter”).</w:t>
      </w:r>
    </w:p>
    <w:p>
      <w:pPr>
        <w:spacing w:after="0" w:line="115" w:lineRule="exact"/>
        <w:rPr>
          <w:rFonts w:ascii="Arial" w:cs="Arial" w:eastAsia="Arial" w:hAnsi="Arial"/>
          <w:sz w:val="16"/>
          <w:szCs w:val="16"/>
          <w:color w:val="auto"/>
        </w:rPr>
      </w:pPr>
    </w:p>
    <w:p>
      <w:pPr>
        <w:jc w:val="both"/>
        <w:ind w:firstLine="656"/>
        <w:spacing w:after="0" w:line="257" w:lineRule="auto"/>
        <w:tabs>
          <w:tab w:leader="none" w:pos="91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Section 7.5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33" w:lineRule="exact"/>
        <w:rPr>
          <w:rFonts w:ascii="Arial" w:cs="Arial" w:eastAsia="Arial" w:hAnsi="Arial"/>
          <w:sz w:val="18"/>
          <w:szCs w:val="18"/>
          <w:color w:val="auto"/>
        </w:rPr>
      </w:pPr>
    </w:p>
    <w:p>
      <w:pPr>
        <w:jc w:val="both"/>
        <w:ind w:firstLine="656"/>
        <w:spacing w:after="0" w:line="257" w:lineRule="auto"/>
        <w:tabs>
          <w:tab w:leader="none" w:pos="907" w:val="left"/>
        </w:tabs>
        <w:numPr>
          <w:ilvl w:val="1"/>
          <w:numId w:val="342"/>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“Transaction Litigation”) commenced against, in the case of Parent or Merger Sub, any of Parent or Merger Sub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Parent Securities Transactions</w:t>
      </w:r>
      <w:r>
        <w:rPr>
          <w:rFonts w:ascii="Arial" w:cs="Arial" w:eastAsia="Arial" w:hAnsi="Arial"/>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Claim Against Trust Account</w:t>
      </w:r>
      <w:r>
        <w:rPr>
          <w:rFonts w:ascii="Arial" w:cs="Arial" w:eastAsia="Arial" w:hAnsi="Arial"/>
          <w:sz w:val="18"/>
          <w:szCs w:val="18"/>
          <w:color w:val="auto"/>
        </w:rPr>
        <w:t>. For and in consideration of Parent entering into this Agreement, the receipt and sufficiency of which are hereby acknowledged, the Company, on behalf of itself and its Affiliates agrees that:</w:t>
      </w:r>
    </w:p>
    <w:p>
      <w:pPr>
        <w:spacing w:after="0" w:line="116" w:lineRule="exact"/>
        <w:rPr>
          <w:sz w:val="20"/>
          <w:szCs w:val="20"/>
          <w:color w:val="auto"/>
        </w:rPr>
      </w:pPr>
    </w:p>
    <w:p>
      <w:pPr>
        <w:jc w:val="both"/>
        <w:ind w:firstLine="656"/>
        <w:spacing w:after="0" w:line="273" w:lineRule="auto"/>
        <w:tabs>
          <w:tab w:leader="none" w:pos="90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“Released Claims”);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29" w:lineRule="exact"/>
        <w:rPr>
          <w:rFonts w:ascii="Arial" w:cs="Arial" w:eastAsia="Arial" w:hAnsi="Arial"/>
          <w:sz w:val="18"/>
          <w:szCs w:val="18"/>
          <w:color w:val="auto"/>
        </w:rPr>
      </w:pPr>
    </w:p>
    <w:p>
      <w:pPr>
        <w:jc w:val="both"/>
        <w:ind w:firstLine="656"/>
        <w:spacing w:after="0" w:line="296" w:lineRule="auto"/>
        <w:tabs>
          <w:tab w:leader="none" w:pos="91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07" w:lineRule="exact"/>
        <w:rPr>
          <w:rFonts w:ascii="Arial" w:cs="Arial" w:eastAsia="Arial" w:hAnsi="Arial"/>
          <w:sz w:val="16"/>
          <w:szCs w:val="16"/>
          <w:color w:val="auto"/>
        </w:rPr>
      </w:pPr>
    </w:p>
    <w:p>
      <w:pPr>
        <w:jc w:val="both"/>
        <w:ind w:firstLine="656"/>
        <w:spacing w:after="0" w:line="311" w:lineRule="auto"/>
        <w:tabs>
          <w:tab w:leader="none" w:pos="89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Article V;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nothing herein shall serve to limit or prohibit any claims that the Company may have in the future pursuant to this Agreement against Parent’s assets or funds that are not held in the Trust Account.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Disclosure of Certain Matters</w:t>
      </w:r>
      <w:r>
        <w:rPr>
          <w:rFonts w:ascii="Arial" w:cs="Arial" w:eastAsia="Arial" w:hAnsi="Arial"/>
          <w:sz w:val="18"/>
          <w:szCs w:val="18"/>
          <w:color w:val="auto"/>
        </w:rPr>
        <w:t>. Each of Parent, Merger Sub and the Company will promptly provide the other Parties with prompt written notice of any event, development or condition of which they have Knowledge that: (a) is reasonably likely to cause any of the conditions set forth in Article VIII not to be satisfied; or (b) would require any amendment or supplement to the Proxy Statement.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Securities Listing ; Parent Public Filings.</w:t>
      </w:r>
    </w:p>
    <w:p>
      <w:pPr>
        <w:spacing w:after="0" w:line="171" w:lineRule="exact"/>
        <w:rPr>
          <w:sz w:val="20"/>
          <w:szCs w:val="20"/>
          <w:color w:val="auto"/>
        </w:rPr>
      </w:pPr>
    </w:p>
    <w:p>
      <w:pPr>
        <w:jc w:val="both"/>
        <w:ind w:firstLine="656"/>
        <w:spacing w:after="0" w:line="296" w:lineRule="auto"/>
        <w:tabs>
          <w:tab w:leader="none" w:pos="893" w:val="left"/>
        </w:tabs>
        <w:numPr>
          <w:ilvl w:val="0"/>
          <w:numId w:val="344"/>
        </w:numPr>
        <w:rPr>
          <w:rFonts w:ascii="Arial" w:cs="Arial" w:eastAsia="Arial" w:hAnsi="Arial"/>
          <w:sz w:val="16"/>
          <w:szCs w:val="16"/>
          <w:color w:val="auto"/>
        </w:rPr>
      </w:pPr>
      <w:r>
        <w:rPr>
          <w:rFonts w:ascii="Arial" w:cs="Arial" w:eastAsia="Arial" w:hAnsi="Arial"/>
          <w:sz w:val="16"/>
          <w:szCs w:val="16"/>
          <w:color w:val="auto"/>
        </w:rPr>
        <w:t>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Article III, cause such Earn-Out Shares to be approved for listing on Nasdaq.</w:t>
      </w:r>
    </w:p>
    <w:p>
      <w:pPr>
        <w:spacing w:after="0" w:line="107"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Solicitation.</w:t>
      </w:r>
    </w:p>
    <w:p>
      <w:pPr>
        <w:spacing w:after="0" w:line="171" w:lineRule="exact"/>
        <w:rPr>
          <w:sz w:val="20"/>
          <w:szCs w:val="20"/>
          <w:color w:val="auto"/>
        </w:rPr>
      </w:pPr>
    </w:p>
    <w:p>
      <w:pPr>
        <w:jc w:val="both"/>
        <w:ind w:firstLine="656"/>
        <w:spacing w:after="0" w:line="288" w:lineRule="auto"/>
        <w:tabs>
          <w:tab w:leader="none" w:pos="89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“Representatives”)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“Company Business Combination”);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114" w:lineRule="exact"/>
        <w:rPr>
          <w:rFonts w:ascii="Arial" w:cs="Arial" w:eastAsia="Arial" w:hAnsi="Arial"/>
          <w:sz w:val="16"/>
          <w:szCs w:val="16"/>
          <w:color w:val="auto"/>
        </w:rPr>
      </w:pPr>
    </w:p>
    <w:p>
      <w:pPr>
        <w:jc w:val="both"/>
        <w:ind w:firstLine="656"/>
        <w:spacing w:after="0" w:line="270" w:lineRule="auto"/>
        <w:tabs>
          <w:tab w:leader="none" w:pos="90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“Parent Business Combination”);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26" w:lineRule="exact"/>
        <w:rPr>
          <w:rFonts w:ascii="Arial" w:cs="Arial" w:eastAsia="Arial" w:hAnsi="Arial"/>
          <w:sz w:val="17"/>
          <w:szCs w:val="17"/>
          <w:color w:val="auto"/>
        </w:rPr>
      </w:pPr>
    </w:p>
    <w:p>
      <w:pPr>
        <w:jc w:val="both"/>
        <w:ind w:firstLine="656"/>
        <w:spacing w:after="0" w:line="279" w:lineRule="auto"/>
        <w:tabs>
          <w:tab w:leader="none" w:pos="89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Article VIII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Directors’ and Officers’ Liability Insurance.</w:t>
      </w:r>
    </w:p>
    <w:p>
      <w:pPr>
        <w:spacing w:after="0" w:line="171" w:lineRule="exact"/>
        <w:rPr>
          <w:sz w:val="20"/>
          <w:szCs w:val="20"/>
          <w:color w:val="auto"/>
        </w:rPr>
      </w:pPr>
    </w:p>
    <w:p>
      <w:pPr>
        <w:jc w:val="both"/>
        <w:ind w:firstLine="656"/>
        <w:spacing w:after="0" w:line="287" w:lineRule="auto"/>
        <w:tabs>
          <w:tab w:leader="none" w:pos="9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“D&amp;O Indemnified Party”), as provided in their respective Charter Documents or in any indemnification agreement with respect to any Group Company set forth on Schedule 7.12(a)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Section 7.12 without limit as to time.</w:t>
      </w:r>
    </w:p>
    <w:p>
      <w:pPr>
        <w:spacing w:after="0" w:line="113" w:lineRule="exact"/>
        <w:rPr>
          <w:rFonts w:ascii="Arial" w:cs="Arial" w:eastAsia="Arial" w:hAnsi="Arial"/>
          <w:sz w:val="16"/>
          <w:szCs w:val="16"/>
          <w:color w:val="auto"/>
        </w:rPr>
      </w:pPr>
    </w:p>
    <w:p>
      <w:pPr>
        <w:jc w:val="both"/>
        <w:ind w:firstLine="656"/>
        <w:spacing w:after="0" w:line="272" w:lineRule="auto"/>
        <w:tabs>
          <w:tab w:leader="none" w:pos="91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Prior to the Closing, the Company shall use reasonable best efforts to purchase a “tail” or “runoff” directors’ and officers’ liability insurance policy (the “D&amp;O Tail”)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Section 7.12(b).</w:t>
      </w:r>
    </w:p>
    <w:p>
      <w:pPr>
        <w:spacing w:after="0" w:line="123" w:lineRule="exact"/>
        <w:rPr>
          <w:rFonts w:ascii="Arial" w:cs="Arial" w:eastAsia="Arial" w:hAnsi="Arial"/>
          <w:sz w:val="17"/>
          <w:szCs w:val="17"/>
          <w:color w:val="auto"/>
        </w:rPr>
      </w:pPr>
    </w:p>
    <w:p>
      <w:pPr>
        <w:jc w:val="both"/>
        <w:ind w:firstLine="656"/>
        <w:spacing w:after="0" w:line="259" w:lineRule="auto"/>
        <w:tabs>
          <w:tab w:leader="none" w:pos="9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Section 7.12 shall not be terminated or modified in such a manner as to adversely affect any D&amp;O Indemnified Party without the consent of such D&amp;O Indemnified Party. The provisions of this Section 7.12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survive the Closing and expressly are intended to benefit, and are enforceable by, each of the D&amp;O Indemnified Parties, each of whom is an intended third-party beneficiary of this Section 7.12.</w:t>
      </w:r>
    </w:p>
    <w:p>
      <w:pPr>
        <w:spacing w:after="0" w:line="116" w:lineRule="exact"/>
        <w:rPr>
          <w:sz w:val="20"/>
          <w:szCs w:val="20"/>
          <w:color w:val="auto"/>
        </w:rPr>
      </w:pPr>
    </w:p>
    <w:p>
      <w:pPr>
        <w:jc w:val="both"/>
        <w:ind w:firstLine="656"/>
        <w:spacing w:after="0" w:line="259" w:lineRule="auto"/>
        <w:tabs>
          <w:tab w:leader="none" w:pos="91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Section 7.12.</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0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[Intentionally Left Blank]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firstLine="656"/>
        <w:spacing w:after="0" w:line="311" w:lineRule="auto"/>
        <w:tabs>
          <w:tab w:leader="none" w:pos="89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94" w:lineRule="exact"/>
        <w:rPr>
          <w:rFonts w:ascii="Arial" w:cs="Arial" w:eastAsia="Arial" w:hAnsi="Arial"/>
          <w:sz w:val="16"/>
          <w:szCs w:val="16"/>
          <w:color w:val="auto"/>
        </w:rPr>
      </w:pPr>
    </w:p>
    <w:p>
      <w:pPr>
        <w:jc w:val="both"/>
        <w:ind w:firstLine="656"/>
        <w:spacing w:after="0" w:line="259" w:lineRule="auto"/>
        <w:tabs>
          <w:tab w:leader="none" w:pos="91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32"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348"/>
        </w:numPr>
        <w:rPr>
          <w:rFonts w:ascii="Arial" w:cs="Arial" w:eastAsia="Arial" w:hAnsi="Arial"/>
          <w:sz w:val="17"/>
          <w:szCs w:val="17"/>
          <w:color w:val="auto"/>
        </w:rPr>
      </w:pPr>
      <w:r>
        <w:rPr>
          <w:rFonts w:ascii="Arial" w:cs="Arial" w:eastAsia="Arial" w:hAnsi="Arial"/>
          <w:sz w:val="17"/>
          <w:szCs w:val="17"/>
          <w:color w:val="auto"/>
        </w:rPr>
        <w:t>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provided, that, notwithstanding anything to the contrary, Parent’s sole remedy in the event the Company fails to deliver such certificate shall be to make a proper withholding of Tax to the extent required by applicable Tax law.</w:t>
      </w:r>
    </w:p>
    <w:p>
      <w:pPr>
        <w:spacing w:after="0" w:line="123" w:lineRule="exact"/>
        <w:rPr>
          <w:rFonts w:ascii="Arial" w:cs="Arial" w:eastAsia="Arial" w:hAnsi="Arial"/>
          <w:sz w:val="17"/>
          <w:szCs w:val="17"/>
          <w:color w:val="auto"/>
        </w:rPr>
      </w:pPr>
    </w:p>
    <w:p>
      <w:pPr>
        <w:jc w:val="both"/>
        <w:ind w:firstLine="656"/>
        <w:spacing w:after="0" w:line="257" w:lineRule="auto"/>
        <w:tabs>
          <w:tab w:leader="none" w:pos="89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Equity Financing Agreements.</w:t>
      </w:r>
    </w:p>
    <w:p>
      <w:pPr>
        <w:spacing w:after="0" w:line="171" w:lineRule="exact"/>
        <w:rPr>
          <w:sz w:val="20"/>
          <w:szCs w:val="20"/>
          <w:color w:val="auto"/>
        </w:rPr>
      </w:pPr>
    </w:p>
    <w:p>
      <w:pPr>
        <w:jc w:val="both"/>
        <w:ind w:firstLine="656"/>
        <w:spacing w:after="0" w:line="271" w:lineRule="auto"/>
        <w:tabs>
          <w:tab w:leader="none" w:pos="89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130" w:lineRule="exact"/>
        <w:rPr>
          <w:sz w:val="20"/>
          <w:szCs w:val="20"/>
          <w:color w:val="auto"/>
        </w:rPr>
      </w:pPr>
    </w:p>
    <w:p>
      <w:pPr>
        <w:jc w:val="both"/>
        <w:ind w:firstLine="656"/>
        <w:spacing w:after="0" w:line="257" w:lineRule="auto"/>
        <w:tabs>
          <w:tab w:leader="none" w:pos="90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ind w:right="20" w:firstLine="656"/>
        <w:spacing w:after="0" w:line="277" w:lineRule="auto"/>
        <w:tabs>
          <w:tab w:leader="none" w:pos="9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Subject to the terms of the Parent’s Charter Documents, Parent shall take all such action within its power as may be necessary or appropriate such that immediately following the Effective Time:</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29" w:lineRule="exact"/>
        <w:rPr>
          <w:rFonts w:ascii="Arial" w:cs="Arial" w:eastAsia="Arial" w:hAnsi="Arial"/>
          <w:sz w:val="18"/>
          <w:szCs w:val="18"/>
          <w:color w:val="auto"/>
        </w:rPr>
      </w:pPr>
    </w:p>
    <w:p>
      <w:pPr>
        <w:ind w:left="660" w:right="20" w:firstLine="644"/>
        <w:spacing w:after="0" w:line="308" w:lineRule="auto"/>
        <w:tabs>
          <w:tab w:leader="none" w:pos="1575" w:val="left"/>
        </w:tabs>
        <w:numPr>
          <w:ilvl w:val="1"/>
          <w:numId w:val="351"/>
        </w:numPr>
        <w:rPr>
          <w:rFonts w:ascii="Arial" w:cs="Arial" w:eastAsia="Arial" w:hAnsi="Arial"/>
          <w:sz w:val="17"/>
          <w:szCs w:val="17"/>
          <w:color w:val="auto"/>
        </w:rPr>
      </w:pPr>
      <w:r>
        <w:rPr>
          <w:rFonts w:ascii="Arial" w:cs="Arial" w:eastAsia="Arial" w:hAnsi="Arial"/>
          <w:sz w:val="17"/>
          <w:szCs w:val="17"/>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92"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“Indemnification Agreements”).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LTIP and ESPP.</w:t>
      </w:r>
      <w:r>
        <w:rPr>
          <w:rFonts w:ascii="Arial" w:cs="Arial" w:eastAsia="Arial" w:hAnsi="Arial"/>
          <w:sz w:val="18"/>
          <w:szCs w:val="18"/>
          <w:color w:val="auto"/>
        </w:rPr>
        <w:t xml:space="preserve"> Effective as of (and contingent on) the Closing, Parent shall adopt (a) the LTIP, in substantially the form attached hereto as Exhibit C (as such form may be modified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7.18) and (b) the ESPP, in substantially the form attached hereto as Exhibit D (as such form may be modified in accordance with this Section 7.18).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Release.</w:t>
      </w:r>
    </w:p>
    <w:p>
      <w:pPr>
        <w:spacing w:after="0" w:line="171" w:lineRule="exact"/>
        <w:rPr>
          <w:sz w:val="20"/>
          <w:szCs w:val="20"/>
          <w:color w:val="auto"/>
        </w:rPr>
      </w:pPr>
    </w:p>
    <w:p>
      <w:pPr>
        <w:jc w:val="both"/>
        <w:ind w:firstLine="656"/>
        <w:spacing w:after="0" w:line="269" w:lineRule="auto"/>
        <w:tabs>
          <w:tab w:leader="none" w:pos="905" w:val="left"/>
        </w:tabs>
        <w:numPr>
          <w:ilvl w:val="1"/>
          <w:numId w:val="352"/>
        </w:numPr>
        <w:rPr>
          <w:rFonts w:ascii="Arial" w:cs="Arial" w:eastAsia="Arial" w:hAnsi="Arial"/>
          <w:sz w:val="17"/>
          <w:szCs w:val="17"/>
          <w:color w:val="auto"/>
        </w:rPr>
      </w:pPr>
      <w:r>
        <w:rPr>
          <w:rFonts w:ascii="Arial" w:cs="Arial" w:eastAsia="Arial" w:hAnsi="Arial"/>
          <w:sz w:val="17"/>
          <w:szCs w:val="17"/>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“Company Stockholder Released Parties”)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27" w:lineRule="exact"/>
        <w:rPr>
          <w:rFonts w:ascii="Arial" w:cs="Arial" w:eastAsia="Arial" w:hAnsi="Arial"/>
          <w:sz w:val="17"/>
          <w:szCs w:val="17"/>
          <w:color w:val="auto"/>
        </w:rPr>
      </w:pPr>
    </w:p>
    <w:p>
      <w:pPr>
        <w:jc w:val="both"/>
        <w:ind w:firstLine="656"/>
        <w:spacing w:after="0" w:line="284" w:lineRule="auto"/>
        <w:tabs>
          <w:tab w:leader="none" w:pos="92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Effective upon and following the Closing, each Company Stockholder (solely in its capacity as a stockholder of the Company), on its own behalf and on behalf of each of its Affiliates and Representatives (collectively, the “Company Stockholder Releasing Parties”), generally, irrevocably, unconditionally and completely releases and forever discharges each of Parent and each Group Company, their respective Affiliates, and its and their respective Related Parties (collectively, the “Parent Released Parties”)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86" w:lineRule="auto"/>
        <w:tabs>
          <w:tab w:leader="none" w:pos="29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TRANSACTION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Party’s Obligations</w:t>
      </w:r>
      <w:r>
        <w:rPr>
          <w:rFonts w:ascii="Arial" w:cs="Arial" w:eastAsia="Arial" w:hAnsi="Arial"/>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16" w:lineRule="exact"/>
        <w:rPr>
          <w:sz w:val="20"/>
          <w:szCs w:val="20"/>
          <w:color w:val="auto"/>
        </w:rPr>
      </w:pPr>
    </w:p>
    <w:p>
      <w:pPr>
        <w:ind w:left="900" w:hanging="244"/>
        <w:spacing w:after="0"/>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Parent Stockholder Matters shall have been duly adopted by the stockholders of Parent.</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32" w:lineRule="exact"/>
        <w:rPr>
          <w:rFonts w:ascii="Arial" w:cs="Arial" w:eastAsia="Arial" w:hAnsi="Arial"/>
          <w:sz w:val="18"/>
          <w:szCs w:val="18"/>
          <w:color w:val="auto"/>
        </w:rPr>
      </w:pPr>
    </w:p>
    <w:p>
      <w:pPr>
        <w:ind w:left="900" w:hanging="244"/>
        <w:spacing w:after="0"/>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will have expired or otherwise been terminated.</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30" w:lineRule="exact"/>
        <w:rPr>
          <w:sz w:val="20"/>
          <w:szCs w:val="20"/>
          <w:color w:val="auto"/>
        </w:rPr>
      </w:pPr>
    </w:p>
    <w:p>
      <w:pPr>
        <w:jc w:val="both"/>
        <w:ind w:firstLine="656"/>
        <w:spacing w:after="0" w:line="287" w:lineRule="auto"/>
        <w:tabs>
          <w:tab w:leader="none" w:pos="9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The Fundamental Representations of Parent, other than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all other representations and warranties of Parent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13" w:lineRule="exact"/>
        <w:rPr>
          <w:rFonts w:ascii="Arial" w:cs="Arial" w:eastAsia="Arial" w:hAnsi="Arial"/>
          <w:sz w:val="16"/>
          <w:szCs w:val="16"/>
          <w:color w:val="auto"/>
        </w:rPr>
      </w:pPr>
    </w:p>
    <w:p>
      <w:pPr>
        <w:ind w:firstLine="656"/>
        <w:spacing w:after="0" w:line="277" w:lineRule="auto"/>
        <w:tabs>
          <w:tab w:leader="none" w:pos="91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by an executive officer of Parent and dated as of the Closing Date, certifying as to the matters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duly executed by Parent and Merger Sub, as applicable.</w:t>
      </w:r>
    </w:p>
    <w:p>
      <w:pPr>
        <w:spacing w:after="0" w:line="129"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Parent Charter shall be amended and restated in the form of the Parent A&amp;R Charter and the Parent Bylaws shall be amended and restated in the form of the Parent A&amp;R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43" w:lineRule="exact"/>
        <w:rPr>
          <w:sz w:val="20"/>
          <w:szCs w:val="20"/>
          <w:color w:val="auto"/>
        </w:rPr>
      </w:pPr>
    </w:p>
    <w:p>
      <w:pPr>
        <w:ind w:firstLine="656"/>
        <w:spacing w:after="0" w:line="342" w:lineRule="auto"/>
        <w:tabs>
          <w:tab w:leader="none" w:pos="90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Parent shall have made appropriate arrangements to have the Trust Account, less amounts paid and to be paid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available to Parent for payment of the Closing Cash Payment Amount, the Company Transaction Costs and the Parent Transaction Costs at the Closing.</w:t>
      </w:r>
    </w:p>
    <w:p>
      <w:pPr>
        <w:spacing w:after="0" w:line="69" w:lineRule="exact"/>
        <w:rPr>
          <w:rFonts w:ascii="Arial" w:cs="Arial" w:eastAsia="Arial" w:hAnsi="Arial"/>
          <w:sz w:val="16"/>
          <w:szCs w:val="16"/>
          <w:color w:val="auto"/>
        </w:rPr>
      </w:pPr>
    </w:p>
    <w:p>
      <w:pPr>
        <w:jc w:val="both"/>
        <w:ind w:firstLine="656"/>
        <w:spacing w:after="0" w:line="286" w:lineRule="auto"/>
        <w:tabs>
          <w:tab w:leader="none" w:pos="92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11" w:lineRule="exact"/>
        <w:rPr>
          <w:rFonts w:ascii="Arial" w:cs="Arial" w:eastAsia="Arial" w:hAnsi="Arial"/>
          <w:sz w:val="17"/>
          <w:szCs w:val="17"/>
          <w:color w:val="auto"/>
        </w:rPr>
      </w:pPr>
    </w:p>
    <w:p>
      <w:pPr>
        <w:ind w:left="900" w:hanging="244"/>
        <w:spacing w:after="0"/>
        <w:tabs>
          <w:tab w:leader="none" w:pos="9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shares of Parent Class A Stock to be issued in connection with the Merger shall have been approved for listing on the Nasdaq.</w:t>
      </w:r>
    </w:p>
    <w:p>
      <w:pPr>
        <w:spacing w:after="0" w:line="182" w:lineRule="exact"/>
        <w:rPr>
          <w:rFonts w:ascii="Arial" w:cs="Arial" w:eastAsia="Arial" w:hAnsi="Arial"/>
          <w:sz w:val="17"/>
          <w:szCs w:val="17"/>
          <w:color w:val="auto"/>
        </w:rPr>
      </w:pPr>
    </w:p>
    <w:p>
      <w:pPr>
        <w:ind w:left="1520" w:hanging="216"/>
        <w:spacing w:after="0"/>
        <w:tabs>
          <w:tab w:leader="none" w:pos="15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No Parent Material Adverse Effect shall have occurred since the date of this Agreement and be continuing.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the Obligations of Parent and Merger Sub</w:t>
      </w:r>
      <w:r>
        <w:rPr>
          <w:rFonts w:ascii="Arial" w:cs="Arial" w:eastAsia="Arial" w:hAnsi="Arial"/>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30" w:lineRule="exact"/>
        <w:rPr>
          <w:sz w:val="20"/>
          <w:szCs w:val="20"/>
          <w:color w:val="auto"/>
        </w:rPr>
      </w:pPr>
    </w:p>
    <w:p>
      <w:pPr>
        <w:jc w:val="both"/>
        <w:ind w:firstLine="656"/>
        <w:spacing w:after="0" w:line="268" w:lineRule="auto"/>
        <w:tabs>
          <w:tab w:leader="none" w:pos="90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The Fundamental Representations of the Company, other than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de minimis inaccuracies; and all other representations and warranties of the Company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32" w:lineRule="exact"/>
        <w:rPr>
          <w:rFonts w:ascii="Arial" w:cs="Arial" w:eastAsia="Arial" w:hAnsi="Arial"/>
          <w:sz w:val="17"/>
          <w:szCs w:val="17"/>
          <w:color w:val="auto"/>
        </w:rPr>
      </w:pPr>
    </w:p>
    <w:p>
      <w:pPr>
        <w:ind w:firstLine="656"/>
        <w:spacing w:after="0" w:line="277" w:lineRule="auto"/>
        <w:tabs>
          <w:tab w:leader="none" w:pos="90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by an executive officer of the Company and dated as of the Closing Date, certifying as to the matters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00" w:hanging="244"/>
        <w:spacing w:after="0"/>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 Company Material Adverse Effect shall have occurred since the date of this Agreement and be continuing.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duly executed by the applicable signatory or signatories specified in </w:t>
      </w:r>
      <w:r>
        <w:rPr>
          <w:rFonts w:ascii="Arial" w:cs="Arial" w:eastAsia="Arial" w:hAnsi="Arial"/>
          <w:sz w:val="18"/>
          <w:szCs w:val="18"/>
          <w:u w:val="single" w:color="auto"/>
          <w:color w:val="auto"/>
        </w:rPr>
        <w:t>Section 1.3(b)</w:t>
      </w:r>
      <w:r>
        <w:rPr>
          <w:rFonts w:ascii="Arial" w:cs="Arial" w:eastAsia="Arial" w:hAnsi="Arial"/>
          <w:sz w:val="18"/>
          <w:szCs w:val="18"/>
          <w:color w:val="auto"/>
        </w:rPr>
        <w: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1" w:lineRule="exact"/>
        <w:rPr>
          <w:sz w:val="20"/>
          <w:szCs w:val="20"/>
          <w:color w:val="auto"/>
        </w:rPr>
      </w:pPr>
    </w:p>
    <w:p>
      <w:pPr>
        <w:ind w:left="900" w:hanging="244"/>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 at any time;</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either Parent or the Company if the Transactions shall not have been consummated by November 9,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32" w:lineRule="exact"/>
        <w:rPr>
          <w:rFonts w:ascii="Arial" w:cs="Arial" w:eastAsia="Arial" w:hAnsi="Arial"/>
          <w:sz w:val="18"/>
          <w:szCs w:val="18"/>
          <w:color w:val="auto"/>
        </w:rPr>
      </w:pPr>
    </w:p>
    <w:p>
      <w:pPr>
        <w:ind w:firstLine="656"/>
        <w:spacing w:after="0" w:line="342" w:lineRule="auto"/>
        <w:tabs>
          <w:tab w:leader="none" w:pos="89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69" w:lineRule="exact"/>
        <w:rPr>
          <w:rFonts w:ascii="Arial" w:cs="Arial" w:eastAsia="Arial" w:hAnsi="Arial"/>
          <w:sz w:val="16"/>
          <w:szCs w:val="16"/>
          <w:color w:val="auto"/>
        </w:rPr>
      </w:pPr>
    </w:p>
    <w:p>
      <w:pPr>
        <w:jc w:val="both"/>
        <w:ind w:firstLine="656"/>
        <w:spacing w:after="0" w:line="290" w:lineRule="auto"/>
        <w:tabs>
          <w:tab w:leader="none" w:pos="91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until the earlier of: (i) 30 days after delivery of written notice from the Company to Parent of such breach; and (ii)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of Parent and Merger Sub continues to exercise commercially reasonable efforts to cure such breach (it being understood that the Company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(A) it shall have materially breached this Agreement and such breach has not been cured; or (B) if such breach by Parent or Merger Sub is cured during such 30-day period);</w:t>
      </w:r>
    </w:p>
    <w:p>
      <w:pPr>
        <w:spacing w:after="0" w:line="111" w:lineRule="exact"/>
        <w:rPr>
          <w:rFonts w:ascii="Arial" w:cs="Arial" w:eastAsia="Arial" w:hAnsi="Arial"/>
          <w:sz w:val="16"/>
          <w:szCs w:val="16"/>
          <w:color w:val="auto"/>
        </w:rPr>
      </w:pPr>
    </w:p>
    <w:p>
      <w:pPr>
        <w:jc w:val="both"/>
        <w:ind w:firstLine="656"/>
        <w:spacing w:after="0" w:line="271" w:lineRule="auto"/>
        <w:tabs>
          <w:tab w:leader="none" w:pos="90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would not be satisfied as of the time of such breach or as of the time such representation or warranty shall have become untrue;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curable by the Company prior to the Closing, then Parent must first provide written notice of such breach and may not terminate this Agreement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9.1(e)</w:t>
      </w:r>
      <w:r>
        <w:rPr>
          <w:rFonts w:ascii="Arial" w:cs="Arial" w:eastAsia="Arial" w:hAnsi="Arial"/>
          <w:sz w:val="17"/>
          <w:szCs w:val="17"/>
          <w:color w:val="auto"/>
        </w:rPr>
        <w:t xml:space="preserve"> until the earlier of: (i) 30 days after delivery of written notice from Parent to the Company of such breach;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continues to exercise commercially reasonable efforts to cure such breach (it being understood that Parent may not terminate this Agreement pursuant to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if: (A) it shall have materially breached this Agreement and such breach has not been cured; or (B) if such breach by the Company is cured during such 30-day period);</w:t>
      </w:r>
    </w:p>
    <w:p>
      <w:pPr>
        <w:spacing w:after="0" w:line="124" w:lineRule="exact"/>
        <w:rPr>
          <w:rFonts w:ascii="Arial" w:cs="Arial" w:eastAsia="Arial" w:hAnsi="Arial"/>
          <w:sz w:val="17"/>
          <w:szCs w:val="17"/>
          <w:color w:val="auto"/>
        </w:rPr>
      </w:pPr>
    </w:p>
    <w:p>
      <w:pPr>
        <w:ind w:firstLine="656"/>
        <w:spacing w:after="0" w:line="277" w:lineRule="auto"/>
        <w:tabs>
          <w:tab w:leader="none" w:pos="8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16" w:lineRule="exact"/>
        <w:rPr>
          <w:rFonts w:ascii="Arial" w:cs="Arial" w:eastAsia="Arial" w:hAnsi="Arial"/>
          <w:sz w:val="18"/>
          <w:szCs w:val="18"/>
          <w:color w:val="auto"/>
        </w:rPr>
      </w:pPr>
    </w:p>
    <w:p>
      <w:pPr>
        <w:ind w:firstLine="656"/>
        <w:spacing w:after="0" w:line="277" w:lineRule="auto"/>
        <w:tabs>
          <w:tab w:leader="none" w:pos="93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by the Company, if the Parent Stockholder Redemption results in the condition set forth in </w:t>
      </w:r>
      <w:r>
        <w:rPr>
          <w:rFonts w:ascii="Arial" w:cs="Arial" w:eastAsia="Arial" w:hAnsi="Arial"/>
          <w:sz w:val="18"/>
          <w:szCs w:val="18"/>
          <w:u w:val="single" w:color="auto"/>
          <w:color w:val="auto"/>
        </w:rPr>
        <w:t>Section 8.2(g)</w:t>
      </w:r>
      <w:r>
        <w:rPr>
          <w:rFonts w:ascii="Arial" w:cs="Arial" w:eastAsia="Arial" w:hAnsi="Arial"/>
          <w:sz w:val="18"/>
          <w:szCs w:val="18"/>
          <w:color w:val="auto"/>
        </w:rPr>
        <w:t xml:space="preserve"> becoming incapable of being satisfied at the Closing; or</w:t>
      </w:r>
    </w:p>
    <w:p>
      <w:pPr>
        <w:spacing w:after="0" w:line="116" w:lineRule="exact"/>
        <w:rPr>
          <w:rFonts w:ascii="Arial" w:cs="Arial" w:eastAsia="Arial" w:hAnsi="Arial"/>
          <w:sz w:val="18"/>
          <w:szCs w:val="18"/>
          <w:color w:val="auto"/>
        </w:rPr>
      </w:pPr>
    </w:p>
    <w:p>
      <w:pPr>
        <w:ind w:firstLine="656"/>
        <w:spacing w:after="0" w:line="277" w:lineRule="auto"/>
        <w:tabs>
          <w:tab w:leader="none" w:pos="9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Parent within twenty-four hours of the Company Stockholder Approval Deadline if the Company Stockholder Approval shall not have been obtained by the Company Stockholder Approval Deadline.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8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above will be effective immediately upon the delivery of written notice of the terminating Party to the other Parties.</w:t>
      </w:r>
    </w:p>
    <w:p>
      <w:pPr>
        <w:spacing w:after="0" w:line="116" w:lineRule="exact"/>
        <w:rPr>
          <w:rFonts w:ascii="Arial" w:cs="Arial" w:eastAsia="Arial" w:hAnsi="Arial"/>
          <w:sz w:val="18"/>
          <w:szCs w:val="18"/>
          <w:color w:val="auto"/>
        </w:rPr>
      </w:pPr>
    </w:p>
    <w:p>
      <w:pPr>
        <w:ind w:firstLine="656"/>
        <w:spacing w:after="0" w:line="277" w:lineRule="auto"/>
        <w:tabs>
          <w:tab w:leader="none" w:pos="92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 no further force or effect and the Transactions shall be abandoned, except for and subject to the following: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SURVIVAL</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the Company with respect to intentional fraud in the making of the representations and warranties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any claim against Parent with respect to intentional fraud in the making of the representations and warranties by Parent in </w:t>
      </w:r>
      <w:r>
        <w:rPr>
          <w:rFonts w:ascii="Arial" w:cs="Arial" w:eastAsia="Arial" w:hAnsi="Arial"/>
          <w:sz w:val="16"/>
          <w:szCs w:val="16"/>
          <w:u w:val="single" w:color="auto"/>
          <w:color w:val="auto"/>
        </w:rPr>
        <w:t>Article V</w:t>
      </w:r>
      <w:r>
        <w:rPr>
          <w:rFonts w:ascii="Arial" w:cs="Arial" w:eastAsia="Arial" w:hAnsi="Arial"/>
          <w:sz w:val="16"/>
          <w:szCs w:val="16"/>
          <w:color w:val="auto"/>
        </w:rPr>
        <w:t>,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Parent or Merger Sub,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Eli Casdin, 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Matthew Kautz; Joel Rubinstein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mkautz@whitecase.com; joel.rubinstein@whitecase.com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prior to the Closing,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Ethan A. Skerry; Robert A. Freedman; David K. Michaels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eskerry@fenwick.com; rfreedman@fenwick.com; dmichaels@fenwick.com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(which will be for the benefit of the Persons set forth therein), are not intended to confer upon any other Person other than the Parties any rights or remedies.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8" w:lineRule="auto"/>
        <w:tabs>
          <w:tab w:leader="none" w:pos="56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Notwithstanding the foregoing in this Section 11.8, any Party may commence any action, claim, cause of action or suit in a court other than the above-named courts solely for the purpose of enforcing an order or judgment issued by one of the above-named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43" w:lineRule="exact"/>
        <w:rPr>
          <w:sz w:val="20"/>
          <w:szCs w:val="20"/>
          <w:color w:val="auto"/>
        </w:rPr>
      </w:pPr>
    </w:p>
    <w:p>
      <w:pPr>
        <w:jc w:val="both"/>
        <w:ind w:firstLine="332"/>
        <w:spacing w:after="0" w:line="253" w:lineRule="auto"/>
        <w:tabs>
          <w:tab w:leader="none" w:pos="60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this Agreement shall be binding upon and shall inure to the benefit of the Parties and their respective successors and permitted assigns.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by execution of an instrument in writing signed on behalf of each of the Parties; provided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are intended to be for the benefit of, and enforceable by the Related Parties of the Parties and each such Person shall be a third-party beneficiary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be binding on all successors and assigns of Parties.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7" w:lineRule="auto"/>
        <w:tabs>
          <w:tab w:leader="none" w:pos="58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Parent hereby agrees on behalf of its directors, members, partners, officers, employees and Affiliates (including after the Closing, the Company), and each of their respective successors and assigns (all such parties, the “</w:t>
      </w:r>
      <w:r>
        <w:rPr>
          <w:rFonts w:ascii="Arial" w:cs="Arial" w:eastAsia="Arial" w:hAnsi="Arial"/>
          <w:sz w:val="17"/>
          <w:szCs w:val="17"/>
          <w:u w:val="single" w:color="auto"/>
          <w:color w:val="auto"/>
        </w:rPr>
        <w:t>Parent Waiving Parties</w:t>
      </w:r>
      <w:r>
        <w:rPr>
          <w:rFonts w:ascii="Arial" w:cs="Arial" w:eastAsia="Arial" w:hAnsi="Arial"/>
          <w:sz w:val="17"/>
          <w:szCs w:val="17"/>
          <w:color w:val="auto"/>
        </w:rPr>
        <w:t>”), that Fenwick &amp; West LLP (or any successor) may represent the Company Stockholders or any of their respective directors, members, partners, officers, employees or Affiliates (other than the Company) (collectively, the “</w:t>
      </w:r>
      <w:r>
        <w:rPr>
          <w:rFonts w:ascii="Arial" w:cs="Arial" w:eastAsia="Arial" w:hAnsi="Arial"/>
          <w:sz w:val="17"/>
          <w:szCs w:val="17"/>
          <w:u w:val="single" w:color="auto"/>
          <w:color w:val="auto"/>
        </w:rPr>
        <w:t>Stockholder Grou</w:t>
      </w:r>
      <w:r>
        <w:rPr>
          <w:rFonts w:ascii="Arial" w:cs="Arial" w:eastAsia="Arial" w:hAnsi="Arial"/>
          <w:sz w:val="17"/>
          <w:szCs w:val="17"/>
          <w:color w:val="auto"/>
        </w:rPr>
        <w:t>p”),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Arial" w:cs="Arial" w:eastAsia="Arial" w:hAnsi="Arial"/>
          <w:sz w:val="17"/>
          <w:szCs w:val="17"/>
          <w:u w:val="single" w:color="auto"/>
          <w:color w:val="auto"/>
        </w:rPr>
        <w:t>Stockholder Privileged Communications</w:t>
      </w:r>
      <w:r>
        <w:rPr>
          <w:rFonts w:ascii="Arial" w:cs="Arial" w:eastAsia="Arial" w:hAnsi="Arial"/>
          <w:sz w:val="17"/>
          <w:szCs w:val="17"/>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34" w:lineRule="exact"/>
        <w:rPr>
          <w:rFonts w:ascii="Arial" w:cs="Arial" w:eastAsia="Arial" w:hAnsi="Arial"/>
          <w:sz w:val="17"/>
          <w:szCs w:val="17"/>
          <w:color w:val="auto"/>
        </w:rPr>
      </w:pPr>
    </w:p>
    <w:p>
      <w:pPr>
        <w:jc w:val="both"/>
        <w:ind w:firstLine="332"/>
        <w:spacing w:after="0" w:line="269" w:lineRule="auto"/>
        <w:tabs>
          <w:tab w:leader="none" w:pos="58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Company hereby agrees on behalf of its directors, members, partners, officers, employees and Affiliates and the Company Stockholders, and each of their respective successors and assigns (all such parties, the “</w:t>
      </w:r>
      <w:r>
        <w:rPr>
          <w:rFonts w:ascii="Arial" w:cs="Arial" w:eastAsia="Arial" w:hAnsi="Arial"/>
          <w:sz w:val="17"/>
          <w:szCs w:val="17"/>
          <w:u w:val="single" w:color="auto"/>
          <w:color w:val="auto"/>
        </w:rPr>
        <w:t>Company Waiving Parties</w:t>
      </w:r>
      <w:r>
        <w:rPr>
          <w:rFonts w:ascii="Arial" w:cs="Arial" w:eastAsia="Arial" w:hAnsi="Arial"/>
          <w:sz w:val="17"/>
          <w:szCs w:val="17"/>
          <w:color w:val="auto"/>
        </w:rPr>
        <w:t>”), that White &amp; Case LLP (or any successor) may represent the Sponsor, Parent or any of their respective directors, members, partners, officers, employees or Affiliates (other than the Company) (collectively, the “</w:t>
      </w:r>
      <w:r>
        <w:rPr>
          <w:rFonts w:ascii="Arial" w:cs="Arial" w:eastAsia="Arial" w:hAnsi="Arial"/>
          <w:sz w:val="17"/>
          <w:szCs w:val="17"/>
          <w:u w:val="single" w:color="auto"/>
          <w:color w:val="auto"/>
        </w:rPr>
        <w:t>Parent Group</w:t>
      </w:r>
      <w:r>
        <w:rPr>
          <w:rFonts w:ascii="Arial" w:cs="Arial" w:eastAsia="Arial" w:hAnsi="Arial"/>
          <w:sz w:val="17"/>
          <w:szCs w:val="17"/>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Merger, and instead survive, remain with and are controlled by the Sponsor and Parent (the “</w:t>
      </w:r>
      <w:r>
        <w:rPr>
          <w:rFonts w:ascii="Arial" w:cs="Arial" w:eastAsia="Arial" w:hAnsi="Arial"/>
          <w:sz w:val="16"/>
          <w:szCs w:val="16"/>
          <w:u w:val="single" w:color="auto"/>
          <w:color w:val="auto"/>
        </w:rPr>
        <w:t>Parent Privileged Communications</w:t>
      </w:r>
      <w:r>
        <w:rPr>
          <w:rFonts w:ascii="Arial" w:cs="Arial" w:eastAsia="Arial" w:hAnsi="Arial"/>
          <w:sz w:val="16"/>
          <w:szCs w:val="16"/>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10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date first written above.</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CM LIFE SCIENCES, INC.</w:t>
      </w:r>
    </w:p>
    <w:p>
      <w:pPr>
        <w:spacing w:after="0" w:line="337"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0"/>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1"/>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[SIGNATURE PAGE TO AGREEMENT AND PLAN OF MERGER]</w:t>
      </w: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A-62</w:t>
      </w:r>
    </w:p>
    <w:p>
      <w:pPr>
        <w:sectPr>
          <w:pgSz w:w="11900" w:h="16838" w:orient="portrait"/>
          <w:cols w:equalWidth="0" w:num="1">
            <w:col w:w="10900"/>
          </w:cols>
          <w:pgMar w:left="660" w:top="1440" w:right="339" w:bottom="1440" w:gutter="0" w:footer="0" w:header="0"/>
          <w:type w:val="continuous"/>
        </w:sectPr>
      </w:pPr>
    </w:p>
    <w:bookmarkStart w:id="492" w:name="page493"/>
    <w:bookmarkEnd w:id="492"/>
    <w:p>
      <w:pPr>
        <w:spacing w:after="0" w:line="18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MOUNT SINAI GENOMICS, INC.</w:t>
      </w:r>
    </w:p>
    <w:p>
      <w:pPr>
        <w:spacing w:after="0" w:line="256"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Schadt</w:t>
            </w:r>
          </w:p>
        </w:tc>
      </w:tr>
      <w:tr>
        <w:trPr>
          <w:trHeight w:val="222"/>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Dr. Eric Schadt</w:t>
            </w:r>
          </w:p>
        </w:tc>
      </w:tr>
      <w:tr>
        <w:trPr>
          <w:trHeight w:val="230"/>
        </w:trPr>
        <w:tc>
          <w:tcPr>
            <w:tcW w:w="5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120"/>
          </w:cols>
          <w:pgMar w:left="1440" w:top="1440" w:right="339" w:bottom="1440" w:gutter="0" w:footer="0" w:header="0"/>
        </w:sectPr>
      </w:pPr>
    </w:p>
    <w:bookmarkStart w:id="493" w:name="page494"/>
    <w:bookmarkEnd w:id="49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this Agreement are organized alphabetically as follows, together with the Section and, where applicable, paragraph, number in which definition of each such term is located:</w:t>
      </w:r>
    </w:p>
    <w:p>
      <w:pPr>
        <w:sectPr>
          <w:pgSz w:w="11900" w:h="16838" w:orient="portrait"/>
          <w:cols w:equalWidth="0" w:num="1">
            <w:col w:w="11220"/>
          </w:cols>
          <w:pgMar w:left="320" w:top="1440" w:right="359" w:bottom="1440" w:gutter="0" w:footer="0" w:header="0"/>
        </w:sectPr>
      </w:pPr>
    </w:p>
    <w:bookmarkStart w:id="494" w:name="page495"/>
    <w:bookmarkEnd w:id="494"/>
    <w:p>
      <w:pPr>
        <w:spacing w:after="0"/>
        <w:rPr>
          <w:sz w:val="20"/>
          <w:szCs w:val="20"/>
          <w:color w:val="auto"/>
        </w:rPr>
      </w:pPr>
      <w:r>
        <w:rPr>
          <w:rFonts w:ascii="Arial" w:cs="Arial" w:eastAsia="Arial" w:hAnsi="Arial"/>
          <w:sz w:val="17"/>
          <w:szCs w:val="17"/>
          <w:color w:val="auto"/>
        </w:rPr>
        <w:t>“A&amp;R Registration Rights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“Acceleration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“Antitrust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Cash Payment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Merger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Number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“Closing Securities Payment Amount”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Share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4.6(b)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7.3(c)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7.3(c)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IV, Preamble</w:t>
      </w:r>
    </w:p>
    <w:p>
      <w:pPr>
        <w:sectPr>
          <w:pgSz w:w="11900" w:h="16838" w:orient="portrait"/>
          <w:cols w:equalWidth="0" w:num="2">
            <w:col w:w="6000" w:space="720"/>
            <w:col w:w="3399"/>
          </w:cols>
          <w:pgMar w:left="340" w:top="179" w:right="1440" w:bottom="768" w:gutter="0" w:footer="0" w:header="0"/>
        </w:sectPr>
      </w:pPr>
    </w:p>
    <w:bookmarkStart w:id="495" w:name="page496"/>
    <w:bookmarkEnd w:id="495"/>
    <w:p>
      <w:pPr>
        <w:jc w:val="center"/>
        <w:ind w:right="19"/>
        <w:spacing w:after="0"/>
        <w:rPr>
          <w:sz w:val="20"/>
          <w:szCs w:val="20"/>
          <w:color w:val="auto"/>
        </w:rPr>
      </w:pPr>
      <w:r>
        <w:rPr>
          <w:rFonts w:ascii="Arial" w:cs="Arial" w:eastAsia="Arial" w:hAnsi="Arial"/>
          <w:sz w:val="17"/>
          <w:szCs w:val="17"/>
          <w:color w:val="auto"/>
        </w:rPr>
        <w:t>A-64</w:t>
      </w:r>
    </w:p>
    <w:p>
      <w:pPr>
        <w:sectPr>
          <w:pgSz w:w="11900" w:h="16838" w:orient="portrait"/>
          <w:cols w:equalWidth="0" w:num="1">
            <w:col w:w="9019"/>
          </w:cols>
          <w:pgMar w:left="1440" w:top="354" w:right="1440" w:bottom="1440" w:gutter="0" w:footer="0" w:header="0"/>
        </w:sectPr>
      </w:pPr>
    </w:p>
    <w:bookmarkStart w:id="496" w:name="page497"/>
    <w:bookmarkEnd w:id="496"/>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Organizational Documents”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“Company’s Required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Government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Indemnified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“Excluded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Diluted Company Shares”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Definition of Specified Business Conduct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ectPr>
          <w:pgSz w:w="11900" w:h="16838" w:orient="portrait"/>
          <w:cols w:equalWidth="0" w:num="2">
            <w:col w:w="6000" w:space="720"/>
            <w:col w:w="3420"/>
          </w:cols>
          <w:pgMar w:left="340" w:top="1440" w:right="1419" w:bottom="0" w:gutter="0" w:footer="0" w:header="0"/>
        </w:sectPr>
      </w:pPr>
    </w:p>
    <w:bookmarkStart w:id="497" w:name="page498"/>
    <w:bookmarkEnd w:id="497"/>
    <w:p>
      <w:pPr>
        <w:spacing w:after="0"/>
        <w:rPr>
          <w:sz w:val="20"/>
          <w:szCs w:val="20"/>
          <w:color w:val="auto"/>
        </w:rPr>
      </w:pPr>
      <w:r>
        <w:rPr>
          <w:rFonts w:ascii="Arial" w:cs="Arial" w:eastAsia="Arial" w:hAnsi="Arial"/>
          <w:sz w:val="16"/>
          <w:szCs w:val="16"/>
          <w:color w:val="auto"/>
        </w:rPr>
        <w:t>“Fundamental Representations”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22"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A-65</w:t>
      </w:r>
    </w:p>
    <w:p>
      <w:pPr>
        <w:sectPr>
          <w:pgSz w:w="11900" w:h="16838" w:orient="portrait"/>
          <w:cols w:equalWidth="0" w:num="1">
            <w:col w:w="10119"/>
          </w:cols>
          <w:pgMar w:left="340" w:top="179" w:right="1440" w:bottom="1440" w:gutter="0" w:footer="0" w:header="0"/>
          <w:type w:val="continuous"/>
        </w:sectPr>
      </w:pPr>
    </w:p>
    <w:bookmarkStart w:id="498" w:name="page499"/>
    <w:bookmarkEnd w:id="498"/>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 Privacy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“Intended Tax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“Material Current Government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B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Group”</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4.19(a)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4.5(b)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4.14(b)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9.1(b)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ectPr>
          <w:pgSz w:w="11900" w:h="16838" w:orient="portrait"/>
          <w:cols w:equalWidth="0" w:num="2">
            <w:col w:w="6000" w:space="720"/>
            <w:col w:w="3399"/>
          </w:cols>
          <w:pgMar w:left="340" w:top="1440" w:right="1440" w:bottom="0" w:gutter="0" w:footer="0" w:header="0"/>
        </w:sectPr>
      </w:pPr>
    </w:p>
    <w:bookmarkStart w:id="499" w:name="page500"/>
    <w:bookmarkEnd w:id="499"/>
    <w:p>
      <w:pPr>
        <w:spacing w:after="0"/>
        <w:rPr>
          <w:sz w:val="20"/>
          <w:szCs w:val="20"/>
          <w:color w:val="auto"/>
        </w:rPr>
      </w:pPr>
      <w:r>
        <w:rPr>
          <w:rFonts w:ascii="Arial" w:cs="Arial" w:eastAsia="Arial" w:hAnsi="Arial"/>
          <w:sz w:val="17"/>
          <w:szCs w:val="17"/>
          <w:color w:val="auto"/>
        </w:rPr>
        <w:t>“Parent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11.15</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Adverse Effect”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Contracts”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5.11</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“Parent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2.12(a)</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Organizational Documents”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Privileged Communications”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11.15</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A-66</w:t>
      </w:r>
    </w:p>
    <w:p>
      <w:pPr>
        <w:sectPr>
          <w:pgSz w:w="11900" w:h="16838" w:orient="portrait"/>
          <w:cols w:equalWidth="0" w:num="1">
            <w:col w:w="10119"/>
          </w:cols>
          <w:pgMar w:left="340" w:top="179" w:right="1440" w:bottom="1440" w:gutter="0" w:footer="0" w:header="0"/>
          <w:type w:val="continuous"/>
        </w:sectPr>
      </w:pPr>
    </w:p>
    <w:bookmarkStart w:id="500" w:name="page501"/>
    <w:bookmarkEnd w:id="500"/>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“Parent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“PCAOB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Clearance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“Remedies Exception”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“Specified Business Conduct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Consent and Joinder”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“Stockholder Privileged Communications”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“Surrender 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7.1(a)(ii)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ectPr>
          <w:pgSz w:w="11900" w:h="16838" w:orient="portrait"/>
          <w:cols w:equalWidth="0" w:num="2">
            <w:col w:w="6000" w:space="720"/>
            <w:col w:w="3399"/>
          </w:cols>
          <w:pgMar w:left="340" w:top="1440" w:right="1440" w:bottom="0" w:gutter="0" w:footer="0" w:header="0"/>
        </w:sectPr>
      </w:pPr>
    </w:p>
    <w:bookmarkStart w:id="501" w:name="page502"/>
    <w:bookmarkEnd w:id="501"/>
    <w:p>
      <w:pPr>
        <w:spacing w:after="0"/>
        <w:rPr>
          <w:sz w:val="20"/>
          <w:szCs w:val="20"/>
          <w:color w:val="auto"/>
        </w:rPr>
      </w:pPr>
      <w:r>
        <w:rPr>
          <w:rFonts w:ascii="Arial" w:cs="Arial" w:eastAsia="Arial" w:hAnsi="Arial"/>
          <w:sz w:val="16"/>
          <w:szCs w:val="16"/>
          <w:color w:val="auto"/>
        </w:rPr>
        <w:t>“Tax/Taxes”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“Top Customer”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“Top Supplier”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Consideration”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2.6(a)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Agreements”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Tax Benefits”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7.15(a)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A-67</w:t>
      </w:r>
    </w:p>
    <w:p>
      <w:pPr>
        <w:sectPr>
          <w:pgSz w:w="11900" w:h="16838" w:orient="portrait"/>
          <w:cols w:equalWidth="0" w:num="1">
            <w:col w:w="10119"/>
          </w:cols>
          <w:pgMar w:left="340" w:top="179" w:right="1440" w:bottom="1440" w:gutter="0" w:footer="0" w:header="0"/>
          <w:type w:val="continuous"/>
        </w:sectPr>
      </w:pPr>
    </w:p>
    <w:bookmarkStart w:id="502" w:name="page503"/>
    <w:bookmarkEnd w:id="502"/>
    <w:p>
      <w:pPr>
        <w:spacing w:after="0" w:line="197"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 Tax Deductions”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“Trademarks”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 Secrets”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“Treasury Regulations”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IV”</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Agreement”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Account”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Termination Letter”</w:t>
      </w:r>
      <w:r>
        <w:rPr>
          <w:sz w:val="20"/>
          <w:szCs w:val="20"/>
          <w:color w:val="auto"/>
        </w:rPr>
        <w:tab/>
      </w:r>
      <w:r>
        <w:rPr>
          <w:rFonts w:ascii="Arial" w:cs="Arial" w:eastAsia="Arial" w:hAnsi="Arial"/>
          <w:sz w:val="15"/>
          <w:szCs w:val="15"/>
          <w:color w:val="auto"/>
        </w:rPr>
        <w:t>Section 7.5</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“Upper Band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“WARN”</w:t>
      </w:r>
      <w:r>
        <w:rPr>
          <w:sz w:val="20"/>
          <w:szCs w:val="20"/>
          <w:color w:val="auto"/>
        </w:rPr>
        <w:tab/>
      </w:r>
      <w:r>
        <w:rPr>
          <w:rFonts w:ascii="Arial" w:cs="Arial" w:eastAsia="Arial" w:hAnsi="Arial"/>
          <w:sz w:val="18"/>
          <w:szCs w:val="18"/>
          <w:color w:val="auto"/>
        </w:rPr>
        <w:t>Section 4.13(e)</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“Within the Band Amount”</w:t>
      </w:r>
      <w:r>
        <w:rPr>
          <w:sz w:val="20"/>
          <w:szCs w:val="20"/>
          <w:color w:val="auto"/>
        </w:rPr>
        <w:tab/>
      </w:r>
      <w:r>
        <w:rPr>
          <w:rFonts w:ascii="Arial" w:cs="Arial" w:eastAsia="Arial" w:hAnsi="Arial"/>
          <w:sz w:val="16"/>
          <w:szCs w:val="16"/>
          <w:color w:val="auto"/>
        </w:rPr>
        <w:t>Schedule A, Section 1.2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Terms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Company Share Amount</w:t>
      </w:r>
      <w:r>
        <w:rPr>
          <w:rFonts w:ascii="Arial" w:cs="Arial" w:eastAsia="Arial" w:hAnsi="Arial"/>
          <w:sz w:val="17"/>
          <w:szCs w:val="17"/>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Earnout RSUs shall be disregarded for the purpose of the Aggregate Company Share Amount.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Value</w:t>
      </w:r>
      <w:r>
        <w:rPr>
          <w:rFonts w:ascii="Arial" w:cs="Arial" w:eastAsia="Arial" w:hAnsi="Arial"/>
          <w:sz w:val="18"/>
          <w:szCs w:val="18"/>
          <w:color w:val="auto"/>
        </w:rPr>
        <w:t>” shall mean an amount equal to $2,000,000,000.00.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Legal Requirements to close.</w:t>
      </w:r>
    </w:p>
    <w:p>
      <w:pPr>
        <w:sectPr>
          <w:pgSz w:w="11900" w:h="16838" w:orient="portrait"/>
          <w:cols w:equalWidth="0" w:num="1">
            <w:col w:w="11240"/>
          </w:cols>
          <w:pgMar w:left="320" w:top="1440" w:right="339"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A-68</w:t>
      </w:r>
    </w:p>
    <w:p>
      <w:pPr>
        <w:sectPr>
          <w:pgSz w:w="11900" w:h="16838" w:orient="portrait"/>
          <w:cols w:equalWidth="0" w:num="1">
            <w:col w:w="11240"/>
          </w:cols>
          <w:pgMar w:left="320" w:top="1440" w:right="339" w:bottom="280" w:gutter="0" w:footer="0" w:header="0"/>
          <w:type w:val="continuous"/>
        </w:sectPr>
      </w:pPr>
    </w:p>
    <w:bookmarkStart w:id="503" w:name="page504"/>
    <w:bookmarkEnd w:id="503"/>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Cap</w:t>
      </w:r>
      <w:r>
        <w:rPr>
          <w:rFonts w:ascii="Arial" w:cs="Arial" w:eastAsia="Arial" w:hAnsi="Arial"/>
          <w:sz w:val="18"/>
          <w:szCs w:val="18"/>
          <w:color w:val="auto"/>
        </w:rPr>
        <w:t xml:space="preserve">” means the amount, if any, specified by such Company Stockholder in its Cash Election as the maximum amount of Closing Available Cash elected by such Company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such Company Stockholder’s Cash Pro Rata Share of $343,000,000.</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w:t>
      </w:r>
      <w:r>
        <w:rPr>
          <w:rFonts w:ascii="Arial" w:cs="Arial" w:eastAsia="Arial" w:hAnsi="Arial"/>
          <w:sz w:val="18"/>
          <w:szCs w:val="18"/>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 Company Stockholder and delivered to the Company on or before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Pro Rata Share</w:t>
      </w:r>
      <w:r>
        <w:rPr>
          <w:rFonts w:ascii="Arial" w:cs="Arial" w:eastAsia="Arial" w:hAnsi="Arial"/>
          <w:sz w:val="17"/>
          <w:szCs w:val="17"/>
          <w:color w:val="auto"/>
        </w:rPr>
        <w:t>” shall mean, for each Company Stockholder that has submitted a Cash Election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Amount</w:t>
      </w:r>
      <w:r>
        <w:rPr>
          <w:rFonts w:ascii="Arial" w:cs="Arial" w:eastAsia="Arial" w:hAnsi="Arial"/>
          <w:sz w:val="16"/>
          <w:szCs w:val="16"/>
          <w:color w:val="auto"/>
        </w:rPr>
        <w:t>” shall mean, for each Company Stockholder that has submitted a Cash Election to receive a portion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such Company’s Stockholder’s (i) Cash Pro Rata Share Excess Percentage of the Closing Available Excess Cash and</w:t>
      </w:r>
    </w:p>
    <w:p>
      <w:pPr>
        <w:spacing w:after="0" w:line="2" w:lineRule="exact"/>
        <w:rPr>
          <w:sz w:val="20"/>
          <w:szCs w:val="20"/>
          <w:color w:val="auto"/>
        </w:rPr>
      </w:pPr>
    </w:p>
    <w:p>
      <w:pPr>
        <w:jc w:val="both"/>
        <w:ind w:firstLine="8"/>
        <w:spacing w:after="0" w:line="253" w:lineRule="auto"/>
        <w:tabs>
          <w:tab w:leader="none" w:pos="26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Percentage</w:t>
      </w:r>
      <w:r>
        <w:rPr>
          <w:rFonts w:ascii="Arial" w:cs="Arial" w:eastAsia="Arial" w:hAnsi="Arial"/>
          <w:sz w:val="16"/>
          <w:szCs w:val="16"/>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prior to the Effective Date.</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Cash</w:t>
      </w:r>
      <w:r>
        <w:rPr>
          <w:rFonts w:ascii="Arial" w:cs="Arial" w:eastAsia="Arial" w:hAnsi="Arial"/>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Closing Cash Payment Amount exceed $343,000,000.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Excess Cash</w:t>
      </w:r>
      <w:r>
        <w:rPr>
          <w:rFonts w:ascii="Arial" w:cs="Arial" w:eastAsia="Arial" w:hAnsi="Arial"/>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 Amount</w:t>
      </w:r>
      <w:r>
        <w:rPr>
          <w:rFonts w:ascii="Arial" w:cs="Arial" w:eastAsia="Arial" w:hAnsi="Arial"/>
          <w:sz w:val="18"/>
          <w:szCs w:val="18"/>
          <w:color w:val="auto"/>
        </w:rPr>
        <w:t>” shall mean the aggregate amount of the Closing Available Cash payable to Company Stockholders that have made Cash Elections.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Number of Securities</w:t>
      </w:r>
      <w:r>
        <w:rPr>
          <w:rFonts w:ascii="Arial" w:cs="Arial" w:eastAsia="Arial" w:hAnsi="Arial"/>
          <w:sz w:val="18"/>
          <w:szCs w:val="18"/>
          <w:color w:val="auto"/>
        </w:rPr>
        <w:t xml:space="preserve">” shall mean the number of shares of Parent Class A Stock equal to the quotient of (a) the Closing Securities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Securities Payment Amount</w:t>
      </w:r>
      <w:r>
        <w:rPr>
          <w:rFonts w:ascii="Arial" w:cs="Arial" w:eastAsia="Arial" w:hAnsi="Arial"/>
          <w:sz w:val="16"/>
          <w:szCs w:val="16"/>
          <w:color w:val="auto"/>
        </w:rPr>
        <w:t xml:space="preserve">” shall mean an amount equal to: (a)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Closing Cash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Price</w:t>
      </w:r>
      <w:r>
        <w:rPr>
          <w:rFonts w:ascii="Arial" w:cs="Arial" w:eastAsia="Arial" w:hAnsi="Arial"/>
          <w:sz w:val="17"/>
          <w:szCs w:val="17"/>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Closing Cash</w:t>
      </w:r>
      <w:r>
        <w:rPr>
          <w:rFonts w:ascii="Arial" w:cs="Arial" w:eastAsia="Arial" w:hAnsi="Arial"/>
          <w:sz w:val="17"/>
          <w:szCs w:val="17"/>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Company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Contract</w:t>
      </w:r>
      <w:r>
        <w:rPr>
          <w:rFonts w:ascii="Arial" w:cs="Arial" w:eastAsia="Arial" w:hAnsi="Arial"/>
          <w:sz w:val="17"/>
          <w:szCs w:val="17"/>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1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or effect related to clauses (iv) through</w:t>
      </w:r>
    </w:p>
    <w:p>
      <w:pPr>
        <w:spacing w:after="0" w:line="11" w:lineRule="exact"/>
        <w:rPr>
          <w:sz w:val="20"/>
          <w:szCs w:val="20"/>
          <w:color w:val="auto"/>
        </w:rPr>
      </w:pPr>
    </w:p>
    <w:p>
      <w:pPr>
        <w:ind w:firstLine="8"/>
        <w:spacing w:after="0" w:line="323" w:lineRule="auto"/>
        <w:tabs>
          <w:tab w:leader="none" w:pos="36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Incentive Plan.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shall mean a restricted stock unit representing the opportunity to acquire shares of Class B Common Stock granted under the Company Incentive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SAR</w:t>
      </w:r>
      <w:r>
        <w:rPr>
          <w:rFonts w:ascii="Arial" w:cs="Arial" w:eastAsia="Arial" w:hAnsi="Arial"/>
          <w:sz w:val="16"/>
          <w:szCs w:val="16"/>
          <w:color w:val="auto"/>
        </w:rPr>
        <w:t>” shall mean a stock appreciation right with respect to shares of Company Common Stock granted under the Company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shall mean a holder of a share of Company Common Stock and Company Preferred Stock issued and outstanding immediately prior to the Effective Time.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Costs</w:t>
      </w:r>
      <w:r>
        <w:rPr>
          <w:rFonts w:ascii="Arial" w:cs="Arial" w:eastAsia="Arial" w:hAnsi="Arial"/>
          <w:sz w:val="18"/>
          <w:szCs w:val="18"/>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w:t>
      </w:r>
    </w:p>
    <w:p>
      <w:pPr>
        <w:spacing w:after="0" w:line="2" w:lineRule="exact"/>
        <w:rPr>
          <w:sz w:val="20"/>
          <w:szCs w:val="20"/>
          <w:color w:val="auto"/>
        </w:rPr>
      </w:pPr>
    </w:p>
    <w:p>
      <w:pPr>
        <w:jc w:val="both"/>
        <w:ind w:firstLine="8"/>
        <w:spacing w:after="0" w:line="253" w:lineRule="auto"/>
        <w:tabs>
          <w:tab w:leader="none" w:pos="3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Required Funds</w:t>
      </w:r>
      <w:r>
        <w:rPr>
          <w:rFonts w:ascii="Arial" w:cs="Arial" w:eastAsia="Arial" w:hAnsi="Arial"/>
          <w:sz w:val="18"/>
          <w:szCs w:val="18"/>
          <w:color w:val="auto"/>
        </w:rPr>
        <w:t>” shall mean an amount equal to $300,000,000.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April 9, 2020, by and between the Company and Casdin Capital LLC, as amended and joined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the novel coronavirus, SARS-CoV-2 or COVID-19 or any mutation of the same, including any resulting epidemics, pandemics, disease outbreaks or public health emergencies.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Government Contract</w:t>
      </w:r>
      <w:r>
        <w:rPr>
          <w:rFonts w:ascii="Arial" w:cs="Arial" w:eastAsia="Arial" w:hAnsi="Arial"/>
          <w:sz w:val="16"/>
          <w:szCs w:val="16"/>
          <w:color w:val="auto"/>
        </w:rPr>
        <w:t>” shall mean any Government Contract the period of performance of which has not yet expired or been terminated.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 Rata Share</w:t>
      </w:r>
      <w:r>
        <w:rPr>
          <w:rFonts w:ascii="Arial" w:cs="Arial" w:eastAsia="Arial" w:hAnsi="Arial"/>
          <w:sz w:val="18"/>
          <w:szCs w:val="18"/>
          <w:color w:val="auto"/>
        </w:rPr>
        <w:t xml:space="preserve">” shall mean for each Company Stockholder and Earn-Out Service Provider, such amount determined in accordance with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RSU</w:t>
      </w:r>
      <w:r>
        <w:rPr>
          <w:rFonts w:ascii="Arial" w:cs="Arial" w:eastAsia="Arial" w:hAnsi="Arial"/>
          <w:sz w:val="18"/>
          <w:szCs w:val="18"/>
          <w:color w:val="auto"/>
        </w:rPr>
        <w:t>” shall mean the award of restricted stock units in respect of the Earn-Out Shares granted to the Earn-Out Service Providers pursuant to the Earn-Out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“Earn-Out Service Provider</w:t>
      </w:r>
      <w:r>
        <w:rPr>
          <w:rFonts w:ascii="Arial" w:cs="Arial" w:eastAsia="Arial" w:hAnsi="Arial"/>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Total Outstanding Shares</w:t>
      </w:r>
      <w:r>
        <w:rPr>
          <w:rFonts w:ascii="Arial" w:cs="Arial" w:eastAsia="Arial" w:hAnsi="Arial"/>
          <w:sz w:val="17"/>
          <w:szCs w:val="17"/>
          <w:color w:val="auto"/>
        </w:rPr>
        <w:t xml:space="preserve">” means the aggregate number of shares of Parent Class A Stock to which all Company Stockholders would be entitled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if no Company Stockholder made a Cash Election and the Closing Cash Payment Amount was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and all applicable Legal Requirements relating to pollution, Hazardous Materials, or the protection of the environment, natural resources, or human health and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Company or any of its Subsidiaries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and the rules and regulations promulgated thereunder.</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shall mean: (a) in the case of the Company,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Third Party Expenses</w:t>
      </w:r>
      <w:r>
        <w:rPr>
          <w:rFonts w:ascii="Arial" w:cs="Arial" w:eastAsia="Arial" w:hAnsi="Arial"/>
          <w:sz w:val="17"/>
          <w:szCs w:val="17"/>
          <w:color w:val="auto"/>
        </w:rPr>
        <w:t xml:space="preserve">); and (b) in the case of Parent,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i w:val="1"/>
          <w:iCs w:val="1"/>
          <w:color w:val="auto"/>
        </w:rPr>
        <w:t>Parent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Relative to this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Activities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(c) all registered and unregistered copyrights and applications for registration of copyright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(f) databases; and (g) all other intellectual property, intellectual property rights, proprietary information and proprietary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ISMMS</w:t>
      </w:r>
      <w:r>
        <w:rPr>
          <w:rFonts w:ascii="Arial" w:cs="Arial" w:eastAsia="Arial" w:hAnsi="Arial"/>
          <w:sz w:val="17"/>
          <w:szCs w:val="17"/>
          <w:color w:val="auto"/>
        </w:rPr>
        <w:t>” shall mean the Icahn School of Medicine at Mount Sinai, an education corporation formed under the New York Education Law.</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the actual knowledge or awareness as to a specified fact or event of: (a) with respect to the Company, the individuals listed on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of the Company Disclosure Letter; and (b) with respect to Parent or Merger Sub, the individuals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of the Parent Disclosure Letter.</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MSHS Entity</w:t>
      </w:r>
      <w:r>
        <w:rPr>
          <w:rFonts w:ascii="Arial" w:cs="Arial" w:eastAsia="Arial" w:hAnsi="Arial"/>
          <w:sz w:val="18"/>
          <w:szCs w:val="18"/>
          <w:color w:val="auto"/>
        </w:rPr>
        <w:t>” shall mean any New York not-for-profit corporation or limited liability company of which Mount Sinai Health System is, directly or indirectly, the sole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Exchange Ratio</w:t>
      </w:r>
      <w:r>
        <w:rPr>
          <w:rFonts w:ascii="Arial" w:cs="Arial" w:eastAsia="Arial" w:hAnsi="Arial"/>
          <w:sz w:val="18"/>
          <w:szCs w:val="18"/>
          <w:color w:val="auto"/>
        </w:rPr>
        <w:t>” shall mean:</w:t>
      </w:r>
    </w:p>
    <w:p>
      <w:pPr>
        <w:spacing w:after="0" w:line="225" w:lineRule="exact"/>
        <w:rPr>
          <w:sz w:val="20"/>
          <w:szCs w:val="20"/>
          <w:color w:val="auto"/>
        </w:rPr>
      </w:pPr>
    </w:p>
    <w:p>
      <w:pPr>
        <w:ind w:left="1780" w:hanging="314"/>
        <w:spacing w:after="0"/>
        <w:tabs>
          <w:tab w:leader="none" w:pos="17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A Common Stock, the quotient, rounded to the nearest one ten-thousandth, of</w:t>
      </w:r>
    </w:p>
    <w:p>
      <w:pPr>
        <w:spacing w:after="0" w:line="46" w:lineRule="exact"/>
        <w:rPr>
          <w:rFonts w:ascii="Arial" w:cs="Arial" w:eastAsia="Arial" w:hAnsi="Arial"/>
          <w:sz w:val="16"/>
          <w:szCs w:val="16"/>
          <w:color w:val="auto"/>
        </w:rPr>
      </w:pPr>
    </w:p>
    <w:p>
      <w:pPr>
        <w:ind w:left="2000" w:hanging="210"/>
        <w:spacing w:after="0"/>
        <w:tabs>
          <w:tab w:leader="none" w:pos="200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Per Share Amount divided by (ii) the Parent Stock Price; and</w:t>
      </w:r>
    </w:p>
    <w:p>
      <w:pPr>
        <w:spacing w:after="0" w:line="156" w:lineRule="exact"/>
        <w:rPr>
          <w:rFonts w:ascii="Arial" w:cs="Arial" w:eastAsia="Arial" w:hAnsi="Arial"/>
          <w:sz w:val="18"/>
          <w:szCs w:val="18"/>
          <w:color w:val="auto"/>
        </w:rPr>
      </w:pPr>
    </w:p>
    <w:p>
      <w:pPr>
        <w:ind w:left="1780" w:hanging="314"/>
        <w:spacing w:after="0"/>
        <w:tabs>
          <w:tab w:leader="none" w:pos="17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B Common Stock, the quotient, rounded to the nearest one ten-thousandth, of</w:t>
      </w:r>
    </w:p>
    <w:p>
      <w:pPr>
        <w:spacing w:after="0" w:line="46" w:lineRule="exact"/>
        <w:rPr>
          <w:rFonts w:ascii="Arial" w:cs="Arial" w:eastAsia="Arial" w:hAnsi="Arial"/>
          <w:sz w:val="16"/>
          <w:szCs w:val="16"/>
          <w:color w:val="auto"/>
        </w:rPr>
      </w:pPr>
    </w:p>
    <w:p>
      <w:pPr>
        <w:jc w:val="both"/>
        <w:ind w:left="1800" w:hanging="10"/>
        <w:spacing w:after="0" w:line="255" w:lineRule="auto"/>
        <w:tabs>
          <w:tab w:leader="none" w:pos="2016"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quotient obtained by dividing (A) the Per Share Amount by (B) one hundred (100) (which, for clarity, is intended to account for the conversion of Class B Common Stock into Class A Common Stock contemplated by Section 2.7(a)) divided by (ii) the Parent Stock Price.</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shall mean all Intellectual Property which any of the Group Companies has (or purports to have) an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Cash</w:t>
      </w:r>
      <w:r>
        <w:rPr>
          <w:rFonts w:ascii="Arial" w:cs="Arial" w:eastAsia="Arial" w:hAnsi="Arial"/>
          <w:sz w:val="17"/>
          <w:szCs w:val="17"/>
          <w:color w:val="auto"/>
        </w:rPr>
        <w:t xml:space="preserve">” shall mean, as of the date of determination: (a) all amounts in the Trust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Equity Financing Amount.</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Second Amended and Restated Certificate of Incorporation of Parent, dated as of September 1, 2020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any other similar organization documents of Parent, as each may be amended, modified or supplemented.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Price</w:t>
      </w:r>
      <w:r>
        <w:rPr>
          <w:rFonts w:ascii="Arial" w:cs="Arial" w:eastAsia="Arial" w:hAnsi="Arial"/>
          <w:sz w:val="18"/>
          <w:szCs w:val="18"/>
          <w:color w:val="auto"/>
        </w:rPr>
        <w:t>” shall mean $10.00.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Costs</w:t>
      </w:r>
      <w:r>
        <w:rPr>
          <w:rFonts w:ascii="Arial" w:cs="Arial" w:eastAsia="Arial" w:hAnsi="Arial"/>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Units</w:t>
      </w:r>
      <w:r>
        <w:rPr>
          <w:rFonts w:ascii="Arial" w:cs="Arial" w:eastAsia="Arial" w:hAnsi="Arial"/>
          <w:sz w:val="16"/>
          <w:szCs w:val="16"/>
          <w:color w:val="auto"/>
        </w:rPr>
        <w:t>” shall mean equity securities of Parent each consisting of one share of Parent Class A Stock and one-third of one Public Warrant.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Amount</w:t>
      </w:r>
      <w:r>
        <w:rPr>
          <w:rFonts w:ascii="Arial" w:cs="Arial" w:eastAsia="Arial" w:hAnsi="Arial"/>
          <w:sz w:val="18"/>
          <w:szCs w:val="18"/>
          <w:color w:val="auto"/>
        </w:rPr>
        <w:t>” shall mean the quotient, rounded to the nearest one-tenth of a cent, obtained by dividing (a) the Base Value by (b) the Aggregate Company Share Amount.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Exchange Ratio</w:t>
      </w:r>
      <w:r>
        <w:rPr>
          <w:rFonts w:ascii="Arial" w:cs="Arial" w:eastAsia="Arial" w:hAnsi="Arial"/>
          <w:sz w:val="18"/>
          <w:szCs w:val="18"/>
          <w:color w:val="auto"/>
        </w:rPr>
        <w:t>” shall mean the quotient, rounded to the nearest one ten-thousandth, of (i) the Per Share Amount divided by (ii) the Parent Stock Price;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shall mean the quotient, rounded to the nearest one ten-thousandth, of (i) the Per Share Amount divided by (ii)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United States Securities Act of 1933, as amended, and the rules and regulations promulgated thereunder.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Business Conduct Laws</w:t>
      </w:r>
      <w:r>
        <w:rPr>
          <w:rFonts w:ascii="Arial" w:cs="Arial" w:eastAsia="Arial" w:hAnsi="Arial"/>
          <w:sz w:val="17"/>
          <w:szCs w:val="17"/>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Arial" w:cs="Arial" w:eastAsia="Arial" w:hAnsi="Arial"/>
          <w:sz w:val="17"/>
          <w:szCs w:val="17"/>
          <w:u w:val="single" w:color="auto"/>
          <w:color w:val="auto"/>
        </w:rPr>
        <w:t>EAR</w:t>
      </w:r>
      <w:r>
        <w:rPr>
          <w:rFonts w:ascii="Arial" w:cs="Arial" w:eastAsia="Arial" w:hAnsi="Arial"/>
          <w:sz w:val="17"/>
          <w:szCs w:val="17"/>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shall mean that certain Support Agreement, dated as of the date hereof, by and among the Sponsor, Parent and the Company, as amended or modified from time to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19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Company Shares</w:t>
      </w:r>
      <w:r>
        <w:rPr>
          <w:rFonts w:ascii="Arial" w:cs="Arial" w:eastAsia="Arial" w:hAnsi="Arial"/>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Stockholder Outstanding Shares</w:t>
      </w:r>
      <w:r>
        <w:rPr>
          <w:rFonts w:ascii="Arial" w:cs="Arial" w:eastAsia="Arial" w:hAnsi="Arial"/>
          <w:sz w:val="17"/>
          <w:szCs w:val="17"/>
          <w:color w:val="auto"/>
        </w:rPr>
        <w:t>” shall mean, with respect to a Company Stockholder, the sum of (a) the aggregate number of shares of Company Common Stock held by such Company Stockholder immediately prior to the Effective Time plus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promulgated by the U.S. Department of the Treasury pursuant to and in respect of provisions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shall occur if, within the Earn-Out Period, the Common Share Price of Parent Class A Stock is greater than or equal to $13.00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shall occur if, within the Earn-Out Period, the Common Share Price of Parent Class A Stock is greater than or equal to $15.00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III</w:t>
      </w:r>
      <w:r>
        <w:rPr>
          <w:rFonts w:ascii="Arial" w:cs="Arial" w:eastAsia="Arial" w:hAnsi="Arial"/>
          <w:sz w:val="18"/>
          <w:szCs w:val="18"/>
          <w:color w:val="auto"/>
        </w:rPr>
        <w:t xml:space="preserve">” shall occur if, within the Earn-Out Period, the Common Share Price of Parent Class A Stock is greater than or equal to $18.00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Redemption Amount</w:t>
      </w:r>
      <w:r>
        <w:rPr>
          <w:rFonts w:ascii="Arial" w:cs="Arial" w:eastAsia="Arial" w:hAnsi="Arial"/>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Parent Amended and Restated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9019"/>
          </w:cols>
          <w:pgMar w:left="1440" w:top="1440" w:right="1440" w:bottom="1440" w:gutter="0" w:footer="0" w:header="0"/>
        </w:sectPr>
      </w:pPr>
    </w:p>
    <w:bookmarkStart w:id="514" w:name="page515"/>
    <w:bookmarkEnd w:id="514"/>
    <w:p>
      <w:pPr>
        <w:spacing w:after="0" w:line="13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8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the First Amendment and Restatement to the Original Certificate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6"/>
          <w:szCs w:val="16"/>
          <w:color w:val="auto"/>
        </w:rPr>
        <w:t>CM Life Sciences, Inc.</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34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Sema4 Holdings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color w:val="auto"/>
        </w:rPr>
        <w:t>.  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17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w:t>
      </w:r>
    </w:p>
    <w:p>
      <w:pPr>
        <w:spacing w:after="0" w:line="183"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color w:val="auto"/>
        </w:rPr>
        <w:t>. 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652"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one or more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06" w:lineRule="exact"/>
        <w:rPr>
          <w:sz w:val="20"/>
          <w:szCs w:val="20"/>
          <w:color w:val="auto"/>
        </w:rPr>
      </w:pPr>
    </w:p>
    <w:p>
      <w:pPr>
        <w:jc w:val="both"/>
        <w:ind w:firstLine="332"/>
        <w:spacing w:after="0" w:line="253" w:lineRule="auto"/>
        <w:tabs>
          <w:tab w:leader="none" w:pos="72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firstLine="332"/>
        <w:spacing w:after="0" w:line="273" w:lineRule="auto"/>
        <w:tabs>
          <w:tab w:leader="none" w:pos="679"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 and Newly Created Directorships</w:t>
      </w:r>
      <w:r>
        <w:rPr>
          <w:rFonts w:ascii="Arial" w:cs="Arial" w:eastAsia="Arial" w:hAnsi="Arial"/>
          <w:sz w:val="17"/>
          <w:szCs w:val="17"/>
          <w:color w:val="auto"/>
        </w:rPr>
        <w:t>. Subject to the special rights of the holders of any series of Preferred Stock, any vacancy</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17" w:lineRule="exact"/>
        <w:rPr>
          <w:rFonts w:ascii="Arial" w:cs="Arial" w:eastAsia="Arial" w:hAnsi="Arial"/>
          <w:sz w:val="17"/>
          <w:szCs w:val="17"/>
          <w:b w:val="1"/>
          <w:bCs w:val="1"/>
          <w:color w:val="auto"/>
        </w:rPr>
      </w:pPr>
    </w:p>
    <w:p>
      <w:pPr>
        <w:ind w:left="640" w:hanging="308"/>
        <w:spacing w:after="0"/>
        <w:tabs>
          <w:tab w:leader="none" w:pos="64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color w:val="auto"/>
        </w:rPr>
        <w:t>. 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39" w:lineRule="exact"/>
        <w:rPr>
          <w:sz w:val="20"/>
          <w:szCs w:val="20"/>
          <w:color w:val="auto"/>
        </w:rPr>
      </w:pPr>
    </w:p>
    <w:p>
      <w:pPr>
        <w:jc w:val="both"/>
        <w:ind w:firstLine="332"/>
        <w:spacing w:after="0" w:line="266" w:lineRule="auto"/>
        <w:tabs>
          <w:tab w:leader="none" w:pos="666"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Parent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9019"/>
          </w:cols>
          <w:pgMar w:left="1440" w:top="1440" w:right="1440" w:bottom="1440" w:gutter="0" w:footer="0" w:header="0"/>
        </w:sectPr>
      </w:pPr>
    </w:p>
    <w:bookmarkStart w:id="520" w:name="page521"/>
    <w:bookmarkEnd w:id="520"/>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1763395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1789430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419"/>
        <w:spacing w:after="0"/>
        <w:rPr>
          <w:sz w:val="20"/>
          <w:szCs w:val="20"/>
          <w:color w:val="auto"/>
        </w:rPr>
      </w:pPr>
      <w:r>
        <w:rPr>
          <w:rFonts w:ascii="Arial" w:cs="Arial" w:eastAsia="Arial" w:hAnsi="Arial"/>
          <w:sz w:val="17"/>
          <w:szCs w:val="17"/>
          <w:b w:val="1"/>
          <w:bCs w:val="1"/>
          <w:color w:val="auto"/>
        </w:rPr>
        <w:t>SEMA4 HOLDINGS CORP.</w:t>
      </w:r>
    </w:p>
    <w:p>
      <w:pPr>
        <w:spacing w:after="0" w:line="187"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RESTATED BYLAWS</w:t>
      </w: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Adopted [●], 2021 and</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Effective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9019"/>
          </w:cols>
          <w:pgMar w:left="1440" w:top="1440" w:right="1440" w:bottom="1440" w:gutter="0" w:footer="0" w:header="0"/>
        </w:sectPr>
      </w:pPr>
    </w:p>
    <w:bookmarkStart w:id="521" w:name="page522"/>
    <w:bookmarkEnd w:id="52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28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SEMA4 HOLDINGS CORP.</w:t>
            </w:r>
          </w:p>
        </w:tc>
        <w:tc>
          <w:tcPr>
            <w:tcW w:w="2420" w:type="dxa"/>
            <w:vAlign w:val="bottom"/>
          </w:tcPr>
          <w:p>
            <w:pPr>
              <w:spacing w:after="0"/>
              <w:rPr>
                <w:sz w:val="20"/>
                <w:szCs w:val="20"/>
                <w:color w:val="auto"/>
              </w:rPr>
            </w:pPr>
          </w:p>
        </w:tc>
      </w:tr>
      <w:tr>
        <w:trPr>
          <w:trHeight w:val="378"/>
        </w:trPr>
        <w:tc>
          <w:tcPr>
            <w:tcW w:w="1500" w:type="dxa"/>
            <w:vAlign w:val="bottom"/>
          </w:tcPr>
          <w:p>
            <w:pPr>
              <w:spacing w:after="0"/>
              <w:rPr>
                <w:sz w:val="24"/>
                <w:szCs w:val="24"/>
                <w:color w:val="auto"/>
              </w:rPr>
            </w:pPr>
          </w:p>
        </w:tc>
        <w:tc>
          <w:tcPr>
            <w:tcW w:w="7280" w:type="dxa"/>
            <w:vAlign w:val="bottom"/>
          </w:tcPr>
          <w:p>
            <w:pPr>
              <w:ind w:left="3360"/>
              <w:spacing w:after="0"/>
              <w:rPr>
                <w:sz w:val="20"/>
                <w:szCs w:val="20"/>
                <w:color w:val="auto"/>
              </w:rPr>
            </w:pPr>
            <w:r>
              <w:rPr>
                <w:rFonts w:ascii="Arial" w:cs="Arial" w:eastAsia="Arial" w:hAnsi="Arial"/>
                <w:sz w:val="18"/>
                <w:szCs w:val="18"/>
                <w:color w:val="auto"/>
              </w:rPr>
              <w:t>(a Delaware corporation)</w:t>
            </w:r>
          </w:p>
        </w:tc>
        <w:tc>
          <w:tcPr>
            <w:tcW w:w="242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80" w:type="dxa"/>
            <w:vAlign w:val="bottom"/>
          </w:tcPr>
          <w:p>
            <w:pPr>
              <w:jc w:val="center"/>
              <w:ind w:left="830"/>
              <w:spacing w:after="0"/>
              <w:rPr>
                <w:sz w:val="20"/>
                <w:szCs w:val="20"/>
                <w:color w:val="auto"/>
              </w:rPr>
            </w:pPr>
            <w:r>
              <w:rPr>
                <w:rFonts w:ascii="Arial" w:cs="Arial" w:eastAsia="Arial" w:hAnsi="Arial"/>
                <w:sz w:val="18"/>
                <w:szCs w:val="18"/>
                <w:b w:val="1"/>
                <w:bCs w:val="1"/>
                <w:color w:val="auto"/>
                <w:w w:val="97"/>
              </w:rPr>
              <w:t>RESTATED BYLAWS</w:t>
            </w:r>
          </w:p>
        </w:tc>
        <w:tc>
          <w:tcPr>
            <w:tcW w:w="242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8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w:t>
            </w:r>
          </w:p>
        </w:tc>
        <w:tc>
          <w:tcPr>
            <w:tcW w:w="7280" w:type="dxa"/>
            <w:vAlign w:val="bottom"/>
          </w:tcPr>
          <w:p>
            <w:pPr>
              <w:ind w:left="300"/>
              <w:spacing w:after="0"/>
              <w:rPr>
                <w:sz w:val="20"/>
                <w:szCs w:val="20"/>
                <w:color w:val="auto"/>
              </w:rPr>
            </w:pPr>
            <w:r>
              <w:rPr>
                <w:rFonts w:ascii="Arial" w:cs="Arial" w:eastAsia="Arial" w:hAnsi="Arial"/>
                <w:sz w:val="18"/>
                <w:szCs w:val="18"/>
                <w:color w:val="auto"/>
              </w:rPr>
              <w:t>Annual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1.2:</w:t>
            </w:r>
          </w:p>
        </w:tc>
        <w:tc>
          <w:tcPr>
            <w:tcW w:w="728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1.3:</w:t>
            </w:r>
          </w:p>
        </w:tc>
        <w:tc>
          <w:tcPr>
            <w:tcW w:w="7280" w:type="dxa"/>
            <w:vAlign w:val="bottom"/>
          </w:tcPr>
          <w:p>
            <w:pPr>
              <w:ind w:left="300"/>
              <w:spacing w:after="0"/>
              <w:rPr>
                <w:sz w:val="20"/>
                <w:szCs w:val="20"/>
                <w:color w:val="auto"/>
              </w:rPr>
            </w:pPr>
            <w:r>
              <w:rPr>
                <w:rFonts w:ascii="Arial" w:cs="Arial" w:eastAsia="Arial" w:hAnsi="Arial"/>
                <w:sz w:val="18"/>
                <w:szCs w:val="18"/>
                <w:color w:val="auto"/>
              </w:rPr>
              <w:t>Notice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1.4:</w:t>
            </w:r>
          </w:p>
        </w:tc>
        <w:tc>
          <w:tcPr>
            <w:tcW w:w="7280" w:type="dxa"/>
            <w:vAlign w:val="bottom"/>
          </w:tcPr>
          <w:p>
            <w:pPr>
              <w:ind w:left="300"/>
              <w:spacing w:after="0"/>
              <w:rPr>
                <w:sz w:val="20"/>
                <w:szCs w:val="20"/>
                <w:color w:val="auto"/>
              </w:rPr>
            </w:pPr>
            <w:r>
              <w:rPr>
                <w:rFonts w:ascii="Arial" w:cs="Arial" w:eastAsia="Arial" w:hAnsi="Arial"/>
                <w:sz w:val="18"/>
                <w:szCs w:val="18"/>
                <w:color w:val="auto"/>
              </w:rPr>
              <w:t>Adjournments</w:t>
            </w:r>
          </w:p>
        </w:tc>
        <w:tc>
          <w:tcPr>
            <w:tcW w:w="2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1.5:</w:t>
            </w:r>
          </w:p>
        </w:tc>
        <w:tc>
          <w:tcPr>
            <w:tcW w:w="7280" w:type="dxa"/>
            <w:vAlign w:val="bottom"/>
          </w:tcPr>
          <w:p>
            <w:pPr>
              <w:ind w:left="300"/>
              <w:spacing w:after="0"/>
              <w:rPr>
                <w:sz w:val="20"/>
                <w:szCs w:val="20"/>
                <w:color w:val="auto"/>
              </w:rPr>
            </w:pPr>
            <w:r>
              <w:rPr>
                <w:rFonts w:ascii="Arial" w:cs="Arial" w:eastAsia="Arial" w:hAnsi="Arial"/>
                <w:sz w:val="18"/>
                <w:szCs w:val="18"/>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1.6:</w:t>
            </w:r>
          </w:p>
        </w:tc>
        <w:tc>
          <w:tcPr>
            <w:tcW w:w="728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1.7:</w:t>
            </w:r>
          </w:p>
        </w:tc>
        <w:tc>
          <w:tcPr>
            <w:tcW w:w="7280" w:type="dxa"/>
            <w:vAlign w:val="bottom"/>
          </w:tcPr>
          <w:p>
            <w:pPr>
              <w:ind w:left="300"/>
              <w:spacing w:after="0"/>
              <w:rPr>
                <w:sz w:val="20"/>
                <w:szCs w:val="20"/>
                <w:color w:val="auto"/>
              </w:rPr>
            </w:pPr>
            <w:r>
              <w:rPr>
                <w:rFonts w:ascii="Arial" w:cs="Arial" w:eastAsia="Arial" w:hAnsi="Arial"/>
                <w:sz w:val="18"/>
                <w:szCs w:val="18"/>
                <w:color w:val="auto"/>
              </w:rPr>
              <w:t>Voting; Proxies</w:t>
            </w:r>
          </w:p>
        </w:tc>
        <w:tc>
          <w:tcPr>
            <w:tcW w:w="2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1.8:</w:t>
            </w:r>
          </w:p>
        </w:tc>
        <w:tc>
          <w:tcPr>
            <w:tcW w:w="7280" w:type="dxa"/>
            <w:vAlign w:val="bottom"/>
          </w:tcPr>
          <w:p>
            <w:pPr>
              <w:ind w:left="300"/>
              <w:spacing w:after="0"/>
              <w:rPr>
                <w:sz w:val="20"/>
                <w:szCs w:val="20"/>
                <w:color w:val="auto"/>
              </w:rPr>
            </w:pPr>
            <w:r>
              <w:rPr>
                <w:rFonts w:ascii="Arial" w:cs="Arial" w:eastAsia="Arial" w:hAnsi="Arial"/>
                <w:sz w:val="18"/>
                <w:szCs w:val="18"/>
                <w:color w:val="auto"/>
              </w:rPr>
              <w:t>Fixing Date for Determination of Stockholders of Record</w:t>
            </w:r>
          </w:p>
        </w:tc>
        <w:tc>
          <w:tcPr>
            <w:tcW w:w="2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1.9:</w:t>
            </w:r>
          </w:p>
        </w:tc>
        <w:tc>
          <w:tcPr>
            <w:tcW w:w="728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2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1.10:</w:t>
            </w:r>
          </w:p>
        </w:tc>
        <w:tc>
          <w:tcPr>
            <w:tcW w:w="7280" w:type="dxa"/>
            <w:vAlign w:val="bottom"/>
          </w:tcPr>
          <w:p>
            <w:pPr>
              <w:ind w:left="300"/>
              <w:spacing w:after="0"/>
              <w:rPr>
                <w:sz w:val="20"/>
                <w:szCs w:val="20"/>
                <w:color w:val="auto"/>
              </w:rPr>
            </w:pPr>
            <w:r>
              <w:rPr>
                <w:rFonts w:ascii="Arial" w:cs="Arial" w:eastAsia="Arial" w:hAnsi="Arial"/>
                <w:sz w:val="18"/>
                <w:szCs w:val="18"/>
                <w:color w:val="auto"/>
              </w:rPr>
              <w:t>Inspectors of Elections.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1.11:</w:t>
            </w:r>
          </w:p>
        </w:tc>
        <w:tc>
          <w:tcPr>
            <w:tcW w:w="7280" w:type="dxa"/>
            <w:vAlign w:val="bottom"/>
          </w:tcPr>
          <w:p>
            <w:pPr>
              <w:ind w:left="300"/>
              <w:spacing w:after="0"/>
              <w:rPr>
                <w:sz w:val="20"/>
                <w:szCs w:val="20"/>
                <w:color w:val="auto"/>
              </w:rPr>
            </w:pPr>
            <w:r>
              <w:rPr>
                <w:rFonts w:ascii="Arial" w:cs="Arial" w:eastAsia="Arial" w:hAnsi="Arial"/>
                <w:sz w:val="18"/>
                <w:szCs w:val="18"/>
                <w:color w:val="auto"/>
              </w:rPr>
              <w:t>Conduct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1.12:</w:t>
            </w:r>
          </w:p>
        </w:tc>
        <w:tc>
          <w:tcPr>
            <w:tcW w:w="7280" w:type="dxa"/>
            <w:vAlign w:val="bottom"/>
          </w:tcPr>
          <w:p>
            <w:pPr>
              <w:ind w:left="300"/>
              <w:spacing w:after="0"/>
              <w:rPr>
                <w:sz w:val="20"/>
                <w:szCs w:val="20"/>
                <w:color w:val="auto"/>
              </w:rPr>
            </w:pPr>
            <w:r>
              <w:rPr>
                <w:rFonts w:ascii="Arial" w:cs="Arial" w:eastAsia="Arial" w:hAnsi="Arial"/>
                <w:sz w:val="18"/>
                <w:szCs w:val="18"/>
                <w:color w:val="auto"/>
              </w:rPr>
              <w:t>Notice of Stockholder Business; Nominations.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9"/>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w:t>
            </w:r>
          </w:p>
        </w:tc>
        <w:tc>
          <w:tcPr>
            <w:tcW w:w="7280" w:type="dxa"/>
            <w:vAlign w:val="bottom"/>
          </w:tcPr>
          <w:p>
            <w:pPr>
              <w:ind w:left="300"/>
              <w:spacing w:after="0"/>
              <w:rPr>
                <w:sz w:val="20"/>
                <w:szCs w:val="20"/>
                <w:color w:val="auto"/>
              </w:rPr>
            </w:pPr>
            <w:r>
              <w:rPr>
                <w:rFonts w:ascii="Arial" w:cs="Arial" w:eastAsia="Arial" w:hAnsi="Arial"/>
                <w:sz w:val="18"/>
                <w:szCs w:val="18"/>
                <w:color w:val="auto"/>
              </w:rPr>
              <w:t>Number; Qualifications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2.2:</w:t>
            </w:r>
          </w:p>
        </w:tc>
        <w:tc>
          <w:tcPr>
            <w:tcW w:w="7280" w:type="dxa"/>
            <w:vAlign w:val="bottom"/>
          </w:tcPr>
          <w:p>
            <w:pPr>
              <w:ind w:left="300"/>
              <w:spacing w:after="0"/>
              <w:rPr>
                <w:sz w:val="20"/>
                <w:szCs w:val="20"/>
                <w:color w:val="auto"/>
              </w:rPr>
            </w:pPr>
            <w:r>
              <w:rPr>
                <w:rFonts w:ascii="Arial" w:cs="Arial" w:eastAsia="Arial" w:hAnsi="Arial"/>
                <w:sz w:val="18"/>
                <w:szCs w:val="18"/>
                <w:color w:val="auto"/>
              </w:rPr>
              <w:t>Election; Resignation; Removal; Vacancies</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2.3:</w:t>
            </w:r>
          </w:p>
        </w:tc>
        <w:tc>
          <w:tcPr>
            <w:tcW w:w="728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2.4:</w:t>
            </w:r>
          </w:p>
        </w:tc>
        <w:tc>
          <w:tcPr>
            <w:tcW w:w="728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2.5:</w:t>
            </w:r>
          </w:p>
        </w:tc>
        <w:tc>
          <w:tcPr>
            <w:tcW w:w="7280" w:type="dxa"/>
            <w:vAlign w:val="bottom"/>
          </w:tcPr>
          <w:p>
            <w:pPr>
              <w:ind w:left="300"/>
              <w:spacing w:after="0"/>
              <w:rPr>
                <w:sz w:val="20"/>
                <w:szCs w:val="20"/>
                <w:color w:val="auto"/>
              </w:rPr>
            </w:pPr>
            <w:r>
              <w:rPr>
                <w:rFonts w:ascii="Arial" w:cs="Arial" w:eastAsia="Arial" w:hAnsi="Arial"/>
                <w:sz w:val="18"/>
                <w:szCs w:val="18"/>
                <w:color w:val="auto"/>
              </w:rPr>
              <w:t>Remote Meetings Permitted</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2.6:</w:t>
            </w:r>
          </w:p>
        </w:tc>
        <w:tc>
          <w:tcPr>
            <w:tcW w:w="7280" w:type="dxa"/>
            <w:vAlign w:val="bottom"/>
          </w:tcPr>
          <w:p>
            <w:pPr>
              <w:ind w:left="300"/>
              <w:spacing w:after="0"/>
              <w:rPr>
                <w:sz w:val="20"/>
                <w:szCs w:val="20"/>
                <w:color w:val="auto"/>
              </w:rPr>
            </w:pPr>
            <w:r>
              <w:rPr>
                <w:rFonts w:ascii="Arial" w:cs="Arial" w:eastAsia="Arial" w:hAnsi="Arial"/>
                <w:sz w:val="18"/>
                <w:szCs w:val="18"/>
                <w:color w:val="auto"/>
              </w:rPr>
              <w:t>Quorum; Vote Required for Action</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2.7:</w:t>
            </w:r>
          </w:p>
        </w:tc>
        <w:tc>
          <w:tcPr>
            <w:tcW w:w="728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2.8:</w:t>
            </w:r>
          </w:p>
        </w:tc>
        <w:tc>
          <w:tcPr>
            <w:tcW w:w="7280" w:type="dxa"/>
            <w:vAlign w:val="bottom"/>
          </w:tcPr>
          <w:p>
            <w:pPr>
              <w:ind w:left="300"/>
              <w:spacing w:after="0"/>
              <w:rPr>
                <w:sz w:val="20"/>
                <w:szCs w:val="20"/>
                <w:color w:val="auto"/>
              </w:rPr>
            </w:pPr>
            <w:r>
              <w:rPr>
                <w:rFonts w:ascii="Arial" w:cs="Arial" w:eastAsia="Arial" w:hAnsi="Arial"/>
                <w:sz w:val="18"/>
                <w:szCs w:val="18"/>
                <w:color w:val="auto"/>
              </w:rPr>
              <w:t>Unanimous Action by Directors in Lieu of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2.9:</w:t>
            </w:r>
          </w:p>
        </w:tc>
        <w:tc>
          <w:tcPr>
            <w:tcW w:w="7280" w:type="dxa"/>
            <w:vAlign w:val="bottom"/>
          </w:tcPr>
          <w:p>
            <w:pPr>
              <w:ind w:left="300"/>
              <w:spacing w:after="0"/>
              <w:rPr>
                <w:sz w:val="20"/>
                <w:szCs w:val="20"/>
                <w:color w:val="auto"/>
              </w:rPr>
            </w:pPr>
            <w:r>
              <w:rPr>
                <w:rFonts w:ascii="Arial" w:cs="Arial" w:eastAsia="Arial" w:hAnsi="Arial"/>
                <w:sz w:val="18"/>
                <w:szCs w:val="18"/>
                <w:color w:val="auto"/>
              </w:rPr>
              <w:t>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2.10:</w:t>
            </w:r>
          </w:p>
        </w:tc>
        <w:tc>
          <w:tcPr>
            <w:tcW w:w="7280" w:type="dxa"/>
            <w:vAlign w:val="bottom"/>
          </w:tcPr>
          <w:p>
            <w:pPr>
              <w:ind w:left="300"/>
              <w:spacing w:after="0"/>
              <w:rPr>
                <w:sz w:val="20"/>
                <w:szCs w:val="20"/>
                <w:color w:val="auto"/>
              </w:rPr>
            </w:pPr>
            <w:r>
              <w:rPr>
                <w:rFonts w:ascii="Arial" w:cs="Arial" w:eastAsia="Arial" w:hAnsi="Arial"/>
                <w:sz w:val="18"/>
                <w:szCs w:val="18"/>
                <w:color w:val="auto"/>
              </w:rPr>
              <w:t>Compensation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2.11:</w:t>
            </w:r>
          </w:p>
        </w:tc>
        <w:tc>
          <w:tcPr>
            <w:tcW w:w="728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9"/>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3.1:</w:t>
            </w:r>
          </w:p>
        </w:tc>
        <w:tc>
          <w:tcPr>
            <w:tcW w:w="7280" w:type="dxa"/>
            <w:vAlign w:val="bottom"/>
          </w:tcPr>
          <w:p>
            <w:pPr>
              <w:ind w:left="300"/>
              <w:spacing w:after="0"/>
              <w:rPr>
                <w:sz w:val="20"/>
                <w:szCs w:val="20"/>
                <w:color w:val="auto"/>
              </w:rPr>
            </w:pPr>
            <w:r>
              <w:rPr>
                <w:rFonts w:ascii="Arial" w:cs="Arial" w:eastAsia="Arial" w:hAnsi="Arial"/>
                <w:sz w:val="18"/>
                <w:szCs w:val="18"/>
                <w:color w:val="auto"/>
              </w:rPr>
              <w:t>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3.2:</w:t>
            </w:r>
          </w:p>
        </w:tc>
        <w:tc>
          <w:tcPr>
            <w:tcW w:w="7280" w:type="dxa"/>
            <w:vAlign w:val="bottom"/>
          </w:tcPr>
          <w:p>
            <w:pPr>
              <w:ind w:left="300"/>
              <w:spacing w:after="0"/>
              <w:rPr>
                <w:sz w:val="20"/>
                <w:szCs w:val="20"/>
                <w:color w:val="auto"/>
              </w:rPr>
            </w:pPr>
            <w:r>
              <w:rPr>
                <w:rFonts w:ascii="Arial" w:cs="Arial" w:eastAsia="Arial" w:hAnsi="Arial"/>
                <w:sz w:val="18"/>
                <w:szCs w:val="18"/>
                <w:color w:val="auto"/>
              </w:rPr>
              <w:t>Committee Rules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9"/>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4.1:</w:t>
            </w:r>
          </w:p>
        </w:tc>
        <w:tc>
          <w:tcPr>
            <w:tcW w:w="7280" w:type="dxa"/>
            <w:vAlign w:val="bottom"/>
          </w:tcPr>
          <w:p>
            <w:pPr>
              <w:ind w:left="300"/>
              <w:spacing w:after="0"/>
              <w:rPr>
                <w:sz w:val="20"/>
                <w:szCs w:val="20"/>
                <w:color w:val="auto"/>
              </w:rPr>
            </w:pPr>
            <w:r>
              <w:rPr>
                <w:rFonts w:ascii="Arial" w:cs="Arial" w:eastAsia="Arial" w:hAnsi="Arial"/>
                <w:sz w:val="18"/>
                <w:szCs w:val="18"/>
                <w:color w:val="auto"/>
              </w:rPr>
              <w:t>Generally</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4.2:</w:t>
            </w:r>
          </w:p>
        </w:tc>
        <w:tc>
          <w:tcPr>
            <w:tcW w:w="7280" w:type="dxa"/>
            <w:vAlign w:val="bottom"/>
          </w:tcPr>
          <w:p>
            <w:pPr>
              <w:ind w:left="300"/>
              <w:spacing w:after="0"/>
              <w:rPr>
                <w:sz w:val="20"/>
                <w:szCs w:val="20"/>
                <w:color w:val="auto"/>
              </w:rPr>
            </w:pPr>
            <w:r>
              <w:rPr>
                <w:rFonts w:ascii="Arial" w:cs="Arial" w:eastAsia="Arial" w:hAnsi="Arial"/>
                <w:sz w:val="18"/>
                <w:szCs w:val="18"/>
                <w:color w:val="auto"/>
              </w:rPr>
              <w:t>Chief Executive Officer</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4.3:</w:t>
            </w:r>
          </w:p>
        </w:tc>
        <w:tc>
          <w:tcPr>
            <w:tcW w:w="7280" w:type="dxa"/>
            <w:vAlign w:val="bottom"/>
          </w:tcPr>
          <w:p>
            <w:pPr>
              <w:ind w:left="300"/>
              <w:spacing w:after="0"/>
              <w:rPr>
                <w:sz w:val="20"/>
                <w:szCs w:val="20"/>
                <w:color w:val="auto"/>
              </w:rPr>
            </w:pPr>
            <w:r>
              <w:rPr>
                <w:rFonts w:ascii="Arial" w:cs="Arial" w:eastAsia="Arial" w:hAnsi="Arial"/>
                <w:sz w:val="18"/>
                <w:szCs w:val="18"/>
                <w:color w:val="auto"/>
              </w:rPr>
              <w:t>Chairperson of the Board</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4.4:</w:t>
            </w:r>
          </w:p>
        </w:tc>
        <w:tc>
          <w:tcPr>
            <w:tcW w:w="728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4.5:</w:t>
            </w:r>
          </w:p>
        </w:tc>
        <w:tc>
          <w:tcPr>
            <w:tcW w:w="7280" w:type="dxa"/>
            <w:vAlign w:val="bottom"/>
          </w:tcPr>
          <w:p>
            <w:pPr>
              <w:ind w:left="300"/>
              <w:spacing w:after="0"/>
              <w:rPr>
                <w:sz w:val="20"/>
                <w:szCs w:val="20"/>
                <w:color w:val="auto"/>
              </w:rPr>
            </w:pPr>
            <w:r>
              <w:rPr>
                <w:rFonts w:ascii="Arial" w:cs="Arial" w:eastAsia="Arial" w:hAnsi="Arial"/>
                <w:sz w:val="18"/>
                <w:szCs w:val="18"/>
                <w:color w:val="auto"/>
              </w:rPr>
              <w:t>President</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4.6:</w:t>
            </w:r>
          </w:p>
        </w:tc>
        <w:tc>
          <w:tcPr>
            <w:tcW w:w="728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4.7:</w:t>
            </w:r>
          </w:p>
        </w:tc>
        <w:tc>
          <w:tcPr>
            <w:tcW w:w="728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24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4.8:</w:t>
            </w:r>
          </w:p>
        </w:tc>
        <w:tc>
          <w:tcPr>
            <w:tcW w:w="7280" w:type="dxa"/>
            <w:vAlign w:val="bottom"/>
          </w:tcPr>
          <w:p>
            <w:pPr>
              <w:ind w:left="300"/>
              <w:spacing w:after="0"/>
              <w:rPr>
                <w:sz w:val="20"/>
                <w:szCs w:val="20"/>
                <w:color w:val="auto"/>
              </w:rPr>
            </w:pPr>
            <w:r>
              <w:rPr>
                <w:rFonts w:ascii="Arial" w:cs="Arial" w:eastAsia="Arial" w:hAnsi="Arial"/>
                <w:sz w:val="18"/>
                <w:szCs w:val="18"/>
                <w:color w:val="auto"/>
              </w:rPr>
              <w:t>Vice President</w:t>
            </w:r>
          </w:p>
        </w:tc>
        <w:tc>
          <w:tcPr>
            <w:tcW w:w="242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200"/>
          </w:cols>
          <w:pgMar w:left="340" w:top="1440" w:right="359" w:bottom="1440" w:gutter="0" w:footer="0" w:header="0"/>
        </w:sectPr>
      </w:pPr>
    </w:p>
    <w:bookmarkStart w:id="522" w:name="page523"/>
    <w:bookmarkEnd w:id="52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4.9:</w:t>
            </w:r>
          </w:p>
        </w:tc>
        <w:tc>
          <w:tcPr>
            <w:tcW w:w="818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4.10:</w:t>
            </w:r>
          </w:p>
        </w:tc>
        <w:tc>
          <w:tcPr>
            <w:tcW w:w="818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4.11:</w:t>
            </w:r>
          </w:p>
        </w:tc>
        <w:tc>
          <w:tcPr>
            <w:tcW w:w="8180" w:type="dxa"/>
            <w:vAlign w:val="bottom"/>
          </w:tcPr>
          <w:p>
            <w:pPr>
              <w:ind w:left="40"/>
              <w:spacing w:after="0"/>
              <w:rPr>
                <w:sz w:val="20"/>
                <w:szCs w:val="20"/>
                <w:color w:val="auto"/>
              </w:rPr>
            </w:pPr>
            <w:r>
              <w:rPr>
                <w:rFonts w:ascii="Arial" w:cs="Arial" w:eastAsia="Arial" w:hAnsi="Arial"/>
                <w:sz w:val="18"/>
                <w:szCs w:val="18"/>
                <w:color w:val="auto"/>
              </w:rPr>
              <w:t>Removal</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8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5.1:</w:t>
            </w:r>
          </w:p>
        </w:tc>
        <w:tc>
          <w:tcPr>
            <w:tcW w:w="8180" w:type="dxa"/>
            <w:vAlign w:val="bottom"/>
          </w:tcPr>
          <w:p>
            <w:pPr>
              <w:ind w:left="40"/>
              <w:spacing w:after="0"/>
              <w:rPr>
                <w:sz w:val="20"/>
                <w:szCs w:val="20"/>
                <w:color w:val="auto"/>
              </w:rPr>
            </w:pPr>
            <w:r>
              <w:rPr>
                <w:rFonts w:ascii="Arial" w:cs="Arial" w:eastAsia="Arial" w:hAnsi="Arial"/>
                <w:sz w:val="18"/>
                <w:szCs w:val="18"/>
                <w:color w:val="auto"/>
              </w:rPr>
              <w:t>Certificates; Uncertificated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5.2:</w:t>
            </w:r>
          </w:p>
        </w:tc>
        <w:tc>
          <w:tcPr>
            <w:tcW w:w="8180" w:type="dxa"/>
            <w:vAlign w:val="bottom"/>
          </w:tcPr>
          <w:p>
            <w:pPr>
              <w:ind w:left="4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5.3:</w:t>
            </w:r>
          </w:p>
        </w:tc>
        <w:tc>
          <w:tcPr>
            <w:tcW w:w="818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6.1:</w:t>
            </w:r>
          </w:p>
        </w:tc>
        <w:tc>
          <w:tcPr>
            <w:tcW w:w="8180" w:type="dxa"/>
            <w:vAlign w:val="bottom"/>
          </w:tcPr>
          <w:p>
            <w:pPr>
              <w:ind w:left="40"/>
              <w:spacing w:after="0"/>
              <w:rPr>
                <w:sz w:val="20"/>
                <w:szCs w:val="20"/>
                <w:color w:val="auto"/>
              </w:rPr>
            </w:pPr>
            <w:r>
              <w:rPr>
                <w:rFonts w:ascii="Arial" w:cs="Arial" w:eastAsia="Arial" w:hAnsi="Arial"/>
                <w:sz w:val="18"/>
                <w:szCs w:val="18"/>
                <w:color w:val="auto"/>
              </w:rPr>
              <w:t>Indemnification of Officers and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6.2:</w:t>
            </w:r>
          </w:p>
        </w:tc>
        <w:tc>
          <w:tcPr>
            <w:tcW w:w="818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6.3:</w:t>
            </w:r>
          </w:p>
        </w:tc>
        <w:tc>
          <w:tcPr>
            <w:tcW w:w="818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6.4:</w:t>
            </w:r>
          </w:p>
        </w:tc>
        <w:tc>
          <w:tcPr>
            <w:tcW w:w="818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6.5:</w:t>
            </w:r>
          </w:p>
        </w:tc>
        <w:tc>
          <w:tcPr>
            <w:tcW w:w="8180" w:type="dxa"/>
            <w:vAlign w:val="bottom"/>
          </w:tcPr>
          <w:p>
            <w:pPr>
              <w:ind w:left="40"/>
              <w:spacing w:after="0"/>
              <w:rPr>
                <w:sz w:val="20"/>
                <w:szCs w:val="20"/>
                <w:color w:val="auto"/>
              </w:rPr>
            </w:pPr>
            <w:r>
              <w:rPr>
                <w:rFonts w:ascii="Arial" w:cs="Arial" w:eastAsia="Arial" w:hAnsi="Arial"/>
                <w:sz w:val="18"/>
                <w:szCs w:val="18"/>
                <w:color w:val="auto"/>
              </w:rPr>
              <w:t>Right of Indemnitee to Bring Suit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6.6:</w:t>
            </w:r>
          </w:p>
        </w:tc>
        <w:tc>
          <w:tcPr>
            <w:tcW w:w="8180" w:type="dxa"/>
            <w:vAlign w:val="bottom"/>
          </w:tcPr>
          <w:p>
            <w:pPr>
              <w:ind w:left="40"/>
              <w:spacing w:after="0"/>
              <w:rPr>
                <w:sz w:val="20"/>
                <w:szCs w:val="20"/>
                <w:color w:val="auto"/>
              </w:rPr>
            </w:pPr>
            <w:r>
              <w:rPr>
                <w:rFonts w:ascii="Arial" w:cs="Arial" w:eastAsia="Arial" w:hAnsi="Arial"/>
                <w:sz w:val="18"/>
                <w:szCs w:val="18"/>
                <w:color w:val="auto"/>
              </w:rPr>
              <w:t>Nature of Rights</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6.7:</w:t>
            </w:r>
          </w:p>
        </w:tc>
        <w:tc>
          <w:tcPr>
            <w:tcW w:w="818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6.8:</w:t>
            </w:r>
          </w:p>
        </w:tc>
        <w:tc>
          <w:tcPr>
            <w:tcW w:w="81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9"/>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 xml:space="preserve">Article VII: </w:t>
            </w:r>
            <w:r>
              <w:rPr>
                <w:rFonts w:ascii="Arial" w:cs="Arial" w:eastAsia="Arial" w:hAnsi="Arial"/>
                <w:sz w:val="18"/>
                <w:szCs w:val="18"/>
                <w:color w:val="auto"/>
                <w:w w:val="99"/>
              </w:rPr>
              <w:t>NOTICES</w:t>
            </w:r>
          </w:p>
        </w:tc>
        <w:tc>
          <w:tcPr>
            <w:tcW w:w="8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7.1:</w:t>
            </w:r>
          </w:p>
        </w:tc>
        <w:tc>
          <w:tcPr>
            <w:tcW w:w="8180" w:type="dxa"/>
            <w:vAlign w:val="bottom"/>
          </w:tcPr>
          <w:p>
            <w:pPr>
              <w:ind w:left="40"/>
              <w:spacing w:after="0"/>
              <w:rPr>
                <w:sz w:val="20"/>
                <w:szCs w:val="20"/>
                <w:color w:val="auto"/>
              </w:rPr>
            </w:pPr>
            <w:r>
              <w:rPr>
                <w:rFonts w:ascii="Arial" w:cs="Arial" w:eastAsia="Arial" w:hAnsi="Arial"/>
                <w:sz w:val="18"/>
                <w:szCs w:val="18"/>
                <w:color w:val="auto"/>
              </w:rPr>
              <w:t>Notice.</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7.2:</w:t>
            </w:r>
          </w:p>
        </w:tc>
        <w:tc>
          <w:tcPr>
            <w:tcW w:w="818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8.1:</w:t>
            </w:r>
          </w:p>
        </w:tc>
        <w:tc>
          <w:tcPr>
            <w:tcW w:w="818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8.2:</w:t>
            </w:r>
          </w:p>
        </w:tc>
        <w:tc>
          <w:tcPr>
            <w:tcW w:w="8180" w:type="dxa"/>
            <w:vAlign w:val="bottom"/>
          </w:tcPr>
          <w:p>
            <w:pPr>
              <w:ind w:left="40"/>
              <w:spacing w:after="0"/>
              <w:rPr>
                <w:sz w:val="20"/>
                <w:szCs w:val="20"/>
                <w:color w:val="auto"/>
              </w:rPr>
            </w:pPr>
            <w:r>
              <w:rPr>
                <w:rFonts w:ascii="Arial" w:cs="Arial" w:eastAsia="Arial" w:hAnsi="Arial"/>
                <w:sz w:val="18"/>
                <w:szCs w:val="18"/>
                <w:color w:val="auto"/>
              </w:rPr>
              <w:t>Quorum</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9.1:</w:t>
            </w:r>
          </w:p>
        </w:tc>
        <w:tc>
          <w:tcPr>
            <w:tcW w:w="818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9.2:</w:t>
            </w:r>
          </w:p>
        </w:tc>
        <w:tc>
          <w:tcPr>
            <w:tcW w:w="8180" w:type="dxa"/>
            <w:vAlign w:val="bottom"/>
          </w:tcPr>
          <w:p>
            <w:pPr>
              <w:ind w:left="40"/>
              <w:spacing w:after="0"/>
              <w:rPr>
                <w:sz w:val="20"/>
                <w:szCs w:val="20"/>
                <w:color w:val="auto"/>
              </w:rPr>
            </w:pPr>
            <w:r>
              <w:rPr>
                <w:rFonts w:ascii="Arial" w:cs="Arial" w:eastAsia="Arial" w:hAnsi="Arial"/>
                <w:sz w:val="18"/>
                <w:szCs w:val="18"/>
                <w:color w:val="auto"/>
              </w:rPr>
              <w:t>Seal</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9.3:</w:t>
            </w:r>
          </w:p>
        </w:tc>
        <w:tc>
          <w:tcPr>
            <w:tcW w:w="8180" w:type="dxa"/>
            <w:vAlign w:val="bottom"/>
          </w:tcPr>
          <w:p>
            <w:pPr>
              <w:ind w:left="40"/>
              <w:spacing w:after="0"/>
              <w:rPr>
                <w:sz w:val="20"/>
                <w:szCs w:val="20"/>
                <w:color w:val="auto"/>
              </w:rPr>
            </w:pPr>
            <w:r>
              <w:rPr>
                <w:rFonts w:ascii="Arial" w:cs="Arial" w:eastAsia="Arial" w:hAnsi="Arial"/>
                <w:sz w:val="18"/>
                <w:szCs w:val="18"/>
                <w:color w:val="auto"/>
              </w:rPr>
              <w:t>Form of Records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9.4:</w:t>
            </w:r>
          </w:p>
        </w:tc>
        <w:tc>
          <w:tcPr>
            <w:tcW w:w="8180" w:type="dxa"/>
            <w:vAlign w:val="bottom"/>
          </w:tcPr>
          <w:p>
            <w:pPr>
              <w:ind w:left="40"/>
              <w:spacing w:after="0"/>
              <w:rPr>
                <w:sz w:val="20"/>
                <w:szCs w:val="20"/>
                <w:color w:val="auto"/>
              </w:rPr>
            </w:pPr>
            <w:r>
              <w:rPr>
                <w:rFonts w:ascii="Arial" w:cs="Arial" w:eastAsia="Arial" w:hAnsi="Arial"/>
                <w:sz w:val="18"/>
                <w:szCs w:val="18"/>
                <w:color w:val="auto"/>
              </w:rPr>
              <w:t>Reliance Upon Books and Records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9.5:</w:t>
            </w:r>
          </w:p>
        </w:tc>
        <w:tc>
          <w:tcPr>
            <w:tcW w:w="8180" w:type="dxa"/>
            <w:vAlign w:val="bottom"/>
          </w:tcPr>
          <w:p>
            <w:pPr>
              <w:ind w:left="40"/>
              <w:spacing w:after="0"/>
              <w:rPr>
                <w:sz w:val="20"/>
                <w:szCs w:val="20"/>
                <w:color w:val="auto"/>
              </w:rPr>
            </w:pPr>
            <w:r>
              <w:rPr>
                <w:rFonts w:ascii="Arial" w:cs="Arial" w:eastAsia="Arial" w:hAnsi="Arial"/>
                <w:sz w:val="18"/>
                <w:szCs w:val="18"/>
                <w:color w:val="auto"/>
              </w:rPr>
              <w:t>Certificate of Incorporation Governs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9.6:</w:t>
            </w:r>
          </w:p>
        </w:tc>
        <w:tc>
          <w:tcPr>
            <w:tcW w:w="81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9.7:</w:t>
            </w:r>
          </w:p>
        </w:tc>
        <w:tc>
          <w:tcPr>
            <w:tcW w:w="818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AMENDMENT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3"/>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EXCLUSIVE FORUM</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200"/>
          </w:cols>
          <w:pgMar w:left="340" w:top="1440" w:right="359" w:bottom="1440" w:gutter="0" w:footer="0" w:header="0"/>
        </w:sectPr>
      </w:pPr>
    </w:p>
    <w:bookmarkStart w:id="523" w:name="page524"/>
    <w:bookmarkEnd w:id="523"/>
    <w:p>
      <w:pPr>
        <w:spacing w:after="0" w:line="13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SEMA4 HOLDINGS CORP.</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Delaware corporation)</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RESTATED BYLAWS</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Adopted [●], 2021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As Effective [●],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Sema4 Holdings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Annual meetings may be held either at a place, within or without the State of Delaware as permitted by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29"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Special Meetings</w:t>
      </w:r>
      <w:r>
        <w:rPr>
          <w:rFonts w:ascii="Arial" w:cs="Arial" w:eastAsia="Arial" w:hAnsi="Arial"/>
          <w:sz w:val="16"/>
          <w:szCs w:val="16"/>
          <w:color w:val="auto"/>
        </w:rPr>
        <w:t>. Special meetings of stockholders for any purpose or purposes shall be called in the manner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of the Corporation (as the same may be amended and/or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00" w:lineRule="exact"/>
        <w:rPr>
          <w:sz w:val="20"/>
          <w:szCs w:val="20"/>
          <w:color w:val="auto"/>
        </w:rPr>
      </w:pPr>
    </w:p>
    <w:p>
      <w:pPr>
        <w:jc w:val="both"/>
        <w:ind w:right="80" w:firstLine="324"/>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18"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adjourn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4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applicable law, the Certificate of Incorporation or these Bylaws, at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4"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14"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 to</w:t>
      </w:r>
      <w:r>
        <w:rPr>
          <w:rFonts w:ascii="Arial" w:cs="Arial" w:eastAsia="Arial" w:hAnsi="Arial"/>
          <w:sz w:val="17"/>
          <w:szCs w:val="17"/>
          <w:b w:val="1"/>
          <w:bCs w:val="1"/>
          <w:color w:val="auto"/>
        </w:rPr>
        <w:t xml:space="preserve"> </w:t>
      </w:r>
      <w:r>
        <w:rPr>
          <w:rFonts w:ascii="Arial" w:cs="Arial" w:eastAsia="Arial" w:hAnsi="Arial"/>
          <w:sz w:val="17"/>
          <w:szCs w:val="17"/>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28" w:lineRule="exact"/>
        <w:rPr>
          <w:sz w:val="20"/>
          <w:szCs w:val="20"/>
          <w:color w:val="auto"/>
        </w:rPr>
      </w:pPr>
    </w:p>
    <w:p>
      <w:pPr>
        <w:jc w:val="both"/>
        <w:ind w:right="80" w:firstLine="324"/>
        <w:spacing w:after="0" w:line="289"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w:t>
      </w:r>
    </w:p>
    <w:p>
      <w:pPr>
        <w:spacing w:after="0" w:line="2" w:lineRule="exact"/>
        <w:rPr>
          <w:sz w:val="20"/>
          <w:szCs w:val="20"/>
          <w:color w:val="auto"/>
        </w:rPr>
      </w:pPr>
    </w:p>
    <w:p>
      <w:pPr>
        <w:jc w:val="both"/>
        <w:ind w:right="80" w:firstLine="8"/>
        <w:spacing w:after="0" w:line="253" w:lineRule="auto"/>
        <w:tabs>
          <w:tab w:leader="none" w:pos="35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 xml:space="preserve">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03"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information required to gain access to the list is provided with the notice of the meeting),or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22"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u w:val="single" w:color="auto"/>
          <w:color w:val="auto"/>
        </w:rPr>
        <w:t>Inspectors of Elections.</w:t>
      </w:r>
    </w:p>
    <w:p>
      <w:pPr>
        <w:spacing w:after="0" w:line="17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3"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Duties of Inspectors</w:t>
      </w:r>
      <w:r>
        <w:rPr>
          <w:rFonts w:ascii="Arial" w:cs="Arial" w:eastAsia="Arial" w:hAnsi="Arial"/>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3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3" w:lineRule="exact"/>
        <w:rPr>
          <w:sz w:val="20"/>
          <w:szCs w:val="20"/>
          <w:color w:val="auto"/>
        </w:rPr>
      </w:pPr>
    </w:p>
    <w:p>
      <w:pPr>
        <w:jc w:val="both"/>
        <w:ind w:right="60" w:firstLine="324"/>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13"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7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71" w:lineRule="exact"/>
        <w:rPr>
          <w:sz w:val="20"/>
          <w:szCs w:val="20"/>
          <w:color w:val="auto"/>
        </w:rPr>
      </w:pPr>
    </w:p>
    <w:p>
      <w:pPr>
        <w:jc w:val="both"/>
        <w:ind w:firstLine="332"/>
        <w:spacing w:after="0" w:line="257" w:lineRule="auto"/>
        <w:tabs>
          <w:tab w:leader="none" w:pos="76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8"/>
          <w:szCs w:val="18"/>
          <w:b w:val="1"/>
          <w:bCs w:val="1"/>
          <w:i w:val="1"/>
          <w:iCs w:val="1"/>
          <w:color w:val="auto"/>
        </w:rPr>
        <w:t>Record Stockholder</w:t>
      </w:r>
      <w:r>
        <w:rPr>
          <w:rFonts w:ascii="Arial" w:cs="Arial" w:eastAsia="Arial" w:hAnsi="Arial"/>
          <w:sz w:val="18"/>
          <w:szCs w:val="18"/>
          <w:color w:val="auto"/>
        </w:rPr>
        <w:t>”), who is entitled to vote at such meeting and who complies with the notice and other procedures set forth in this Section 1.12 in all applicable respects.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4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17" w:lineRule="exact"/>
        <w:rPr>
          <w:sz w:val="20"/>
          <w:szCs w:val="20"/>
          <w:color w:val="auto"/>
        </w:rPr>
      </w:pPr>
    </w:p>
    <w:p>
      <w:pPr>
        <w:ind w:right="20" w:firstLine="332"/>
        <w:spacing w:after="0" w:line="277" w:lineRule="auto"/>
        <w:tabs>
          <w:tab w:leader="none" w:pos="77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16" w:lineRule="exact"/>
        <w:rPr>
          <w:rFonts w:ascii="Arial" w:cs="Arial" w:eastAsia="Arial" w:hAnsi="Arial"/>
          <w:sz w:val="18"/>
          <w:szCs w:val="18"/>
          <w:color w:val="auto"/>
        </w:rPr>
      </w:pPr>
    </w:p>
    <w:p>
      <w:pPr>
        <w:ind w:firstLine="980"/>
        <w:spacing w:after="0" w:line="277" w:lineRule="auto"/>
        <w:tabs>
          <w:tab w:leader="none" w:pos="134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 stockholder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action;</w:t>
      </w:r>
    </w:p>
    <w:p>
      <w:pPr>
        <w:spacing w:after="0" w:line="156" w:lineRule="exact"/>
        <w:rPr>
          <w:rFonts w:ascii="Arial" w:cs="Arial" w:eastAsia="Arial" w:hAnsi="Arial"/>
          <w:sz w:val="16"/>
          <w:szCs w:val="16"/>
          <w:color w:val="auto"/>
        </w:rPr>
      </w:pPr>
    </w:p>
    <w:p>
      <w:pPr>
        <w:jc w:val="both"/>
        <w:ind w:firstLine="980"/>
        <w:spacing w:after="0" w:line="273" w:lineRule="auto"/>
        <w:tabs>
          <w:tab w:leader="none" w:pos="1443" w:val="left"/>
        </w:tabs>
        <w:numPr>
          <w:ilvl w:val="1"/>
          <w:numId w:val="376"/>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23" w:lineRule="exact"/>
        <w:rPr>
          <w:rFonts w:ascii="Arial" w:cs="Arial" w:eastAsia="Arial" w:hAnsi="Arial"/>
          <w:sz w:val="17"/>
          <w:szCs w:val="17"/>
          <w:color w:val="auto"/>
        </w:rPr>
      </w:pPr>
    </w:p>
    <w:p>
      <w:pPr>
        <w:jc w:val="both"/>
        <w:ind w:firstLine="980"/>
        <w:spacing w:after="0" w:line="263" w:lineRule="auto"/>
        <w:tabs>
          <w:tab w:leader="none" w:pos="145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the date of these Bylaws, for which such notice shall be timely if delivered in the same time period as if such meeting were a special meeting governed by Section 1.12.3 of these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31" w:lineRule="exact"/>
        <w:rPr>
          <w:sz w:val="20"/>
          <w:szCs w:val="20"/>
          <w:color w:val="auto"/>
        </w:rPr>
      </w:pPr>
    </w:p>
    <w:p>
      <w:pPr>
        <w:ind w:firstLine="332"/>
        <w:spacing w:after="0" w:line="277" w:lineRule="auto"/>
        <w:tabs>
          <w:tab w:leader="none" w:pos="71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ind w:left="1320" w:hanging="340"/>
        <w:spacing w:after="0"/>
        <w:tabs>
          <w:tab w:leader="none" w:pos="13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171" w:lineRule="exact"/>
        <w:rPr>
          <w:rFonts w:ascii="Arial" w:cs="Arial" w:eastAsia="Arial" w:hAnsi="Arial"/>
          <w:sz w:val="18"/>
          <w:szCs w:val="18"/>
          <w:color w:val="auto"/>
        </w:rPr>
      </w:pPr>
    </w:p>
    <w:p>
      <w:pPr>
        <w:ind w:left="340" w:firstLine="640"/>
        <w:spacing w:after="0" w:line="277" w:lineRule="auto"/>
        <w:tabs>
          <w:tab w:leader="none" w:pos="144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171" w:lineRule="exact"/>
        <w:rPr>
          <w:rFonts w:ascii="Arial" w:cs="Arial" w:eastAsia="Arial" w:hAnsi="Arial"/>
          <w:sz w:val="18"/>
          <w:szCs w:val="18"/>
          <w:color w:val="auto"/>
        </w:rPr>
      </w:pPr>
    </w:p>
    <w:p>
      <w:pPr>
        <w:ind w:left="340" w:firstLine="640"/>
        <w:spacing w:after="0" w:line="277" w:lineRule="auto"/>
        <w:tabs>
          <w:tab w:leader="none" w:pos="1396"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all other information relating to such person that would be required to be disclosed in solicitations of proxies for election of directors in an election contest (even if an election contest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14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involved), or would be otherwise required, in each case pursuant to and in accordance with Section 14(a) (or any successor provision) under the Exchange Act and the rules and regulations thereunder;</w:t>
      </w:r>
    </w:p>
    <w:p>
      <w:pPr>
        <w:spacing w:after="0" w:line="116" w:lineRule="exact"/>
        <w:rPr>
          <w:sz w:val="20"/>
          <w:szCs w:val="20"/>
          <w:color w:val="auto"/>
        </w:rPr>
      </w:pPr>
    </w:p>
    <w:p>
      <w:pPr>
        <w:jc w:val="both"/>
        <w:ind w:left="340" w:firstLine="640"/>
        <w:spacing w:after="0" w:line="263" w:lineRule="auto"/>
        <w:tabs>
          <w:tab w:leader="none" w:pos="143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29" w:lineRule="exact"/>
        <w:rPr>
          <w:rFonts w:ascii="Arial" w:cs="Arial" w:eastAsia="Arial" w:hAnsi="Arial"/>
          <w:sz w:val="18"/>
          <w:szCs w:val="18"/>
          <w:color w:val="auto"/>
        </w:rPr>
      </w:pPr>
    </w:p>
    <w:p>
      <w:pPr>
        <w:ind w:left="1540" w:hanging="560"/>
        <w:spacing w:after="0"/>
        <w:tabs>
          <w:tab w:leader="none" w:pos="154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whether such person meets the independence requirements of the stock exchange upon which the Corporation’s Common Stock is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primarily traded;</w:t>
      </w:r>
    </w:p>
    <w:p>
      <w:pPr>
        <w:spacing w:after="0" w:line="156" w:lineRule="exact"/>
        <w:rPr>
          <w:rFonts w:ascii="Arial" w:cs="Arial" w:eastAsia="Arial" w:hAnsi="Arial"/>
          <w:sz w:val="16"/>
          <w:szCs w:val="16"/>
          <w:color w:val="auto"/>
        </w:rPr>
      </w:pPr>
    </w:p>
    <w:p>
      <w:pPr>
        <w:jc w:val="both"/>
        <w:ind w:left="340" w:firstLine="640"/>
        <w:spacing w:after="0" w:line="296" w:lineRule="auto"/>
        <w:tabs>
          <w:tab w:leader="none" w:pos="153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07" w:lineRule="exact"/>
        <w:rPr>
          <w:rFonts w:ascii="Arial" w:cs="Arial" w:eastAsia="Arial" w:hAnsi="Arial"/>
          <w:sz w:val="16"/>
          <w:szCs w:val="16"/>
          <w:color w:val="auto"/>
        </w:rPr>
      </w:pPr>
    </w:p>
    <w:p>
      <w:pPr>
        <w:ind w:left="1420" w:hanging="440"/>
        <w:spacing w:after="0"/>
        <w:tabs>
          <w:tab w:leader="none" w:pos="14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required by Section 1.12.2 of these Bylaws.</w:t>
      </w:r>
    </w:p>
    <w:p>
      <w:pPr>
        <w:spacing w:after="0" w:line="171" w:lineRule="exact"/>
        <w:rPr>
          <w:rFonts w:ascii="Arial" w:cs="Arial" w:eastAsia="Arial" w:hAnsi="Arial"/>
          <w:sz w:val="18"/>
          <w:szCs w:val="18"/>
          <w:color w:val="auto"/>
        </w:rPr>
      </w:pPr>
    </w:p>
    <w:p>
      <w:pPr>
        <w:ind w:firstLine="332"/>
        <w:spacing w:after="0" w:line="277" w:lineRule="auto"/>
        <w:tabs>
          <w:tab w:leader="none" w:pos="7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jc w:val="both"/>
        <w:ind w:left="340" w:firstLine="640"/>
        <w:spacing w:after="0" w:line="259" w:lineRule="auto"/>
        <w:tabs>
          <w:tab w:leader="none" w:pos="134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32" w:lineRule="exact"/>
        <w:rPr>
          <w:rFonts w:ascii="Arial" w:cs="Arial" w:eastAsia="Arial" w:hAnsi="Arial"/>
          <w:sz w:val="18"/>
          <w:szCs w:val="18"/>
          <w:color w:val="auto"/>
        </w:rPr>
      </w:pPr>
    </w:p>
    <w:p>
      <w:pPr>
        <w:jc w:val="both"/>
        <w:ind w:left="340" w:firstLine="640"/>
        <w:spacing w:after="0" w:line="263" w:lineRule="auto"/>
        <w:tabs>
          <w:tab w:leader="none" w:pos="1528"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29" w:lineRule="exact"/>
        <w:rPr>
          <w:rFonts w:ascii="Arial" w:cs="Arial" w:eastAsia="Arial" w:hAnsi="Arial"/>
          <w:sz w:val="18"/>
          <w:szCs w:val="18"/>
          <w:color w:val="auto"/>
        </w:rPr>
      </w:pPr>
    </w:p>
    <w:p>
      <w:pPr>
        <w:ind w:left="700" w:hanging="368"/>
        <w:spacing w:after="0"/>
        <w:tabs>
          <w:tab w:leader="none" w:pos="7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171" w:lineRule="exact"/>
        <w:rPr>
          <w:rFonts w:ascii="Arial" w:cs="Arial" w:eastAsia="Arial" w:hAnsi="Arial"/>
          <w:sz w:val="18"/>
          <w:szCs w:val="18"/>
          <w:color w:val="auto"/>
        </w:rPr>
      </w:pPr>
    </w:p>
    <w:p>
      <w:pPr>
        <w:ind w:left="340" w:firstLine="640"/>
        <w:spacing w:after="0" w:line="277" w:lineRule="auto"/>
        <w:tabs>
          <w:tab w:leader="none" w:pos="1478"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16" w:lineRule="exact"/>
        <w:rPr>
          <w:rFonts w:ascii="Arial" w:cs="Arial" w:eastAsia="Arial" w:hAnsi="Arial"/>
          <w:sz w:val="18"/>
          <w:szCs w:val="18"/>
          <w:color w:val="auto"/>
        </w:rPr>
      </w:pPr>
    </w:p>
    <w:p>
      <w:pPr>
        <w:jc w:val="both"/>
        <w:ind w:left="340" w:firstLine="640"/>
        <w:spacing w:after="0" w:line="263" w:lineRule="auto"/>
        <w:tabs>
          <w:tab w:leader="none" w:pos="1398"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29" w:lineRule="exact"/>
        <w:rPr>
          <w:rFonts w:ascii="Arial" w:cs="Arial" w:eastAsia="Arial" w:hAnsi="Arial"/>
          <w:sz w:val="18"/>
          <w:szCs w:val="18"/>
          <w:color w:val="auto"/>
        </w:rPr>
      </w:pPr>
    </w:p>
    <w:p>
      <w:pPr>
        <w:jc w:val="both"/>
        <w:ind w:left="340" w:firstLine="640"/>
        <w:spacing w:after="0" w:line="271" w:lineRule="auto"/>
        <w:tabs>
          <w:tab w:leader="none" w:pos="147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 xml:space="preserve">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A-94</w:t>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7"/>
          <w:szCs w:val="17"/>
          <w:b w:val="1"/>
          <w:bCs w:val="1"/>
          <w:i w:val="1"/>
          <w:iCs w:val="1"/>
          <w:color w:val="auto"/>
        </w:rPr>
        <w:t>Short Interest</w:t>
      </w:r>
      <w:r>
        <w:rPr>
          <w:rFonts w:ascii="Arial" w:cs="Arial" w:eastAsia="Arial" w:hAnsi="Arial"/>
          <w:sz w:val="17"/>
          <w:szCs w:val="17"/>
          <w:color w:val="auto"/>
        </w:rPr>
        <w:t>”);</w:t>
      </w:r>
    </w:p>
    <w:p>
      <w:pPr>
        <w:spacing w:after="0" w:line="123" w:lineRule="exact"/>
        <w:rPr>
          <w:sz w:val="20"/>
          <w:szCs w:val="20"/>
          <w:color w:val="auto"/>
        </w:rPr>
      </w:pPr>
    </w:p>
    <w:p>
      <w:pPr>
        <w:jc w:val="both"/>
        <w:ind w:firstLine="640"/>
        <w:spacing w:after="0" w:line="263" w:lineRule="auto"/>
        <w:tabs>
          <w:tab w:leader="none" w:pos="115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29" w:lineRule="exact"/>
        <w:rPr>
          <w:rFonts w:ascii="Arial" w:cs="Arial" w:eastAsia="Arial" w:hAnsi="Arial"/>
          <w:sz w:val="18"/>
          <w:szCs w:val="18"/>
          <w:color w:val="auto"/>
        </w:rPr>
      </w:pPr>
    </w:p>
    <w:p>
      <w:pPr>
        <w:ind w:right="20" w:firstLine="640"/>
        <w:spacing w:after="0" w:line="342" w:lineRule="auto"/>
        <w:tabs>
          <w:tab w:leader="none" w:pos="104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69" w:lineRule="exact"/>
        <w:rPr>
          <w:rFonts w:ascii="Arial" w:cs="Arial" w:eastAsia="Arial" w:hAnsi="Arial"/>
          <w:sz w:val="16"/>
          <w:szCs w:val="16"/>
          <w:color w:val="auto"/>
        </w:rPr>
      </w:pPr>
    </w:p>
    <w:p>
      <w:pPr>
        <w:jc w:val="both"/>
        <w:ind w:firstLine="640"/>
        <w:spacing w:after="0" w:line="263" w:lineRule="auto"/>
        <w:tabs>
          <w:tab w:leader="none" w:pos="108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associates;(vii) any other material relationship between such Proposing Person, on the one hand, and the Corporation, any affiliate of the Corporation or any Competitor, on the other hand;</w:t>
      </w:r>
    </w:p>
    <w:p>
      <w:pPr>
        <w:spacing w:after="0" w:line="130" w:lineRule="exact"/>
        <w:rPr>
          <w:sz w:val="20"/>
          <w:szCs w:val="20"/>
          <w:color w:val="auto"/>
        </w:rPr>
      </w:pPr>
    </w:p>
    <w:p>
      <w:pPr>
        <w:jc w:val="both"/>
        <w:ind w:firstLine="640"/>
        <w:spacing w:after="0" w:line="263" w:lineRule="auto"/>
        <w:tabs>
          <w:tab w:leader="none" w:pos="121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29" w:lineRule="exact"/>
        <w:rPr>
          <w:rFonts w:ascii="Arial" w:cs="Arial" w:eastAsia="Arial" w:hAnsi="Arial"/>
          <w:sz w:val="18"/>
          <w:szCs w:val="18"/>
          <w:color w:val="auto"/>
        </w:rPr>
      </w:pPr>
    </w:p>
    <w:p>
      <w:pPr>
        <w:jc w:val="both"/>
        <w:ind w:firstLine="640"/>
        <w:spacing w:after="0" w:line="311" w:lineRule="auto"/>
        <w:tabs>
          <w:tab w:leader="none" w:pos="115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94" w:lineRule="exact"/>
        <w:rPr>
          <w:rFonts w:ascii="Arial" w:cs="Arial" w:eastAsia="Arial" w:hAnsi="Arial"/>
          <w:sz w:val="16"/>
          <w:szCs w:val="16"/>
          <w:color w:val="auto"/>
        </w:rPr>
      </w:pPr>
    </w:p>
    <w:p>
      <w:pPr>
        <w:ind w:left="1140" w:hanging="500"/>
        <w:spacing w:after="0"/>
        <w:tabs>
          <w:tab w:leader="none" w:pos="11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1.12;</w:t>
      </w:r>
    </w:p>
    <w:p>
      <w:pPr>
        <w:spacing w:after="0" w:line="156" w:lineRule="exact"/>
        <w:rPr>
          <w:rFonts w:ascii="Arial" w:cs="Arial" w:eastAsia="Arial" w:hAnsi="Arial"/>
          <w:sz w:val="16"/>
          <w:szCs w:val="16"/>
          <w:color w:val="auto"/>
        </w:rPr>
      </w:pPr>
    </w:p>
    <w:p>
      <w:pPr>
        <w:jc w:val="both"/>
        <w:ind w:firstLine="640"/>
        <w:spacing w:after="0" w:line="286" w:lineRule="auto"/>
        <w:tabs>
          <w:tab w:leader="none" w:pos="111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11" w:lineRule="exact"/>
        <w:rPr>
          <w:rFonts w:ascii="Arial" w:cs="Arial" w:eastAsia="Arial" w:hAnsi="Arial"/>
          <w:sz w:val="17"/>
          <w:szCs w:val="17"/>
          <w:color w:val="auto"/>
        </w:rPr>
      </w:pPr>
    </w:p>
    <w:p>
      <w:pPr>
        <w:ind w:firstLine="640"/>
        <w:spacing w:after="0" w:line="277" w:lineRule="auto"/>
        <w:tabs>
          <w:tab w:leader="none" w:pos="121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16" w:lineRule="exact"/>
        <w:rPr>
          <w:rFonts w:ascii="Arial" w:cs="Arial" w:eastAsia="Arial" w:hAnsi="Arial"/>
          <w:sz w:val="18"/>
          <w:szCs w:val="18"/>
          <w:color w:val="auto"/>
        </w:rPr>
      </w:pPr>
    </w:p>
    <w:p>
      <w:pPr>
        <w:jc w:val="both"/>
        <w:ind w:firstLine="640"/>
        <w:spacing w:after="0" w:line="259" w:lineRule="auto"/>
        <w:tabs>
          <w:tab w:leader="none" w:pos="124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8"/>
          <w:szCs w:val="18"/>
          <w:b w:val="1"/>
          <w:bCs w:val="1"/>
          <w:i w:val="1"/>
          <w:iCs w:val="1"/>
          <w:color w:val="auto"/>
        </w:rPr>
        <w:t>Solicitation Notice</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firstLine="640"/>
        <w:spacing w:after="0" w:line="277" w:lineRule="auto"/>
        <w:tabs>
          <w:tab w:leader="none" w:pos="118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A-95</w:t>
      </w:r>
    </w:p>
    <w:p>
      <w:pPr>
        <w:sectPr>
          <w:pgSz w:w="11900" w:h="16838" w:orient="portrait"/>
          <w:cols w:equalWidth="0" w:num="1">
            <w:col w:w="10900"/>
          </w:cols>
          <w:pgMar w:left="660" w:top="1440" w:right="339" w:bottom="1440" w:gutter="0" w:footer="0" w:header="0"/>
        </w:sectPr>
      </w:pPr>
    </w:p>
    <w:bookmarkStart w:id="530" w:name="page531"/>
    <w:bookmarkEnd w:id="530"/>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30" w:lineRule="exact"/>
        <w:rPr>
          <w:sz w:val="20"/>
          <w:szCs w:val="20"/>
          <w:color w:val="auto"/>
        </w:rPr>
      </w:pPr>
    </w:p>
    <w:p>
      <w:pPr>
        <w:jc w:val="both"/>
        <w:ind w:firstLine="332"/>
        <w:spacing w:after="0" w:line="287" w:lineRule="auto"/>
        <w:tabs>
          <w:tab w:leader="none" w:pos="747"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13" w:lineRule="exact"/>
        <w:rPr>
          <w:rFonts w:ascii="Arial" w:cs="Arial" w:eastAsia="Arial" w:hAnsi="Arial"/>
          <w:sz w:val="16"/>
          <w:szCs w:val="16"/>
          <w:color w:val="auto"/>
        </w:rPr>
      </w:pPr>
    </w:p>
    <w:p>
      <w:pPr>
        <w:jc w:val="both"/>
        <w:ind w:firstLine="332"/>
        <w:spacing w:after="0" w:line="259" w:lineRule="auto"/>
        <w:tabs>
          <w:tab w:leader="none" w:pos="78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A-96</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1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p>
    <w:p>
      <w:pPr>
        <w:spacing w:after="0" w:line="171" w:lineRule="exact"/>
        <w:rPr>
          <w:sz w:val="20"/>
          <w:szCs w:val="20"/>
          <w:color w:val="auto"/>
        </w:rPr>
      </w:pPr>
    </w:p>
    <w:p>
      <w:pPr>
        <w:jc w:val="both"/>
        <w:ind w:firstLine="332"/>
        <w:spacing w:after="0" w:line="288" w:lineRule="auto"/>
        <w:tabs>
          <w:tab w:leader="none" w:pos="767" w:val="left"/>
        </w:tabs>
        <w:numPr>
          <w:ilvl w:val="1"/>
          <w:numId w:val="383"/>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14" w:lineRule="exact"/>
        <w:rPr>
          <w:rFonts w:ascii="Arial" w:cs="Arial" w:eastAsia="Arial" w:hAnsi="Arial"/>
          <w:sz w:val="16"/>
          <w:szCs w:val="16"/>
          <w:color w:val="auto"/>
        </w:rPr>
      </w:pPr>
    </w:p>
    <w:p>
      <w:pPr>
        <w:jc w:val="both"/>
        <w:ind w:firstLine="332"/>
        <w:spacing w:after="0" w:line="291" w:lineRule="auto"/>
        <w:tabs>
          <w:tab w:leader="none" w:pos="737" w:val="left"/>
        </w:tabs>
        <w:numPr>
          <w:ilvl w:val="1"/>
          <w:numId w:val="383"/>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w:t>
      </w:r>
    </w:p>
    <w:p>
      <w:pPr>
        <w:ind w:firstLine="8"/>
        <w:spacing w:after="0" w:line="290" w:lineRule="auto"/>
        <w:tabs>
          <w:tab w:leader="none" w:pos="24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07" w:lineRule="exact"/>
        <w:rPr>
          <w:rFonts w:ascii="Arial" w:cs="Arial" w:eastAsia="Arial" w:hAnsi="Arial"/>
          <w:sz w:val="17"/>
          <w:szCs w:val="17"/>
          <w:color w:val="auto"/>
        </w:rPr>
      </w:pPr>
    </w:p>
    <w:p>
      <w:pPr>
        <w:ind w:left="720" w:hanging="388"/>
        <w:spacing w:after="0"/>
        <w:tabs>
          <w:tab w:leader="none" w:pos="7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171" w:lineRule="exact"/>
        <w:rPr>
          <w:rFonts w:ascii="Arial" w:cs="Arial" w:eastAsia="Arial" w:hAnsi="Arial"/>
          <w:sz w:val="18"/>
          <w:szCs w:val="18"/>
          <w:color w:val="auto"/>
        </w:rPr>
      </w:pPr>
    </w:p>
    <w:p>
      <w:pPr>
        <w:jc w:val="both"/>
        <w:ind w:left="980" w:firstLine="648"/>
        <w:spacing w:after="0" w:line="269" w:lineRule="auto"/>
        <w:tabs>
          <w:tab w:leader="none" w:pos="2161" w:val="left"/>
        </w:tabs>
        <w:numPr>
          <w:ilvl w:val="2"/>
          <w:numId w:val="384"/>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A-97</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4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with another person shall be deemed to be Acting in Concert with any third party who is also Acting in Concert with such other person;</w:t>
      </w:r>
    </w:p>
    <w:p>
      <w:pPr>
        <w:spacing w:after="0" w:line="183" w:lineRule="exact"/>
        <w:rPr>
          <w:sz w:val="20"/>
          <w:szCs w:val="20"/>
          <w:color w:val="auto"/>
        </w:rPr>
      </w:pPr>
    </w:p>
    <w:p>
      <w:pPr>
        <w:jc w:val="both"/>
        <w:ind w:left="980" w:firstLine="648"/>
        <w:spacing w:after="0" w:line="263" w:lineRule="auto"/>
        <w:tabs>
          <w:tab w:leader="none" w:pos="2061"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provided, however, that the term “partner” as used in the definition of “associate” shall not include any limited partner that is not involved in the management of the relevant partnership;</w:t>
      </w:r>
    </w:p>
    <w:p>
      <w:pPr>
        <w:spacing w:after="0" w:line="129" w:lineRule="exact"/>
        <w:rPr>
          <w:rFonts w:ascii="Arial" w:cs="Arial" w:eastAsia="Arial" w:hAnsi="Arial"/>
          <w:sz w:val="18"/>
          <w:szCs w:val="18"/>
          <w:color w:val="auto"/>
        </w:rPr>
      </w:pPr>
    </w:p>
    <w:p>
      <w:pPr>
        <w:jc w:val="both"/>
        <w:ind w:left="980" w:firstLine="648"/>
        <w:spacing w:after="0" w:line="257" w:lineRule="auto"/>
        <w:tabs>
          <w:tab w:leader="none" w:pos="2061"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33" w:lineRule="exact"/>
        <w:rPr>
          <w:rFonts w:ascii="Arial" w:cs="Arial" w:eastAsia="Arial" w:hAnsi="Arial"/>
          <w:sz w:val="18"/>
          <w:szCs w:val="18"/>
          <w:color w:val="auto"/>
        </w:rPr>
      </w:pPr>
    </w:p>
    <w:p>
      <w:pPr>
        <w:jc w:val="both"/>
        <w:ind w:left="980" w:firstLine="648"/>
        <w:spacing w:after="0" w:line="259" w:lineRule="auto"/>
        <w:tabs>
          <w:tab w:leader="none" w:pos="22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32" w:lineRule="exact"/>
        <w:rPr>
          <w:rFonts w:ascii="Arial" w:cs="Arial" w:eastAsia="Arial" w:hAnsi="Arial"/>
          <w:sz w:val="18"/>
          <w:szCs w:val="18"/>
          <w:color w:val="auto"/>
        </w:rPr>
      </w:pPr>
    </w:p>
    <w:p>
      <w:pPr>
        <w:ind w:left="980" w:firstLine="648"/>
        <w:spacing w:after="0" w:line="277" w:lineRule="auto"/>
        <w:tabs>
          <w:tab w:leader="none" w:pos="209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16" w:lineRule="exact"/>
        <w:rPr>
          <w:rFonts w:ascii="Arial" w:cs="Arial" w:eastAsia="Arial" w:hAnsi="Arial"/>
          <w:sz w:val="18"/>
          <w:szCs w:val="18"/>
          <w:color w:val="auto"/>
        </w:rPr>
      </w:pPr>
    </w:p>
    <w:p>
      <w:pPr>
        <w:jc w:val="both"/>
        <w:ind w:left="980" w:firstLine="648"/>
        <w:spacing w:after="0" w:line="296" w:lineRule="auto"/>
        <w:tabs>
          <w:tab w:leader="none" w:pos="204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07" w:lineRule="exact"/>
        <w:rPr>
          <w:rFonts w:ascii="Arial" w:cs="Arial" w:eastAsia="Arial" w:hAnsi="Arial"/>
          <w:sz w:val="16"/>
          <w:szCs w:val="16"/>
          <w:color w:val="auto"/>
        </w:rPr>
      </w:pPr>
    </w:p>
    <w:p>
      <w:pPr>
        <w:ind w:left="980" w:firstLine="648"/>
        <w:spacing w:after="0" w:line="342" w:lineRule="auto"/>
        <w:tabs>
          <w:tab w:leader="none" w:pos="205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69" w:lineRule="exact"/>
        <w:rPr>
          <w:rFonts w:ascii="Arial" w:cs="Arial" w:eastAsia="Arial" w:hAnsi="Arial"/>
          <w:sz w:val="16"/>
          <w:szCs w:val="16"/>
          <w:color w:val="auto"/>
        </w:rPr>
      </w:pPr>
    </w:p>
    <w:p>
      <w:pPr>
        <w:jc w:val="both"/>
        <w:ind w:left="980" w:firstLine="648"/>
        <w:spacing w:after="0" w:line="273" w:lineRule="auto"/>
        <w:tabs>
          <w:tab w:leader="none" w:pos="210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to be considered a “</w:t>
      </w:r>
      <w:r>
        <w:rPr>
          <w:rFonts w:ascii="Arial" w:cs="Arial" w:eastAsia="Arial" w:hAnsi="Arial"/>
          <w:sz w:val="17"/>
          <w:szCs w:val="17"/>
          <w:b w:val="1"/>
          <w:bCs w:val="1"/>
          <w:i w:val="1"/>
          <w:iCs w:val="1"/>
          <w:color w:val="auto"/>
        </w:rPr>
        <w:t>Qualified Representative</w:t>
      </w:r>
      <w:r>
        <w:rPr>
          <w:rFonts w:ascii="Arial" w:cs="Arial" w:eastAsia="Arial" w:hAnsi="Arial"/>
          <w:sz w:val="17"/>
          <w:szCs w:val="17"/>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BOARD OF DIRECTORS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Certificate of Incorporation and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Each director shall hold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at which such director’s term expires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A-98</w:t>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Chief Executive Officer, the Lead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a majority of the Whole Board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 of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managed by or under the direction of the Board.</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as such, may receive, pursuant to a resolution of the Board, fees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their services as directors, including without limitation their services as members of committees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A-99</w:t>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maintain the confidentiality of, and shall not share with any third party person or entity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that originally sponsored, nominated or designated such director (the “</w:t>
      </w:r>
      <w:r>
        <w:rPr>
          <w:rFonts w:ascii="Arial" w:cs="Arial" w:eastAsia="Arial" w:hAnsi="Arial"/>
          <w:sz w:val="17"/>
          <w:szCs w:val="17"/>
          <w:b w:val="1"/>
          <w:bCs w:val="1"/>
          <w:i w:val="1"/>
          <w:iCs w:val="1"/>
          <w:color w:val="auto"/>
        </w:rPr>
        <w:t>Sponsoring Party</w:t>
      </w:r>
      <w:r>
        <w:rPr>
          <w:rFonts w:ascii="Arial" w:cs="Arial" w:eastAsia="Arial" w:hAnsi="Arial"/>
          <w:sz w:val="17"/>
          <w:szCs w:val="17"/>
          <w:color w:val="auto"/>
        </w:rPr>
        <w:t xml:space="preserve">”)), any non-public information learned in their capacities as directors, including communications among Board members in their capacities as directors;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7"/>
          <w:szCs w:val="17"/>
          <w:b w:val="1"/>
          <w:bCs w:val="1"/>
          <w:i w:val="1"/>
          <w:iCs w:val="1"/>
          <w:color w:val="auto"/>
        </w:rPr>
        <w:t>Board Confidentiality Policy</w:t>
      </w:r>
      <w:r>
        <w:rPr>
          <w:rFonts w:ascii="Arial" w:cs="Arial" w:eastAsia="Arial" w:hAnsi="Arial"/>
          <w:sz w:val="17"/>
          <w:szCs w:val="17"/>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171" w:lineRule="exact"/>
        <w:rPr>
          <w:sz w:val="20"/>
          <w:szCs w:val="20"/>
          <w:color w:val="auto"/>
        </w:rPr>
      </w:pPr>
    </w:p>
    <w:p>
      <w:pPr>
        <w:jc w:val="both"/>
        <w:ind w:right="80" w:firstLine="324"/>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color w:val="auto"/>
        </w:rPr>
        <w:t>. 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23" w:lineRule="exact"/>
        <w:rPr>
          <w:sz w:val="20"/>
          <w:szCs w:val="20"/>
          <w:color w:val="auto"/>
        </w:rPr>
      </w:pPr>
    </w:p>
    <w:p>
      <w:pPr>
        <w:jc w:val="both"/>
        <w:ind w:right="60" w:firstLine="324"/>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 CHAIRPERSON; LEAD INDEPENDENT DIRECTOR</w:t>
      </w:r>
    </w:p>
    <w:p>
      <w:pPr>
        <w:spacing w:after="0" w:line="171"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A-100</w:t>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hold office for the unexpired term of such officer’s predecessor and until a successor is duly elected and qualified or until such officer’s earlier resignation, death, disqualification or removal.</w:t>
      </w:r>
    </w:p>
    <w:p>
      <w:pPr>
        <w:spacing w:after="0" w:line="11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112" w:lineRule="exact"/>
        <w:rPr>
          <w:sz w:val="20"/>
          <w:szCs w:val="20"/>
          <w:color w:val="auto"/>
        </w:rPr>
      </w:pPr>
    </w:p>
    <w:p>
      <w:pPr>
        <w:ind w:left="340" w:firstLine="640"/>
        <w:spacing w:after="0" w:line="277" w:lineRule="auto"/>
        <w:tabs>
          <w:tab w:leader="none" w:pos="139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171" w:lineRule="exact"/>
        <w:rPr>
          <w:rFonts w:ascii="Arial" w:cs="Arial" w:eastAsia="Arial" w:hAnsi="Arial"/>
          <w:sz w:val="18"/>
          <w:szCs w:val="18"/>
          <w:color w:val="auto"/>
        </w:rPr>
      </w:pPr>
    </w:p>
    <w:p>
      <w:pPr>
        <w:ind w:left="340" w:firstLine="640"/>
        <w:spacing w:after="0" w:line="277" w:lineRule="auto"/>
        <w:tabs>
          <w:tab w:leader="none" w:pos="137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16" w:lineRule="exact"/>
        <w:rPr>
          <w:rFonts w:ascii="Arial" w:cs="Arial" w:eastAsia="Arial" w:hAnsi="Arial"/>
          <w:sz w:val="18"/>
          <w:szCs w:val="18"/>
          <w:color w:val="auto"/>
        </w:rPr>
      </w:pPr>
    </w:p>
    <w:p>
      <w:pPr>
        <w:jc w:val="both"/>
        <w:ind w:left="340" w:firstLine="640"/>
        <w:spacing w:after="0" w:line="301" w:lineRule="auto"/>
        <w:tabs>
          <w:tab w:leader="none" w:pos="143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1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2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Common Stock is primarily traded.</w:t>
      </w:r>
    </w:p>
    <w:p>
      <w:pPr>
        <w:spacing w:after="0" w:line="114" w:lineRule="exact"/>
        <w:rPr>
          <w:sz w:val="20"/>
          <w:szCs w:val="20"/>
          <w:color w:val="auto"/>
        </w:rPr>
      </w:pPr>
    </w:p>
    <w:p>
      <w:pPr>
        <w:jc w:val="both"/>
        <w:ind w:right="60" w:firstLine="324"/>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18"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A-101</w:t>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person holding the office of Treasurer shall be the Chief Financial Officer of the Corporation unless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29"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8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color w:val="auto"/>
        </w:rPr>
        <w:t>. 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V:STOCK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Certificates;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uncertificated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28"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A-102</w:t>
      </w:r>
    </w:p>
    <w:p>
      <w:pPr>
        <w:sectPr>
          <w:pgSz w:w="11900" w:h="16838" w:orient="portrait"/>
          <w:cols w:equalWidth="0" w:num="1">
            <w:col w:w="11180"/>
          </w:cols>
          <w:pgMar w:left="320" w:top="1440" w:right="399" w:bottom="1440" w:gutter="0" w:footer="0" w:header="0"/>
        </w:sectPr>
      </w:pPr>
    </w:p>
    <w:bookmarkStart w:id="537" w:name="page538"/>
    <w:bookmarkEnd w:id="537"/>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color w:val="auto"/>
        </w:rPr>
        <w:t>. 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 INDEMNIFICATION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Bylaws, the Corporation shall pay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18"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color w:val="auto"/>
        </w:rPr>
        <w:t>. 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A-103</w:t>
      </w:r>
    </w:p>
    <w:p>
      <w:pPr>
        <w:sectPr>
          <w:pgSz w:w="11900" w:h="16838" w:orient="portrait"/>
          <w:cols w:equalWidth="0" w:num="1">
            <w:col w:w="11180"/>
          </w:cols>
          <w:pgMar w:left="320" w:top="1440" w:right="399" w:bottom="1440" w:gutter="0" w:footer="0" w:header="0"/>
        </w:sectPr>
      </w:pPr>
    </w:p>
    <w:bookmarkStart w:id="538" w:name="page539"/>
    <w:bookmarkEnd w:id="538"/>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partnership, joint venture, trust or other enterprise or non-profit entity, including employee benefit plans, providing indemnification or advancement rights to such person. Such rights may be greater than those provided in this Article VI.</w:t>
      </w:r>
    </w:p>
    <w:p>
      <w:pPr>
        <w:spacing w:after="0" w:line="112"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Section 6.6: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an Indemnitee who has ceased to be a director or officer and shall inure to the benefit of the Indemnitee’s heirs, executors and administrators.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Amendment or Repeal</w:t>
      </w:r>
      <w:r>
        <w:rPr>
          <w:rFonts w:ascii="Arial" w:cs="Arial" w:eastAsia="Arial" w:hAnsi="Arial"/>
          <w:sz w:val="18"/>
          <w:szCs w:val="18"/>
          <w:color w:val="auto"/>
        </w:rPr>
        <w:t>. Any amendment, repeal or modification of any provision of this Article VI that adversely affects any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Indemnitee or an Indemnitee’s successors shall be prospective only, and shall not adversely affect any right or protection conferred on a person pursuant to this Article VI and existing at the time of such amendment, repeal or modification.</w:t>
      </w:r>
    </w:p>
    <w:p>
      <w:pPr>
        <w:spacing w:after="0" w:line="122"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director, officer,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VII:NOTICES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Form and Delivery</w:t>
      </w:r>
      <w:r>
        <w:rPr>
          <w:rFonts w:ascii="Arial" w:cs="Arial" w:eastAsia="Arial" w:hAnsi="Arial"/>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A-104</w:t>
      </w:r>
    </w:p>
    <w:p>
      <w:pPr>
        <w:sectPr>
          <w:pgSz w:w="11900" w:h="16838" w:orient="portrait"/>
          <w:cols w:equalWidth="0" w:num="1">
            <w:col w:w="11180"/>
          </w:cols>
          <w:pgMar w:left="320" w:top="1440" w:right="399" w:bottom="1440" w:gutter="0" w:footer="0" w:header="0"/>
        </w:sectPr>
      </w:pPr>
    </w:p>
    <w:bookmarkStart w:id="539" w:name="page540"/>
    <w:bookmarkEnd w:id="539"/>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 INTERESTED DIRECTORS</w:t>
      </w:r>
    </w:p>
    <w:p>
      <w:pPr>
        <w:spacing w:after="0" w:line="171"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7"/>
          <w:szCs w:val="17"/>
          <w:b w:val="1"/>
          <w:bCs w:val="1"/>
          <w:color w:val="auto"/>
        </w:rPr>
        <w:t xml:space="preserve">Section 8.1: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2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10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IX: MISCELLANEOUS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A-105</w:t>
      </w:r>
    </w:p>
    <w:p>
      <w:pPr>
        <w:sectPr>
          <w:pgSz w:w="11900" w:h="16838" w:orient="portrait"/>
          <w:cols w:equalWidth="0" w:num="1">
            <w:col w:w="11180"/>
          </w:cols>
          <w:pgMar w:left="320" w:top="1440" w:right="399" w:bottom="1440" w:gutter="0" w:footer="0" w:header="0"/>
        </w:sectPr>
      </w:pPr>
    </w:p>
    <w:bookmarkStart w:id="540" w:name="page541"/>
    <w:bookmarkEnd w:id="540"/>
    <w:p>
      <w:pPr>
        <w:spacing w:after="0" w:line="13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may be approved from time to time by the Board.</w:t>
      </w:r>
    </w:p>
    <w:p>
      <w:pPr>
        <w:spacing w:after="0" w:line="108"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00" w:lineRule="exact"/>
        <w:rPr>
          <w:sz w:val="20"/>
          <w:szCs w:val="20"/>
          <w:color w:val="auto"/>
        </w:rPr>
      </w:pPr>
    </w:p>
    <w:p>
      <w:pPr>
        <w:jc w:val="both"/>
        <w:ind w:right="80" w:firstLine="324"/>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2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provisions of the Certificate of Incorporation shall govern.</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an event or that an act be done during a period of a specified number of days prior to an event, calendar days shall be used, the day of the doing of the act shall be excluded, and the day of the event shall be included.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EXCLUSIVE FORUM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A-106</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Daniel Clark, certify that I am Secretary of Sema4 Holdings Corp.,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528955</wp:posOffset>
            </wp:positionV>
            <wp:extent cx="30175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Daniel Clark,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A-107</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3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Form of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A-108</w:t>
      </w:r>
    </w:p>
    <w:p>
      <w:pPr>
        <w:sectPr>
          <w:pgSz w:w="11900" w:h="16838" w:orient="portrait"/>
          <w:cols w:equalWidth="0" w:num="1">
            <w:col w:w="9019"/>
          </w:cols>
          <w:pgMar w:left="1440" w:top="1440" w:right="1440" w:bottom="1440" w:gutter="0" w:footer="0" w:header="0"/>
        </w:sectPr>
      </w:pPr>
    </w:p>
    <w:bookmarkStart w:id="543" w:name="page544"/>
    <w:bookmarkEnd w:id="543"/>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C-1</w:t>
      </w:r>
    </w:p>
    <w:p>
      <w:pPr>
        <w:spacing w:after="0" w:line="16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SEMA4 HOLDINGS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2.1. Number of Shares Available. Subject to Sections 2.6 and 21 and any other applicable provisions hereof, the total number of Shares reserved and available for grant and issuance pursuant to this Plan as of the date of adoption of the Plan by the Board is [[l] ([l])] Shares plus (a) any reserved shares not issued or subject to outstanding grants under the Company’s 2017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on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all outstanding Awards granted under this Plan.</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 1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2022 through 2031, by the lesser of (a) [five percent (5%)]of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[[l] ([l])] Shares shall be issued pursuant to the exercise of ISOs.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A-109</w:t>
      </w:r>
    </w:p>
    <w:p>
      <w:pPr>
        <w:sectPr>
          <w:pgSz w:w="11900" w:h="16838" w:orient="portrait"/>
          <w:cols w:equalWidth="0" w:num="1">
            <w:col w:w="11240"/>
          </w:cols>
          <w:pgMar w:left="320" w:top="1440" w:right="339" w:bottom="1440" w:gutter="0" w:footer="0" w:header="0"/>
        </w:sectPr>
      </w:pPr>
    </w:p>
    <w:bookmarkStart w:id="544" w:name="page545"/>
    <w:bookmarkEnd w:id="544"/>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0" w:lineRule="exact"/>
        <w:rPr>
          <w:sz w:val="20"/>
          <w:szCs w:val="20"/>
          <w:color w:val="auto"/>
        </w:rPr>
      </w:pPr>
    </w:p>
    <w:p>
      <w:pPr>
        <w:jc w:val="both"/>
        <w:ind w:firstLine="332"/>
        <w:spacing w:after="0" w:line="261" w:lineRule="auto"/>
        <w:tabs>
          <w:tab w:leader="none" w:pos="72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ISOs may be granted only to Employees. All other Awards may be granted to Employees, Consultants, Directors and 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Committee Composition; Authority</w:t>
      </w:r>
      <w:r>
        <w:rPr>
          <w:rFonts w:ascii="Arial" w:cs="Arial" w:eastAsia="Arial" w:hAnsi="Arial"/>
          <w:sz w:val="16"/>
          <w:szCs w:val="16"/>
          <w:color w:val="auto"/>
        </w:rPr>
        <w:t>. This Plan will be administered by the Committee or by the Board acting as the Committee.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92" w:lineRule="exact"/>
        <w:rPr>
          <w:sz w:val="20"/>
          <w:szCs w:val="20"/>
          <w:color w:val="auto"/>
        </w:rPr>
      </w:pPr>
    </w:p>
    <w:p>
      <w:pPr>
        <w:ind w:left="1360" w:hanging="380"/>
        <w:spacing w:after="0"/>
        <w:tabs>
          <w:tab w:leader="none" w:pos="13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82" w:lineRule="exact"/>
        <w:rPr>
          <w:rFonts w:ascii="Arial" w:cs="Arial" w:eastAsia="Arial" w:hAnsi="Arial"/>
          <w:sz w:val="17"/>
          <w:szCs w:val="17"/>
          <w:color w:val="auto"/>
        </w:rPr>
      </w:pPr>
    </w:p>
    <w:p>
      <w:pPr>
        <w:ind w:left="1420" w:hanging="440"/>
        <w:spacing w:after="0"/>
        <w:tabs>
          <w:tab w:leader="none" w:pos="14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9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980"/>
        <w:spacing w:after="0" w:line="277" w:lineRule="auto"/>
        <w:tabs>
          <w:tab w:leader="none" w:pos="133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980"/>
        <w:spacing w:after="0" w:line="277" w:lineRule="auto"/>
        <w:tabs>
          <w:tab w:leader="none" w:pos="141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240"/>
          </w:cols>
          <w:pgMar w:left="320" w:top="1440" w:right="339" w:bottom="1440" w:gutter="0" w:footer="0" w:header="0"/>
        </w:sectPr>
      </w:pPr>
    </w:p>
    <w:bookmarkStart w:id="545" w:name="page546"/>
    <w:bookmarkEnd w:id="545"/>
    <w:p>
      <w:pPr>
        <w:spacing w:after="0" w:line="143" w:lineRule="exact"/>
        <w:rPr>
          <w:sz w:val="20"/>
          <w:szCs w:val="20"/>
          <w:color w:val="auto"/>
        </w:rPr>
      </w:pPr>
    </w:p>
    <w:p>
      <w:pPr>
        <w:ind w:left="1320" w:hanging="340"/>
        <w:spacing w:after="0"/>
        <w:tabs>
          <w:tab w:leader="none" w:pos="13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firstLine="980"/>
        <w:spacing w:after="0" w:line="277" w:lineRule="auto"/>
        <w:tabs>
          <w:tab w:leader="none" w:pos="145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37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980"/>
        <w:spacing w:after="0" w:line="277" w:lineRule="auto"/>
        <w:tabs>
          <w:tab w:leader="none" w:pos="136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“non-employee directors” (as defined in the regulations promulgated under Section 16 of the Exchange Act).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in any manner (including electronic distribution or posting) that meets applicable legal requirements.</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240"/>
          </w:cols>
          <w:pgMar w:left="320" w:top="1440" w:right="339" w:bottom="1440" w:gutter="0" w:footer="0" w:header="0"/>
        </w:sectPr>
      </w:pPr>
    </w:p>
    <w:bookmarkStart w:id="546" w:name="page547"/>
    <w:bookmarkEnd w:id="546"/>
    <w:p>
      <w:pPr>
        <w:spacing w:after="0" w:line="139" w:lineRule="exact"/>
        <w:rPr>
          <w:sz w:val="20"/>
          <w:szCs w:val="20"/>
          <w:color w:val="auto"/>
        </w:rPr>
      </w:pPr>
    </w:p>
    <w:p>
      <w:pPr>
        <w:jc w:val="both"/>
        <w:ind w:firstLine="332"/>
        <w:spacing w:after="0" w:line="281" w:lineRule="auto"/>
        <w:tabs>
          <w:tab w:leader="none" w:pos="652"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color w:val="auto"/>
        </w:rPr>
        <w:t>. Options may be vested and exercisable within the times or upon the conditions as set forth in the Award Agreement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will be exercisable after the expiration of ten (10) years from the date the Option is granted;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retirement, then the Participant may exercise his or her Options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1240"/>
          </w:cols>
          <w:pgMar w:left="320" w:top="1440" w:right="339" w:bottom="1440" w:gutter="0" w:footer="0" w:header="0"/>
        </w:sectPr>
      </w:pPr>
    </w:p>
    <w:bookmarkStart w:id="547" w:name="page548"/>
    <w:bookmarkEnd w:id="547"/>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3" w:lineRule="exact"/>
        <w:rPr>
          <w:sz w:val="20"/>
          <w:szCs w:val="20"/>
          <w:color w:val="auto"/>
        </w:rPr>
      </w:pPr>
    </w:p>
    <w:p>
      <w:pPr>
        <w:jc w:val="both"/>
        <w:ind w:firstLine="980"/>
        <w:spacing w:after="0" w:line="255" w:lineRule="auto"/>
        <w:tabs>
          <w:tab w:leader="none" w:pos="1392"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980"/>
        <w:spacing w:after="0" w:line="271" w:lineRule="auto"/>
        <w:tabs>
          <w:tab w:leader="none" w:pos="1402"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980"/>
        <w:spacing w:after="0" w:line="275" w:lineRule="auto"/>
        <w:tabs>
          <w:tab w:leader="none" w:pos="1473"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980"/>
        <w:spacing w:after="0" w:line="254" w:lineRule="auto"/>
        <w:tabs>
          <w:tab w:leader="none" w:pos="1483"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substitution therefor, provided that any such action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1240"/>
          </w:cols>
          <w:pgMar w:left="320" w:top="1440" w:right="339" w:bottom="1440" w:gutter="0" w:footer="0" w:header="0"/>
        </w:sectPr>
      </w:pPr>
    </w:p>
    <w:bookmarkStart w:id="548" w:name="page549"/>
    <w:bookmarkEnd w:id="548"/>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5.4 for Options granted on the date the action is taken to reduce the Exercise Price.</w:t>
      </w:r>
    </w:p>
    <w:p>
      <w:pPr>
        <w:spacing w:after="0" w:line="1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9" w:lineRule="auto"/>
        <w:tabs>
          <w:tab w:leader="none" w:pos="693"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 under a Stock Bonus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1240"/>
          </w:cols>
          <w:pgMar w:left="320" w:top="1440" w:right="339" w:bottom="1440" w:gutter="0" w:footer="0" w:header="0"/>
        </w:sectPr>
      </w:pPr>
    </w:p>
    <w:bookmarkStart w:id="549" w:name="page550"/>
    <w:bookmarkEnd w:id="549"/>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0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ind w:firstLine="332"/>
        <w:spacing w:after="0" w:line="282" w:lineRule="auto"/>
        <w:tabs>
          <w:tab w:leader="none" w:pos="72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A-115</w:t>
      </w:r>
    </w:p>
    <w:p>
      <w:pPr>
        <w:sectPr>
          <w:pgSz w:w="11900" w:h="16838" w:orient="portrait"/>
          <w:cols w:equalWidth="0" w:num="1">
            <w:col w:w="11240"/>
          </w:cols>
          <w:pgMar w:left="320" w:top="1440" w:right="339" w:bottom="1440" w:gutter="0" w:footer="0" w:header="0"/>
        </w:sectPr>
      </w:pPr>
    </w:p>
    <w:bookmarkStart w:id="550" w:name="page551"/>
    <w:bookmarkEnd w:id="550"/>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(which may consist of Restricted Stock). No Purchase Price shall apply to an RSU settled in Shares. All RSUs shall be made pursuant to an Award Agreement.</w:t>
      </w:r>
    </w:p>
    <w:p>
      <w:pPr>
        <w:spacing w:after="0" w:line="11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27" w:lineRule="exact"/>
        <w:rPr>
          <w:sz w:val="20"/>
          <w:szCs w:val="20"/>
          <w:color w:val="auto"/>
        </w:rPr>
      </w:pPr>
    </w:p>
    <w:p>
      <w:pPr>
        <w:jc w:val="both"/>
        <w:ind w:firstLine="8"/>
        <w:spacing w:after="0" w:line="269" w:lineRule="auto"/>
        <w:tabs>
          <w:tab w:leader="none" w:pos="27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Sections 10.1(a), 10.1(b) and 10.1(c) below.</w:t>
      </w:r>
    </w:p>
    <w:p>
      <w:pPr>
        <w:spacing w:after="0" w:line="112" w:lineRule="exact"/>
        <w:rPr>
          <w:sz w:val="20"/>
          <w:szCs w:val="20"/>
          <w:color w:val="auto"/>
        </w:rPr>
      </w:pPr>
    </w:p>
    <w:p>
      <w:pPr>
        <w:ind w:firstLine="980"/>
        <w:spacing w:after="0" w:line="308" w:lineRule="auto"/>
        <w:tabs>
          <w:tab w:leader="none" w:pos="1365"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2" w:lineRule="exact"/>
        <w:rPr>
          <w:rFonts w:ascii="Arial" w:cs="Arial" w:eastAsia="Arial" w:hAnsi="Arial"/>
          <w:sz w:val="17"/>
          <w:szCs w:val="17"/>
          <w:color w:val="auto"/>
        </w:rPr>
      </w:pPr>
    </w:p>
    <w:p>
      <w:pPr>
        <w:ind w:right="20" w:firstLine="980"/>
        <w:spacing w:after="0" w:line="277" w:lineRule="auto"/>
        <w:tabs>
          <w:tab w:leader="none" w:pos="1375"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1400" w:hanging="420"/>
        <w:spacing w:after="0"/>
        <w:tabs>
          <w:tab w:leader="none" w:pos="140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A-116</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1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Awards will be based on the attainment of performance goals using the Performance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289" w:lineRule="auto"/>
        <w:tabs>
          <w:tab w:leader="none" w:pos="769" w:val="left"/>
        </w:tabs>
        <w:numPr>
          <w:ilvl w:val="0"/>
          <w:numId w:val="4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color w:val="auto"/>
        </w:rPr>
        <w:t>. 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 in a calendar year.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A-117</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serving in the capacity as an Employee or while he or she was a Consultant but not a Non-Employee Director will not count for purposes of the limitations set forth in this Section 12.</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Election to Receive Awards in Lieu of Cash</w:t>
      </w:r>
      <w:r>
        <w:rPr>
          <w:rFonts w:ascii="Arial" w:cs="Arial" w:eastAsia="Arial" w:hAnsi="Arial"/>
          <w:sz w:val="17"/>
          <w:szCs w:val="17"/>
          <w:color w:val="auto"/>
        </w:rPr>
        <w:t>. A Non-Employee Director may elect to receive his or her annual retainer payments and/or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104" w:lineRule="exact"/>
        <w:rPr>
          <w:sz w:val="20"/>
          <w:szCs w:val="20"/>
          <w:color w:val="auto"/>
        </w:rPr>
      </w:pPr>
    </w:p>
    <w:p>
      <w:pPr>
        <w:ind w:left="740" w:hanging="408"/>
        <w:spacing w:after="0"/>
        <w:tabs>
          <w:tab w:leader="none" w:pos="7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may, in its sole discretion and pursuant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740" w:hanging="408"/>
        <w:spacing w:after="0"/>
        <w:tabs>
          <w:tab w:leader="none" w:pos="7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15.2,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A-118</w:t>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or (ii) the Participant’s guardian or legal representative; (b) after the Participant’s death, by the legal representative of the Participant’s heirs or legatees; and</w:t>
      </w:r>
    </w:p>
    <w:p>
      <w:pPr>
        <w:spacing w:after="0" w:line="46" w:lineRule="exact"/>
        <w:rPr>
          <w:sz w:val="20"/>
          <w:szCs w:val="20"/>
          <w:color w:val="auto"/>
        </w:rPr>
      </w:pPr>
    </w:p>
    <w:p>
      <w:pPr>
        <w:ind w:left="260" w:hanging="252"/>
        <w:spacing w:after="0"/>
        <w:tabs>
          <w:tab w:leader="none" w:pos="2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all awards except ISOs, by a Permitted Transferee.</w:t>
      </w:r>
    </w:p>
    <w:p>
      <w:pPr>
        <w:spacing w:after="0" w:line="152" w:lineRule="exact"/>
        <w:rPr>
          <w:rFonts w:ascii="Arial" w:cs="Arial" w:eastAsia="Arial" w:hAnsi="Arial"/>
          <w:sz w:val="18"/>
          <w:szCs w:val="18"/>
          <w:color w:val="auto"/>
        </w:rPr>
      </w:pPr>
    </w:p>
    <w:p>
      <w:pPr>
        <w:ind w:left="740" w:hanging="408"/>
        <w:spacing w:after="0"/>
        <w:tabs>
          <w:tab w:leader="none" w:pos="740" w:val="left"/>
        </w:tabs>
        <w:numPr>
          <w:ilvl w:val="1"/>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4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jc w:val="both"/>
        <w:ind w:firstLine="332"/>
        <w:spacing w:after="0" w:line="289" w:lineRule="auto"/>
        <w:tabs>
          <w:tab w:leader="none" w:pos="729"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A-119</w:t>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the Committee will from time to time approve. The Shares purchased with the promissory note may be released from the pledge on a pro rata basis as the promissory note is paid.</w:t>
      </w:r>
    </w:p>
    <w:p>
      <w:pPr>
        <w:spacing w:after="0" w:line="112" w:lineRule="exact"/>
        <w:rPr>
          <w:sz w:val="20"/>
          <w:szCs w:val="20"/>
          <w:color w:val="auto"/>
        </w:rPr>
      </w:pPr>
    </w:p>
    <w:p>
      <w:pPr>
        <w:jc w:val="both"/>
        <w:ind w:firstLine="332"/>
        <w:spacing w:after="0" w:line="258" w:lineRule="auto"/>
        <w:tabs>
          <w:tab w:leader="none" w:pos="769"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6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right="20" w:firstLine="980"/>
        <w:spacing w:after="0" w:line="342" w:lineRule="auto"/>
        <w:tabs>
          <w:tab w:leader="none" w:pos="148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A-120</w:t>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143" w:lineRule="exact"/>
        <w:rPr>
          <w:sz w:val="20"/>
          <w:szCs w:val="20"/>
          <w:color w:val="auto"/>
        </w:rPr>
      </w:pPr>
    </w:p>
    <w:p>
      <w:pPr>
        <w:jc w:val="both"/>
        <w:ind w:firstLine="980"/>
        <w:spacing w:after="0" w:line="272" w:lineRule="auto"/>
        <w:tabs>
          <w:tab w:leader="none" w:pos="1422"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3" w:lineRule="exact"/>
        <w:rPr>
          <w:rFonts w:ascii="Arial" w:cs="Arial" w:eastAsia="Arial" w:hAnsi="Arial"/>
          <w:sz w:val="17"/>
          <w:szCs w:val="17"/>
          <w:color w:val="auto"/>
        </w:rPr>
      </w:pPr>
    </w:p>
    <w:p>
      <w:pPr>
        <w:ind w:left="1340" w:hanging="360"/>
        <w:spacing w:after="0"/>
        <w:tabs>
          <w:tab w:leader="none" w:pos="13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 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729"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742"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A-121</w:t>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26" w:lineRule="exact"/>
        <w:rPr>
          <w:sz w:val="20"/>
          <w:szCs w:val="20"/>
          <w:color w:val="auto"/>
        </w:rPr>
      </w:pPr>
    </w:p>
    <w:p>
      <w:pPr>
        <w:jc w:val="both"/>
        <w:ind w:firstLine="332"/>
        <w:spacing w:after="0" w:line="281" w:lineRule="auto"/>
        <w:tabs>
          <w:tab w:leader="none" w:pos="756"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any entity that, directly or indirectly, is controlled by, controls, or is under common control with, the Company, and (b)</w:t>
      </w:r>
      <w:r>
        <w:rPr>
          <w:rFonts w:ascii="Arial" w:cs="Arial" w:eastAsia="Arial" w:hAnsi="Arial"/>
          <w:sz w:val="17"/>
          <w:szCs w:val="17"/>
          <w:b w:val="1"/>
          <w:bCs w:val="1"/>
          <w:color w:val="auto"/>
        </w:rPr>
        <w:t xml:space="preserve"> </w:t>
      </w:r>
      <w:r>
        <w:rPr>
          <w:rFonts w:ascii="Arial" w:cs="Arial" w:eastAsia="Arial" w:hAnsi="Arial"/>
          <w:sz w:val="17"/>
          <w:szCs w:val="17"/>
          <w:color w:val="auto"/>
        </w:rPr>
        <w:t>any entity in which the Company has a significant equity interest, in either case as determined by the Committee, whether now or hereafter existing.</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Restricted Stock Unit.</w:t>
      </w:r>
    </w:p>
    <w:p>
      <w:pPr>
        <w:spacing w:after="0" w:line="10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written or electronic agreement between the Company and the Participant setting</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1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parties thereto.</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Participant’s (a) willful failure substantially to perform his or her duties and responsibilities to the Company or deliberate</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A-122</w:t>
      </w:r>
    </w:p>
    <w:p>
      <w:pPr>
        <w:sectPr>
          <w:pgSz w:w="11900" w:h="16838" w:orient="portrait"/>
          <w:cols w:equalWidth="0" w:num="1">
            <w:col w:w="11240"/>
          </w:cols>
          <w:pgMar w:left="320" w:top="1440" w:right="339" w:bottom="1440" w:gutter="0" w:footer="0" w:header="0"/>
        </w:sectPr>
      </w:pPr>
    </w:p>
    <w:bookmarkStart w:id="557" w:name="page558"/>
    <w:bookmarkEnd w:id="557"/>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20"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delegated as permitted by law.</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Sema4 Holdings Corp. or any successor corporation.</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to such entity.</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980"/>
        <w:spacing w:after="0" w:line="257" w:lineRule="auto"/>
        <w:tabs>
          <w:tab w:leader="none" w:pos="135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980"/>
        <w:spacing w:after="0" w:line="279" w:lineRule="auto"/>
        <w:tabs>
          <w:tab w:leader="none" w:pos="1372"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3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9" w:lineRule="exact"/>
        <w:rPr>
          <w:rFonts w:ascii="Arial" w:cs="Arial" w:eastAsia="Arial" w:hAnsi="Arial"/>
          <w:sz w:val="18"/>
          <w:szCs w:val="18"/>
          <w:color w:val="auto"/>
        </w:rPr>
      </w:pPr>
    </w:p>
    <w:p>
      <w:pPr>
        <w:jc w:val="both"/>
        <w:ind w:firstLine="980"/>
        <w:spacing w:after="0" w:line="279" w:lineRule="auto"/>
        <w:tabs>
          <w:tab w:leader="none" w:pos="1368" w:val="left"/>
        </w:tabs>
        <w:numPr>
          <w:ilvl w:val="0"/>
          <w:numId w:val="411"/>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A-123</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4"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28.14.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in the case of ISOs, total and permanent disability as defined in Section 22(e)(3) of the Code and in the case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closing date of the Business Combination, subject to approval of the Plan by the Company’s stockholders.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pursuant to which (a) outstanding Awards are surrendered, cancelled or exchanged for cash,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type of Award or a different Award (or combination thereof) or (b) the Exercise Price of an outstanding Award is increased or reduced.</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a SAR, the price at which the SAR is granted to the holder thereof.</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jc w:val="both"/>
        <w:ind w:firstLine="980"/>
        <w:spacing w:after="0" w:line="263" w:lineRule="auto"/>
        <w:tabs>
          <w:tab w:leader="none" w:pos="135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9" w:lineRule="exact"/>
        <w:rPr>
          <w:rFonts w:ascii="Arial" w:cs="Arial" w:eastAsia="Arial" w:hAnsi="Arial"/>
          <w:sz w:val="18"/>
          <w:szCs w:val="18"/>
          <w:color w:val="auto"/>
        </w:rPr>
      </w:pPr>
    </w:p>
    <w:p>
      <w:pPr>
        <w:ind w:firstLine="980"/>
        <w:spacing w:after="0" w:line="342" w:lineRule="auto"/>
        <w:tabs>
          <w:tab w:leader="none" w:pos="137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69" w:lineRule="exact"/>
        <w:rPr>
          <w:rFonts w:ascii="Arial" w:cs="Arial" w:eastAsia="Arial" w:hAnsi="Arial"/>
          <w:sz w:val="16"/>
          <w:szCs w:val="16"/>
          <w:color w:val="auto"/>
        </w:rPr>
      </w:pPr>
    </w:p>
    <w:p>
      <w:pPr>
        <w:ind w:left="1360" w:hanging="380"/>
        <w:spacing w:after="0"/>
        <w:tabs>
          <w:tab w:leader="none" w:pos="13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A-124</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13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covering cash, Shares or other property granted pursuant to Section 10 or Section 12 of the Plan.</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28.29.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any of the factors selected by the Committee and specified in an Award Agreement, from among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01" w:lineRule="exact"/>
        <w:rPr>
          <w:sz w:val="20"/>
          <w:szCs w:val="20"/>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right="20" w:firstLine="980"/>
        <w:spacing w:after="0" w:line="277" w:lineRule="auto"/>
        <w:tabs>
          <w:tab w:leader="none" w:pos="135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1340" w:hanging="360"/>
        <w:spacing w:after="0"/>
        <w:tabs>
          <w:tab w:leader="none" w:pos="13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A-125</w:t>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143" w:lineRule="exact"/>
        <w:rPr>
          <w:sz w:val="20"/>
          <w:szCs w:val="20"/>
          <w:color w:val="auto"/>
        </w:rPr>
      </w:pPr>
    </w:p>
    <w:p>
      <w:pPr>
        <w:ind w:left="1340" w:hanging="360"/>
        <w:spacing w:after="0"/>
        <w:tabs>
          <w:tab w:leader="none" w:pos="13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1440" w:hanging="460"/>
        <w:spacing w:after="0"/>
        <w:tabs>
          <w:tab w:leader="none" w:pos="1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560" w:hanging="580"/>
        <w:spacing w:after="0"/>
        <w:tabs>
          <w:tab w:leader="none" w:pos="15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A-126</w:t>
      </w:r>
    </w:p>
    <w:p>
      <w:pPr>
        <w:sectPr>
          <w:pgSz w:w="11900" w:h="16838" w:orient="portrait"/>
          <w:cols w:equalWidth="0" w:num="1">
            <w:col w:w="11240"/>
          </w:cols>
          <w:pgMar w:left="320" w:top="1440" w:right="339" w:bottom="1440" w:gutter="0" w:footer="0" w:header="0"/>
          <w:type w:val="continuous"/>
        </w:sectPr>
      </w:pPr>
    </w:p>
    <w:bookmarkStart w:id="561" w:name="page562"/>
    <w:bookmarkEnd w:id="561"/>
    <w:p>
      <w:pPr>
        <w:spacing w:after="0" w:line="13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Sema4 Holdings Corp. 2021 Equity Incentive Plan.</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28.35.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subject to such further limitations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 Employee Director shall not terminate the service provider’s Service, unless determined by the Committee, in its discretion or to the extent set forth in the applicable Award Agreement. The Committee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A-127</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sole discretion to determine whether a Participant has ceased to provide Service and the effective date on which the Participant ceased to provide Service.</w:t>
      </w:r>
    </w:p>
    <w:p>
      <w:pPr>
        <w:spacing w:after="0" w:line="11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08" w:lineRule="exact"/>
        <w:rPr>
          <w:sz w:val="20"/>
          <w:szCs w:val="20"/>
          <w:color w:val="auto"/>
        </w:rPr>
      </w:pPr>
    </w:p>
    <w:p>
      <w:pPr>
        <w:jc w:val="both"/>
        <w:ind w:firstLine="332"/>
        <w:spacing w:after="0" w:line="287" w:lineRule="auto"/>
        <w:tabs>
          <w:tab w:leader="none" w:pos="769"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A-128</w:t>
      </w:r>
    </w:p>
    <w:p>
      <w:pPr>
        <w:sectPr>
          <w:pgSz w:w="11900" w:h="16838" w:orient="portrait"/>
          <w:cols w:equalWidth="0" w:num="1">
            <w:col w:w="11240"/>
          </w:cols>
          <w:pgMar w:left="320" w:top="1440" w:right="339" w:bottom="1440" w:gutter="0" w:footer="0" w:header="0"/>
        </w:sectPr>
      </w:pPr>
    </w:p>
    <w:bookmarkStart w:id="563" w:name="page564"/>
    <w:bookmarkEnd w:id="56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A-129</w:t>
      </w:r>
    </w:p>
    <w:p>
      <w:pPr>
        <w:sectPr>
          <w:pgSz w:w="11900" w:h="16838" w:orient="portrait"/>
          <w:cols w:equalWidth="0" w:num="1">
            <w:col w:w="9019"/>
          </w:cols>
          <w:pgMar w:left="1440" w:top="1440" w:right="1440" w:bottom="1440" w:gutter="0" w:footer="0" w:header="0"/>
        </w:sectPr>
      </w:pPr>
    </w:p>
    <w:bookmarkStart w:id="564" w:name="page565"/>
    <w:bookmarkEnd w:id="564"/>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D-1</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SEMA4 HOLDINGS CORP.</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6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Sema4 Holdings Corp. adopted the Plan effective as of the Effective Date. The purpose of this Plan is to provide 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9"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8" w:lineRule="auto"/>
        <w:tabs>
          <w:tab w:leader="none" w:pos="651" w:val="left"/>
        </w:tabs>
        <w:numPr>
          <w:ilvl w:val="0"/>
          <w:numId w:val="4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A-130</w:t>
      </w:r>
    </w:p>
    <w:p>
      <w:pPr>
        <w:sectPr>
          <w:pgSz w:w="11900" w:h="16838" w:orient="portrait"/>
          <w:cols w:equalWidth="0" w:num="1">
            <w:col w:w="11240"/>
          </w:cols>
          <w:pgMar w:left="320" w:top="1440" w:right="339" w:bottom="1440" w:gutter="0" w:footer="0" w:header="0"/>
        </w:sectPr>
      </w:pPr>
    </w:p>
    <w:bookmarkStart w:id="565" w:name="page566"/>
    <w:bookmarkEnd w:id="56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26" w:lineRule="exact"/>
        <w:rPr>
          <w:sz w:val="20"/>
          <w:szCs w:val="20"/>
          <w:color w:val="auto"/>
        </w:rPr>
      </w:pPr>
    </w:p>
    <w:p>
      <w:pPr>
        <w:ind w:left="640" w:hanging="308"/>
        <w:spacing w:after="0"/>
        <w:tabs>
          <w:tab w:leader="none" w:pos="64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5"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49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A-131</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39" w:lineRule="exact"/>
        <w:rPr>
          <w:sz w:val="20"/>
          <w:szCs w:val="20"/>
          <w:color w:val="auto"/>
        </w:rPr>
      </w:pPr>
    </w:p>
    <w:p>
      <w:pPr>
        <w:ind w:left="640" w:hanging="308"/>
        <w:spacing w:after="0"/>
        <w:tabs>
          <w:tab w:leader="none" w:pos="64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422"/>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3" w:val="left"/>
        </w:tabs>
        <w:numPr>
          <w:ilvl w:val="0"/>
          <w:numId w:val="4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5"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87" w:lineRule="auto"/>
        <w:tabs>
          <w:tab w:leader="none" w:pos="1467" w:val="left"/>
        </w:tabs>
        <w:numPr>
          <w:ilvl w:val="1"/>
          <w:numId w:val="422"/>
        </w:numPr>
        <w:rPr>
          <w:rFonts w:ascii="Arial" w:cs="Arial" w:eastAsia="Arial" w:hAnsi="Arial"/>
          <w:sz w:val="16"/>
          <w:szCs w:val="16"/>
          <w:color w:val="auto"/>
        </w:rPr>
      </w:pPr>
      <w:r>
        <w:rPr>
          <w:rFonts w:ascii="Arial" w:cs="Arial" w:eastAsia="Arial" w:hAnsi="Arial"/>
          <w:sz w:val="16"/>
          <w:szCs w:val="16"/>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A-132</w:t>
      </w:r>
    </w:p>
    <w:p>
      <w:pPr>
        <w:sectPr>
          <w:pgSz w:w="11900" w:h="16838" w:orient="portrait"/>
          <w:cols w:equalWidth="0" w:num="1">
            <w:col w:w="11240"/>
          </w:cols>
          <w:pgMar w:left="320" w:top="1440" w:right="339" w:bottom="1440" w:gutter="0" w:footer="0" w:header="0"/>
        </w:sectPr>
      </w:pPr>
    </w:p>
    <w:bookmarkStart w:id="567" w:name="page568"/>
    <w:bookmarkEnd w:id="567"/>
    <w:p>
      <w:pPr>
        <w:spacing w:after="0" w:line="143" w:lineRule="exact"/>
        <w:rPr>
          <w:sz w:val="20"/>
          <w:szCs w:val="20"/>
          <w:color w:val="auto"/>
        </w:rPr>
      </w:pPr>
    </w:p>
    <w:p>
      <w:pPr>
        <w:jc w:val="both"/>
        <w:ind w:firstLine="980"/>
        <w:spacing w:after="0" w:line="293" w:lineRule="auto"/>
        <w:tabs>
          <w:tab w:leader="none" w:pos="135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46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A-133</w:t>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99" w:lineRule="exact"/>
        <w:rPr>
          <w:sz w:val="20"/>
          <w:szCs w:val="20"/>
          <w:color w:val="auto"/>
        </w:rPr>
      </w:pPr>
    </w:p>
    <w:p>
      <w:pPr>
        <w:ind w:left="740" w:hanging="408"/>
        <w:spacing w:after="0"/>
        <w:tabs>
          <w:tab w:leader="none" w:pos="7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4"/>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424"/>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424"/>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42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[l]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426"/>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69" w:lineRule="exact"/>
        <w:rPr>
          <w:rFonts w:ascii="Arial" w:cs="Arial" w:eastAsia="Arial" w:hAnsi="Arial"/>
          <w:sz w:val="16"/>
          <w:szCs w:val="16"/>
          <w:color w:val="auto"/>
        </w:rPr>
      </w:pPr>
    </w:p>
    <w:p>
      <w:pPr>
        <w:jc w:val="both"/>
        <w:ind w:firstLine="980"/>
        <w:spacing w:after="0" w:line="263" w:lineRule="auto"/>
        <w:tabs>
          <w:tab w:leader="none" w:pos="1385" w:val="left"/>
        </w:tabs>
        <w:numPr>
          <w:ilvl w:val="1"/>
          <w:numId w:val="426"/>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A-134</w:t>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0" w:lineRule="exact"/>
        <w:rPr>
          <w:sz w:val="20"/>
          <w:szCs w:val="20"/>
          <w:color w:val="auto"/>
        </w:rPr>
      </w:pPr>
    </w:p>
    <w:p>
      <w:pPr>
        <w:jc w:val="both"/>
        <w:ind w:firstLine="980"/>
        <w:spacing w:after="0" w:line="279" w:lineRule="auto"/>
        <w:tabs>
          <w:tab w:leader="none" w:pos="1412" w:val="left"/>
        </w:tabs>
        <w:numPr>
          <w:ilvl w:val="1"/>
          <w:numId w:val="427"/>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1"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83"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A-135</w:t>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39" w:lineRule="exact"/>
        <w:rPr>
          <w:sz w:val="20"/>
          <w:szCs w:val="20"/>
          <w:color w:val="auto"/>
        </w:rPr>
      </w:pPr>
    </w:p>
    <w:p>
      <w:pPr>
        <w:jc w:val="both"/>
        <w:ind w:firstLine="332"/>
        <w:spacing w:after="0" w:line="256" w:lineRule="auto"/>
        <w:tabs>
          <w:tab w:leader="none" w:pos="806" w:val="left"/>
        </w:tabs>
        <w:numPr>
          <w:ilvl w:val="1"/>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0" w:val="left"/>
        </w:tabs>
        <w:numPr>
          <w:ilvl w:val="1"/>
          <w:numId w:val="4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0" w:val="left"/>
        </w:tabs>
        <w:numPr>
          <w:ilvl w:val="1"/>
          <w:numId w:val="4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4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430"/>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430"/>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34" w:lineRule="exact"/>
        <w:rPr>
          <w:rFonts w:ascii="Arial" w:cs="Arial" w:eastAsia="Arial" w:hAnsi="Arial"/>
          <w:sz w:val="18"/>
          <w:szCs w:val="18"/>
          <w:color w:val="auto"/>
        </w:rPr>
      </w:pPr>
    </w:p>
    <w:p>
      <w:pPr>
        <w:ind w:firstLine="332"/>
        <w:spacing w:after="0" w:line="282" w:lineRule="auto"/>
        <w:tabs>
          <w:tab w:leader="none" w:pos="802"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UPON ISSUANCE OF SHARES; LIMITATION ON SALE OF SHARES. </w:t>
      </w:r>
      <w:r>
        <w:rPr>
          <w:rFonts w:ascii="Arial" w:cs="Arial" w:eastAsia="Arial" w:hAnsi="Arial"/>
          <w:sz w:val="18"/>
          <w:szCs w:val="18"/>
          <w:color w:val="auto"/>
        </w:rPr>
        <w:t>Shares shall not be issued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exercise of such option and the issuance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A-136</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30" w:lineRule="exact"/>
        <w:rPr>
          <w:sz w:val="20"/>
          <w:szCs w:val="20"/>
          <w:color w:val="auto"/>
        </w:rPr>
      </w:pPr>
    </w:p>
    <w:p>
      <w:pPr>
        <w:ind w:left="720" w:hanging="388"/>
        <w:spacing w:after="0"/>
        <w:tabs>
          <w:tab w:leader="none" w:pos="720"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4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jc w:val="both"/>
        <w:ind w:firstLine="980"/>
        <w:spacing w:after="0" w:line="286" w:lineRule="auto"/>
        <w:tabs>
          <w:tab w:leader="none" w:pos="1408" w:val="left"/>
        </w:tabs>
        <w:numPr>
          <w:ilvl w:val="1"/>
          <w:numId w:val="431"/>
        </w:numPr>
        <w:rPr>
          <w:rFonts w:ascii="Arial" w:cs="Arial" w:eastAsia="Arial" w:hAnsi="Arial"/>
          <w:sz w:val="17"/>
          <w:szCs w:val="17"/>
          <w:color w:val="auto"/>
        </w:rPr>
      </w:pPr>
      <w:r>
        <w:rPr>
          <w:rFonts w:ascii="Arial" w:cs="Arial" w:eastAsia="Arial" w:hAnsi="Arial"/>
          <w:sz w:val="17"/>
          <w:szCs w:val="17"/>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A-137</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27" w:lineRule="exact"/>
        <w:rPr>
          <w:sz w:val="20"/>
          <w:szCs w:val="20"/>
          <w:color w:val="auto"/>
        </w:rPr>
      </w:pPr>
    </w:p>
    <w:p>
      <w:pPr>
        <w:jc w:val="both"/>
        <w:ind w:firstLine="980"/>
        <w:spacing w:after="0" w:line="257" w:lineRule="auto"/>
        <w:tabs>
          <w:tab w:leader="none" w:pos="1468"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both"/>
        <w:ind w:left="660" w:hanging="328"/>
        <w:spacing w:after="0" w:line="263" w:lineRule="auto"/>
        <w:tabs>
          <w:tab w:leader="none" w:pos="71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Sema4 Holdings Corp.</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55" w:lineRule="auto"/>
        <w:tabs>
          <w:tab w:leader="none" w:pos="1349" w:val="left"/>
        </w:tabs>
        <w:numPr>
          <w:ilvl w:val="1"/>
          <w:numId w:val="4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A-138</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30" w:lineRule="exact"/>
        <w:rPr>
          <w:sz w:val="20"/>
          <w:szCs w:val="20"/>
          <w:color w:val="auto"/>
        </w:rPr>
      </w:pPr>
    </w:p>
    <w:p>
      <w:pPr>
        <w:ind w:left="1360" w:hanging="380"/>
        <w:spacing w:after="0"/>
        <w:tabs>
          <w:tab w:leader="none" w:pos="13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59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3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3"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56" w:lineRule="exact"/>
        <w:rPr>
          <w:rFonts w:ascii="Arial" w:cs="Arial" w:eastAsia="Arial" w:hAnsi="Arial"/>
          <w:sz w:val="16"/>
          <w:szCs w:val="16"/>
          <w:color w:val="auto"/>
        </w:rPr>
      </w:pPr>
    </w:p>
    <w:p>
      <w:pPr>
        <w:ind w:firstLine="980"/>
        <w:spacing w:after="0" w:line="277" w:lineRule="auto"/>
        <w:tabs>
          <w:tab w:leader="none" w:pos="143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right="20" w:firstLine="980"/>
        <w:spacing w:after="0" w:line="277" w:lineRule="auto"/>
        <w:tabs>
          <w:tab w:leader="none" w:pos="134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Sema4 Holdings Corp. 2021 Employee Stock Purchase Plan, as may be amended from time to time.</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A-139</w:t>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43" w:lineRule="exact"/>
        <w:rPr>
          <w:sz w:val="20"/>
          <w:szCs w:val="20"/>
          <w:color w:val="auto"/>
        </w:rPr>
      </w:pPr>
    </w:p>
    <w:p>
      <w:pPr>
        <w:ind w:left="-20" w:firstLine="980"/>
        <w:spacing w:after="0" w:line="277" w:lineRule="auto"/>
        <w:tabs>
          <w:tab w:leader="none" w:pos="143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right="20" w:firstLine="980"/>
        <w:spacing w:after="0" w:line="263" w:lineRule="auto"/>
        <w:tabs>
          <w:tab w:leader="none" w:pos="136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 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A-140</w:t>
      </w:r>
    </w:p>
    <w:p>
      <w:pPr>
        <w:sectPr>
          <w:pgSz w:w="11900" w:h="16838" w:orient="portrait"/>
          <w:cols w:equalWidth="0" w:num="1">
            <w:col w:w="11220"/>
          </w:cols>
          <w:pgMar w:left="340" w:top="1440" w:right="339" w:bottom="1440" w:gutter="0" w:footer="0" w:header="0"/>
        </w:sectPr>
      </w:pPr>
    </w:p>
    <w:bookmarkStart w:id="575" w:name="page576"/>
    <w:bookmarkEnd w:id="575"/>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A-141</w:t>
      </w:r>
    </w:p>
    <w:p>
      <w:pPr>
        <w:sectPr>
          <w:pgSz w:w="11900" w:h="16838" w:orient="portrait"/>
          <w:cols w:equalWidth="0" w:num="1">
            <w:col w:w="9019"/>
          </w:cols>
          <w:pgMar w:left="1440" w:top="1440" w:right="1440"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E-1</w:t>
      </w:r>
    </w:p>
    <w:p>
      <w:pPr>
        <w:spacing w:after="0" w:line="16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[__], 2021, is made and entered into by and among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the undersigned parties listed on the signature page hereto under “Existing Holders” (the “</w:t>
      </w:r>
      <w:r>
        <w:rPr>
          <w:rFonts w:ascii="Arial" w:cs="Arial" w:eastAsia="Arial" w:hAnsi="Arial"/>
          <w:sz w:val="17"/>
          <w:szCs w:val="17"/>
          <w:b w:val="1"/>
          <w:bCs w:val="1"/>
          <w:i w:val="1"/>
          <w:iCs w:val="1"/>
          <w:color w:val="auto"/>
        </w:rPr>
        <w:t>Existing Holders</w:t>
      </w:r>
      <w:r>
        <w:rPr>
          <w:rFonts w:ascii="Arial" w:cs="Arial" w:eastAsia="Arial" w:hAnsi="Arial"/>
          <w:sz w:val="17"/>
          <w:szCs w:val="17"/>
          <w:color w:val="auto"/>
        </w:rPr>
        <w:t>”), the undersigned parties listed on the signature page hereto as “</w:t>
      </w:r>
      <w:r>
        <w:rPr>
          <w:rFonts w:ascii="Arial" w:cs="Arial" w:eastAsia="Arial" w:hAnsi="Arial"/>
          <w:sz w:val="17"/>
          <w:szCs w:val="17"/>
          <w:b w:val="1"/>
          <w:bCs w:val="1"/>
          <w:i w:val="1"/>
          <w:iCs w:val="1"/>
          <w:color w:val="auto"/>
        </w:rPr>
        <w:t>New Holders</w:t>
      </w:r>
      <w:r>
        <w:rPr>
          <w:rFonts w:ascii="Arial" w:cs="Arial" w:eastAsia="Arial" w:hAnsi="Arial"/>
          <w:sz w:val="17"/>
          <w:szCs w:val="17"/>
          <w:color w:val="auto"/>
        </w:rPr>
        <w:t xml:space="preserve">” (the “New Holders” and, together with the Existing Holders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1, 2020, the Company and the Sponsor entered into that certain Registration Rights Agreement (the “</w:t>
      </w:r>
      <w:r>
        <w:rPr>
          <w:rFonts w:ascii="Arial" w:cs="Arial" w:eastAsia="Arial" w:hAnsi="Arial"/>
          <w:sz w:val="18"/>
          <w:szCs w:val="18"/>
          <w:b w:val="1"/>
          <w:bCs w:val="1"/>
          <w:i w:val="1"/>
          <w:iCs w:val="1"/>
          <w:color w:val="auto"/>
        </w:rPr>
        <w:t>Existing Registration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pursuant to which the Company granted the Existing Holders certain registration rights with respect to certain securities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as of February 9, 2021, by</w:t>
      </w:r>
      <w:r>
        <w:rPr>
          <w:rFonts w:ascii="Arial" w:cs="Arial" w:eastAsia="Arial" w:hAnsi="Arial"/>
          <w:sz w:val="17"/>
          <w:szCs w:val="17"/>
          <w:b w:val="1"/>
          <w:bCs w:val="1"/>
          <w:color w:val="auto"/>
        </w:rPr>
        <w:t xml:space="preserve"> </w:t>
      </w:r>
      <w:r>
        <w:rPr>
          <w:rFonts w:ascii="Arial" w:cs="Arial" w:eastAsia="Arial" w:hAnsi="Arial"/>
          <w:sz w:val="17"/>
          <w:szCs w:val="17"/>
          <w:color w:val="auto"/>
        </w:rPr>
        <w:t>and among the Company, S-IV Sub, Inc., a Delaware corporation, and Mount Sinai Genomics D/B/A Sema4, a Delaware corporation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 therein,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in each case, in such amounts and subject to such terms and conditions as set forth in the Merger Agreement;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the Company is conducting a private placement of its Class</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Stock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pursuant to the terms of one or more Subscription Agreements, and certain Holders may purchase additional shares of Class A Common Stock pursuant thereto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New Holders may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pursuant to certain provisions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Registration Rights Agreement, the provisions, covenants and conditions set forth therein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modified upon the written consent of the Company and the holders of a majority-in-interest of the “Registrable Securities” (as such term is defined in the Existing Registration Rights Agreement) at the time in question;</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Target and certain of the signatories hereto are parties to that certain Second Amended and Restated Stockholders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Mount Sinai Genomics, Inc. d/b/a Sema4 and the Stockholders named therein, dated as of July 27, 2020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and that certain Registration Rights Agreement, by and between Icahn School of Medicine at Mount Sinai and Mount Sinai Genomics, Inc., dated as of March 28, 2016 (the “</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inducement for the Company, the Target and Merger Sub to enter into the Merger Agreement, the Target and the New 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effective at the Closing Date, the Stockholders’ Agreement, the ISMMS Registration Rights Agreement and certain other agreements with the Target will terminate and be of no further force and effect; and</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Sponsor desire to amend and restate the Existing Registration Rights Agreement in its entirety in order to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Holders and the New Holders certain registration rights with respect to certain securities of the Company,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A-142</w:t>
      </w:r>
    </w:p>
    <w:p>
      <w:pPr>
        <w:sectPr>
          <w:pgSz w:w="11900" w:h="16838" w:orient="portrait"/>
          <w:cols w:equalWidth="0" w:num="1">
            <w:col w:w="11240"/>
          </w:cols>
          <w:pgMar w:left="320" w:top="125" w:right="339" w:bottom="1440" w:gutter="0" w:footer="0" w:header="0"/>
        </w:sectPr>
      </w:pPr>
    </w:p>
    <w:bookmarkStart w:id="577" w:name="page578"/>
    <w:bookmarkEnd w:id="577"/>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The terms defined in this Article I shall, for all purposes of this Agreement, have the respective meanings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or sale of Registrable Securities by any Holder on a block trade or underwritten basis (whether firm commitment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effected pursuant to a Registration Statement without substantial marketing efforts prior to pricing, including, without limitation, a same day trade, overnight trade or similar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that is not a Saturday or Sunday or a day on which banks in New York City are authorized or requested by law to close.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mean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consummation of the transactions contemplated by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w:t>
      </w:r>
      <w:r>
        <w:rPr>
          <w:rFonts w:ascii="Arial" w:cs="Arial" w:eastAsia="Arial" w:hAnsi="Arial"/>
          <w:sz w:val="17"/>
          <w:szCs w:val="17"/>
          <w:b w:val="1"/>
          <w:bCs w:val="1"/>
          <w:i w:val="1"/>
          <w:iCs w:val="1"/>
          <w:color w:val="auto"/>
        </w:rPr>
        <w:t>Commission’s Notice</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A-143</w:t>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all shares of Class B Common Stock that are issued and outstanding as of the date hereof and all shares of Class A Common Stock issued upon conversion thereof.</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shall mean the Existing Holders and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September 1, 2020, by and among the Company, the Sponsor and each of the Company’s officers, directors and director nominees.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shall have the meaning given in the Recitals hereto.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 Provisions</w:t>
      </w:r>
      <w:r>
        <w:rPr>
          <w:rFonts w:ascii="Arial" w:cs="Arial" w:eastAsia="Arial" w:hAnsi="Arial"/>
          <w:sz w:val="18"/>
          <w:szCs w:val="18"/>
          <w:color w:val="auto"/>
        </w:rPr>
        <w:t xml:space="preserve">” shall have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A-144</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to which a transfer is being made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not a Holder, enters into a written agreement with the Company agreeing to be bound by the restrictions, including restrictions specific to certain holders, herein.</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partnership, limited liability company, unincorporated association or other legal entity or business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warrants to purchase shares of Class A Common Stock purchased by the Sponsor pursuant to the Private Placement Warrants Purchase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mean that certain Private Placement Warrants Purchase Agreement by and between the Company and the Sponsor, dated as of September 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A-145</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71" w:lineRule="exact"/>
        <w:rPr>
          <w:sz w:val="20"/>
          <w:szCs w:val="20"/>
          <w:color w:val="auto"/>
        </w:rPr>
      </w:pPr>
    </w:p>
    <w:p>
      <w:pPr>
        <w:ind w:left="340" w:right="20" w:firstLine="640"/>
        <w:spacing w:after="0" w:line="277" w:lineRule="auto"/>
        <w:tabs>
          <w:tab w:leader="none" w:pos="146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16" w:lineRule="exact"/>
        <w:rPr>
          <w:rFonts w:ascii="Arial" w:cs="Arial" w:eastAsia="Arial" w:hAnsi="Arial"/>
          <w:sz w:val="18"/>
          <w:szCs w:val="18"/>
          <w:color w:val="auto"/>
        </w:rPr>
      </w:pPr>
    </w:p>
    <w:p>
      <w:pPr>
        <w:ind w:left="340" w:firstLine="640"/>
        <w:spacing w:after="0" w:line="277" w:lineRule="auto"/>
        <w:tabs>
          <w:tab w:leader="none" w:pos="147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firstLine="640"/>
        <w:spacing w:after="0" w:line="277" w:lineRule="auto"/>
        <w:tabs>
          <w:tab w:leader="none" w:pos="14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A-146</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(including post-effective amendments) and supplements to such registration statement, and all exhibits to and all material incorporated by reference in such registration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promulgated thereafter, all as the same shall be in effect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shall means those certain subscription agreements dated February 9, 2021 by and between the Company and certain subscribers to shares of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r>
        <w:rPr>
          <w:rFonts w:ascii="Arial" w:cs="Arial" w:eastAsia="Arial" w:hAnsi="Arial"/>
          <w:sz w:val="18"/>
          <w:szCs w:val="18"/>
          <w:color w:val="auto"/>
        </w:rPr>
        <w:t>.</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REGISTRATIONS</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Shelf Registration.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2.1.1 The Company shall, as soon as practicable, but in any event within thirty (30) days after the Closing Date (the “</w:t>
      </w:r>
      <w:r>
        <w:rPr>
          <w:rFonts w:ascii="Arial" w:cs="Arial" w:eastAsia="Arial" w:hAnsi="Arial"/>
          <w:sz w:val="16"/>
          <w:szCs w:val="16"/>
          <w:b w:val="1"/>
          <w:bCs w:val="1"/>
          <w:i w:val="1"/>
          <w:iCs w:val="1"/>
          <w:color w:val="auto"/>
        </w:rPr>
        <w:t>Filing Deadline</w:t>
      </w:r>
      <w:r>
        <w:rPr>
          <w:rFonts w:ascii="Arial" w:cs="Arial" w:eastAsia="Arial" w:hAnsi="Arial"/>
          <w:sz w:val="16"/>
          <w:szCs w:val="16"/>
          <w:color w:val="auto"/>
        </w:rPr>
        <w:t>”), file a Registration Statement under the Securities Act (the “</w:t>
      </w:r>
      <w:r>
        <w:rPr>
          <w:rFonts w:ascii="Arial" w:cs="Arial" w:eastAsia="Arial" w:hAnsi="Arial"/>
          <w:sz w:val="16"/>
          <w:szCs w:val="16"/>
          <w:b w:val="1"/>
          <w:bCs w:val="1"/>
          <w:i w:val="1"/>
          <w:iCs w:val="1"/>
          <w:color w:val="auto"/>
        </w:rPr>
        <w:t>Initial Shelf</w:t>
      </w:r>
      <w:r>
        <w:rPr>
          <w:rFonts w:ascii="Arial" w:cs="Arial" w:eastAsia="Arial" w:hAnsi="Arial"/>
          <w:sz w:val="16"/>
          <w:szCs w:val="16"/>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 (5) Business Days after the Commission notifies the Company that it will not review the Initial Shelf, if applicable (the “</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be on Form S-1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A-147</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 second (2nd)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Form of Registration</w:t>
      </w:r>
      <w:r>
        <w:rPr>
          <w:rFonts w:ascii="Arial" w:cs="Arial" w:eastAsia="Arial" w:hAnsi="Arial"/>
          <w:sz w:val="18"/>
          <w:szCs w:val="18"/>
          <w:color w:val="auto"/>
        </w:rPr>
        <w:t>. If the Company files the Initial Shelf on Form S-3 (a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3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Shelf Takedowns</w:t>
      </w:r>
      <w:r>
        <w:rPr>
          <w:rFonts w:ascii="Arial" w:cs="Arial" w:eastAsia="Arial" w:hAnsi="Arial"/>
          <w:sz w:val="16"/>
          <w:szCs w:val="16"/>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b w:val="1"/>
          <w:bCs w:val="1"/>
          <w:i w:val="1"/>
          <w:iCs w:val="1"/>
          <w:color w:val="auto"/>
        </w:rPr>
        <w:t>Shelf Take 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Each Shelf Take Down Notice shall specify the approximate number of Registrable Securities proposed to be sold in the Shelf Underwritten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Arial" w:cs="Arial" w:eastAsia="Arial" w:hAnsi="Arial"/>
          <w:sz w:val="16"/>
          <w:szCs w:val="16"/>
          <w:u w:val="single" w:color="auto"/>
          <w:color w:val="auto"/>
        </w:rPr>
        <w:t>subsections 3.5.3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3.5.4</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MNPI Provisions</w:t>
      </w:r>
      <w:r>
        <w:rPr>
          <w:rFonts w:ascii="Arial" w:cs="Arial" w:eastAsia="Arial" w:hAnsi="Arial"/>
          <w:sz w:val="16"/>
          <w:szCs w:val="16"/>
          <w:color w:val="auto"/>
        </w:rPr>
        <w:t>”), give written notice of such requested Shelf Underwritten Offering to all other Holders of Registrable Securities (the “</w:t>
      </w:r>
      <w:r>
        <w:rPr>
          <w:rFonts w:ascii="Arial" w:cs="Arial" w:eastAsia="Arial" w:hAnsi="Arial"/>
          <w:sz w:val="16"/>
          <w:szCs w:val="16"/>
          <w:b w:val="1"/>
          <w:bCs w:val="1"/>
          <w:i w:val="1"/>
          <w:iCs w:val="1"/>
          <w:color w:val="auto"/>
        </w:rPr>
        <w:t>Company Shelf Takedown Notice</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the underwriting agreement into which each Holder and the Company shall enter shall contain such representations, covenants, indemnities and other rights and obligations of the Company and the selling stockholders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A-148</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11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2.1.4 At least ten (10) Business Days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p>
    <w:p>
      <w:pPr>
        <w:spacing w:after="0" w:line="14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2.1.5 Notwithstanding the registration obligations set forth in this Section 2, in the event that, despite the Company’s efforts to include all of the Registrable Securities in any Registration Statement filed pursuant to subsection 2.1.1, the Commission informs the Company (the “</w:t>
      </w:r>
      <w:r>
        <w:rPr>
          <w:rFonts w:ascii="Arial" w:cs="Arial" w:eastAsia="Arial" w:hAnsi="Arial"/>
          <w:sz w:val="16"/>
          <w:szCs w:val="16"/>
          <w:b w:val="1"/>
          <w:bCs w:val="1"/>
          <w:i w:val="1"/>
          <w:iCs w:val="1"/>
          <w:color w:val="auto"/>
        </w:rPr>
        <w:t>Commission’s Notice</w:t>
      </w:r>
      <w:r>
        <w:rPr>
          <w:rFonts w:ascii="Arial" w:cs="Arial" w:eastAsia="Arial" w:hAnsi="Arial"/>
          <w:sz w:val="16"/>
          <w:szCs w:val="16"/>
          <w:color w:val="auto"/>
        </w:rPr>
        <w:t>”) that all of the Registrable Securities cannot, as a result of the application of Rule 415 or otherwise, be registered for resale as a secondary offering 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S-3, or if Form S-3 is not then available to the Company for such Registration Statement, on such other form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3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2.1.7 In the event that on any Trading Day (as defined below) (the “</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A-149</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on which the Class A Common Stock is traded for any period on the principal securities exchange or market on which the Class A Common Stock is then being traded.</w:t>
      </w:r>
    </w:p>
    <w:p>
      <w:pPr>
        <w:spacing w:after="0" w:line="1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Demand Registration.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does not have an effective Registration Statement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Subject to the MNPI Provisions,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includes all of such Demanding Holder’s Registrable Securities and is effective.</w:t>
      </w:r>
    </w:p>
    <w:p>
      <w:pPr>
        <w:spacing w:after="0" w:line="3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A-150</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42" w:lineRule="exact"/>
        <w:rPr>
          <w:sz w:val="20"/>
          <w:szCs w:val="20"/>
          <w:color w:val="auto"/>
        </w:rPr>
      </w:pPr>
    </w:p>
    <w:p>
      <w:pPr>
        <w:jc w:val="both"/>
        <w:ind w:firstLine="1304"/>
        <w:spacing w:after="0" w:line="259" w:lineRule="auto"/>
        <w:tabs>
          <w:tab w:leader="none" w:pos="1741" w:val="left"/>
        </w:tabs>
        <w:numPr>
          <w:ilvl w:val="0"/>
          <w:numId w:val="438"/>
        </w:numPr>
        <w:rPr>
          <w:rFonts w:ascii="Arial" w:cs="Arial" w:eastAsia="Arial" w:hAnsi="Arial"/>
          <w:sz w:val="18"/>
          <w:szCs w:val="18"/>
          <w:color w:val="auto"/>
        </w:rPr>
      </w:pPr>
      <w:r>
        <w:rPr>
          <w:rFonts w:ascii="Arial" w:cs="Arial" w:eastAsia="Arial" w:hAnsi="Arial"/>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that can be sold without exceeding the Maximum Number of Securities;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5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w:t>
      </w:r>
      <w:r>
        <w:rPr>
          <w:rFonts w:ascii="Arial" w:cs="Arial" w:eastAsia="Arial" w:hAnsi="Arial"/>
          <w:sz w:val="18"/>
          <w:szCs w:val="18"/>
          <w:u w:val="single" w:color="auto"/>
          <w:color w:val="auto"/>
        </w:rPr>
        <w:t>clauses (a) and (b),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71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w:t>
      </w:r>
      <w:r>
        <w:rPr>
          <w:rFonts w:ascii="Arial" w:cs="Arial" w:eastAsia="Arial" w:hAnsi="Arial"/>
          <w:sz w:val="17"/>
          <w:szCs w:val="17"/>
          <w:u w:val="single" w:color="auto"/>
          <w:color w:val="auto"/>
        </w:rPr>
        <w:t>clauses (a), (b) and (c),</w:t>
      </w:r>
      <w:r>
        <w:rPr>
          <w:rFonts w:ascii="Arial" w:cs="Arial" w:eastAsia="Arial" w:hAnsi="Arial"/>
          <w:sz w:val="17"/>
          <w:szCs w:val="17"/>
          <w:color w:val="auto"/>
        </w:rPr>
        <w:t xml:space="preserve">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Demanding Holder or a Requesting Holder shall have the right to withdraw all or a portion of its Registrable Securities included in a Demand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or a Shelf Underwritten Offering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A-151</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7"/>
          <w:szCs w:val="17"/>
          <w:u w:val="single" w:color="auto"/>
          <w:color w:val="auto"/>
        </w:rPr>
        <w:t>subsection 2.2.5</w:t>
      </w:r>
      <w:r>
        <w:rPr>
          <w:rFonts w:ascii="Arial" w:cs="Arial" w:eastAsia="Arial" w:hAnsi="Arial"/>
          <w:sz w:val="17"/>
          <w:szCs w:val="17"/>
          <w:color w:val="auto"/>
        </w:rPr>
        <w:t xml:space="preserve"> shall be counted toward the aggregate number of Demand Registrations the Company is obligated to effect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13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Piggyback Registration.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shall enter into an underwriting agreement in customary form with the Underwriter(s) selected for such Underwritten Offering by the Company.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A-152</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2.3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(b),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clauses (a), (b) and (c),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-594995</wp:posOffset>
            </wp:positionV>
            <wp:extent cx="170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Withdrawal.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xml:space="preserve"> For purposes of clarity, any Registration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shall not be counted as a Registration pursuant to a Demand Registration effected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or a Shelf Underwritten Offering effected under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70"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2.5.1 Notwithstanding any other provision of this Agreement, but subject to </w:t>
      </w:r>
      <w:r>
        <w:rPr>
          <w:rFonts w:ascii="Arial" w:cs="Arial" w:eastAsia="Arial" w:hAnsi="Arial"/>
          <w:sz w:val="18"/>
          <w:szCs w:val="18"/>
          <w:u w:val="single" w:color="auto"/>
          <w:color w:val="auto"/>
        </w:rPr>
        <w:t>Sections 2.4 and 3.4</w:t>
      </w:r>
      <w:r>
        <w:rPr>
          <w:rFonts w:ascii="Arial" w:cs="Arial" w:eastAsia="Arial" w:hAnsi="Arial"/>
          <w:sz w:val="18"/>
          <w:szCs w:val="18"/>
          <w:color w:val="auto"/>
        </w:rPr>
        <w:t>, if a Demanding Holder desires to effect a Block Trade with a total offering price reasonably expected to exceed, in the aggregate, either (x) the Minimum Amount or (y) all remaining Registrable Securities held by the Demanding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A-153</w:t>
      </w:r>
    </w:p>
    <w:p>
      <w:pPr>
        <w:sectPr>
          <w:pgSz w:w="11900" w:h="16838" w:orient="portrait"/>
          <w:cols w:equalWidth="0" w:num="1">
            <w:col w:w="11240"/>
          </w:cols>
          <w:pgMar w:left="320" w:top="1440" w:right="339" w:bottom="1440" w:gutter="0" w:footer="0" w:header="0"/>
        </w:sectPr>
      </w:pPr>
    </w:p>
    <w:bookmarkStart w:id="588" w:name="page589"/>
    <w:bookmarkEnd w:id="588"/>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Holder, then notwithstanding the time periods provided for in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Market Stand-Off.</w:t>
      </w:r>
      <w:r>
        <w:rPr>
          <w:rFonts w:ascii="Arial" w:cs="Arial" w:eastAsia="Arial" w:hAnsi="Arial"/>
          <w:sz w:val="17"/>
          <w:szCs w:val="17"/>
          <w:color w:val="auto"/>
        </w:rPr>
        <w:t xml:space="preserve">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A-154</w:t>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Registrable Securities owned by such Holders, and no document shall be filed with the Commission to which any Holder or its counsel reasonably objects in good faith;</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3.1.11 obtain a “cold comfort” letter (including a bring-down letter dated as of the date the Registrable Securities are delivered for sale pursuant to such Registration) from the Company’s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A-155</w:t>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18"/>
          <w:szCs w:val="18"/>
          <w:b w:val="1"/>
          <w:bCs w:val="1"/>
          <w:i w:val="1"/>
          <w:iCs w:val="1"/>
          <w:color w:val="auto"/>
        </w:rPr>
        <w:t>Issuer Filing</w:t>
      </w:r>
      <w:r>
        <w:rPr>
          <w:rFonts w:ascii="Arial" w:cs="Arial" w:eastAsia="Arial" w:hAnsi="Arial"/>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w:t>
      </w:r>
      <w:r>
        <w:rPr>
          <w:rFonts w:ascii="Arial" w:cs="Arial" w:eastAsia="Arial" w:hAnsi="Arial"/>
          <w:sz w:val="17"/>
          <w:szCs w:val="17"/>
          <w:b w:val="1"/>
          <w:bCs w:val="1"/>
          <w:i w:val="1"/>
          <w:iCs w:val="1"/>
          <w:color w:val="auto"/>
        </w:rPr>
        <w:t>DWAC</w:t>
      </w:r>
      <w:r>
        <w:rPr>
          <w:rFonts w:ascii="Arial" w:cs="Arial" w:eastAsia="Arial" w:hAnsi="Arial"/>
          <w:sz w:val="17"/>
          <w:szCs w:val="17"/>
          <w:color w:val="auto"/>
        </w:rPr>
        <w:t>”) system, in any such case as such Holder or Underwriter, if any, may reasonably request;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3.1.19 otherwise, in good faith, cooperate reasonably with, and take such customary actions as may reasonably be requested by the Holders in connection with such Registration.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A-156</w:t>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discounts, brokerage fees and, other than as set forth in the definition of “Registration Expenses,” all reasonable fees and expenses of any legal counsel representing the Holders except as otherwise provided herein.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 xml:space="preserve">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3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Suspension of Sales; Adverse Disclosure.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may, subject to the MNPI Provisions, upon giving prompt written notice of such action to the Holders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defer its obligations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(provided that in no event shall such notice disclose the basis for suspension or contain any material nonpublic information) and shall not disclose the information contained in such written notice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A-157</w:t>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Company until such time as the information contained therein is or becomes public, other than as a result of disclosure by a holder of Registrable Securities in breach of the terms of this Agreement.</w:t>
      </w:r>
    </w:p>
    <w:p>
      <w:pPr>
        <w:spacing w:after="0" w:line="11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Covenants of the Company.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7"/>
          <w:szCs w:val="17"/>
          <w:b w:val="1"/>
          <w:bCs w:val="1"/>
          <w:i w:val="1"/>
          <w:iCs w:val="1"/>
          <w:color w:val="auto"/>
        </w:rPr>
        <w:t>Unrestricted Conditions</w:t>
      </w:r>
      <w:r>
        <w:rPr>
          <w:rFonts w:ascii="Arial" w:cs="Arial" w:eastAsia="Arial" w:hAnsi="Arial"/>
          <w:sz w:val="17"/>
          <w:szCs w:val="17"/>
          <w:color w:val="auto"/>
        </w:rPr>
        <w:t>”). The Company agrees that at such time as any of the Unrestricted Conditions is met or such legend is otherwise no longer required it will, no 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3.5.4 Notwithstanding the foregoing, to the extent the Company reasonably and in good faith determines that it is necessary to disclose material non-public information to a Holder in order to comply with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A-158</w:t>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hereunder (a “</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Thereafter, the Company shall be permitted to make such Necessary Disclosure (only) in accordance with the Agreed Disclosure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Indemnification.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provided, however,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A-159</w:t>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(3rd) Business Day following the date on which it is mailed and, in the case of notices delivered by courier service, hand delivery, electronic 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06902,and, if to any Holder, at such Holder’s address or contact information as set forth in the Company’s books and records. Any party may change its address for notice at any time and from time to time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A-160</w:t>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parties hereto, and such change of address shall become effective after delivery of such notice as provided in this </w:t>
      </w:r>
      <w:r>
        <w:rPr>
          <w:rFonts w:ascii="Arial" w:cs="Arial" w:eastAsia="Arial" w:hAnsi="Arial"/>
          <w:sz w:val="18"/>
          <w:szCs w:val="18"/>
          <w:u w:val="single" w:color="auto"/>
          <w:color w:val="auto"/>
        </w:rPr>
        <w:t>Section 5.1.</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A-161</w:t>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A-162</w:t>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CM LIFE SCIENCES, INC., a Delaware corporation</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EXISTING HOLDERS:</w:t>
      </w:r>
    </w:p>
    <w:p>
      <w:pPr>
        <w:spacing w:after="0" w:line="29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CMLS HOLDINGS LLC, a Delaware limited liability company</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8653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677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Nat Turner</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A-163</w:t>
      </w:r>
    </w:p>
    <w:p>
      <w:pPr>
        <w:sectPr>
          <w:pgSz w:w="11900" w:h="16838" w:orient="portrait"/>
          <w:cols w:equalWidth="0" w:num="1">
            <w:col w:w="9799"/>
          </w:cols>
          <w:pgMar w:left="660" w:top="1440" w:right="1440" w:bottom="1440" w:gutter="0" w:footer="0" w:header="0"/>
        </w:sectPr>
      </w:pPr>
    </w:p>
    <w:bookmarkStart w:id="598" w:name="page599"/>
    <w:bookmarkEnd w:id="598"/>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A-164</w:t>
      </w:r>
    </w:p>
    <w:p>
      <w:pPr>
        <w:sectPr>
          <w:pgSz w:w="11900" w:h="16838" w:orient="portrait"/>
          <w:cols w:equalWidth="0" w:num="1">
            <w:col w:w="9799"/>
          </w:cols>
          <w:pgMar w:left="660" w:top="1440" w:right="1440" w:bottom="1440" w:gutter="0" w:footer="0" w:header="0"/>
        </w:sectPr>
      </w:pPr>
    </w:p>
    <w:bookmarkStart w:id="599" w:name="page600"/>
    <w:bookmarkEnd w:id="59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This Amendment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May 3, 2021 and amends that certain Agreement and Plan of Merger (the “</w:t>
      </w:r>
      <w:r>
        <w:rPr>
          <w:rFonts w:ascii="Arial" w:cs="Arial" w:eastAsia="Arial" w:hAnsi="Arial"/>
          <w:sz w:val="17"/>
          <w:szCs w:val="17"/>
          <w:b w:val="1"/>
          <w:bCs w:val="1"/>
          <w:color w:val="auto"/>
        </w:rPr>
        <w:t>Agreement</w:t>
      </w:r>
      <w:r>
        <w:rPr>
          <w:rFonts w:ascii="Arial" w:cs="Arial" w:eastAsia="Arial" w:hAnsi="Arial"/>
          <w:sz w:val="17"/>
          <w:szCs w:val="17"/>
          <w:color w:val="auto"/>
        </w:rPr>
        <w:t>”), dated February 9, 2021, by and among CM Life Sciences,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S-IV Sub, Inc., a Delaware corporation and a direct,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and Mount Sinai Genomics, Inc., a Delaware corporation, d/b/a Sema4 (the “</w:t>
      </w:r>
      <w:r>
        <w:rPr>
          <w:rFonts w:ascii="Arial" w:cs="Arial" w:eastAsia="Arial" w:hAnsi="Arial"/>
          <w:sz w:val="17"/>
          <w:szCs w:val="17"/>
          <w:b w:val="1"/>
          <w:bCs w:val="1"/>
          <w:color w:val="auto"/>
        </w:rPr>
        <w:t>Company</w:t>
      </w:r>
      <w:r>
        <w:rPr>
          <w:rFonts w:ascii="Arial" w:cs="Arial" w:eastAsia="Arial" w:hAnsi="Arial"/>
          <w:sz w:val="17"/>
          <w:szCs w:val="17"/>
          <w:color w:val="auto"/>
        </w:rPr>
        <w:t>”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not herein defined shall have the meanings ascribed to them in the Agreement.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each of the Parties now desire to amend the Agreement as set forth herein, on the terms set forth herein.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WHEREAS, Section 11.12 of the Agreement provides that the Agreement may be amended pursuant to an instrument in writing signed by each of the Parties thereto.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mutual promises herein contained, and other consideration, the receipt and adequacy of which hereby is acknowledged, the Parties hereby agree as follows:</w:t>
      </w:r>
    </w:p>
    <w:p>
      <w:pPr>
        <w:spacing w:after="0" w:line="116" w:lineRule="exact"/>
        <w:rPr>
          <w:sz w:val="20"/>
          <w:szCs w:val="20"/>
          <w:color w:val="auto"/>
        </w:rPr>
      </w:pPr>
    </w:p>
    <w:p>
      <w:pPr>
        <w:ind w:left="660" w:hanging="328"/>
        <w:spacing w:after="0"/>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80" w:hanging="324"/>
        <w:spacing w:after="0" w:line="277" w:lineRule="auto"/>
        <w:tabs>
          <w:tab w:leader="none" w:pos="97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definition of the term “Closing Number of Securities” in Section 1.2 of the Agreement is hereby amended and restated in its entirety to read as follows:</w:t>
      </w:r>
    </w:p>
    <w:p>
      <w:pPr>
        <w:spacing w:after="0" w:line="116"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 “Closing Number of Securities” shall mean the aggregate number of shares of Parent Class A Stock to be issued at Closing to equityholders of the Company pursuant to Section 2.7 and Section 2.12.”</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Section 3.1(b) of the Agreement is hereby amended and restated to read in its entirety as follows:</w:t>
      </w:r>
    </w:p>
    <w:p>
      <w:pPr>
        <w:spacing w:after="0" w:line="171" w:lineRule="exact"/>
        <w:rPr>
          <w:sz w:val="20"/>
          <w:szCs w:val="20"/>
          <w:color w:val="auto"/>
        </w:rPr>
      </w:pPr>
    </w:p>
    <w:p>
      <w:pPr>
        <w:jc w:val="both"/>
        <w:ind w:left="1060"/>
        <w:spacing w:after="0" w:line="275" w:lineRule="auto"/>
        <w:rPr>
          <w:sz w:val="20"/>
          <w:szCs w:val="20"/>
          <w:color w:val="auto"/>
        </w:rPr>
      </w:pPr>
      <w:r>
        <w:rPr>
          <w:rFonts w:ascii="Arial" w:cs="Arial" w:eastAsia="Arial" w:hAnsi="Arial"/>
          <w:sz w:val="17"/>
          <w:szCs w:val="17"/>
          <w:color w:val="auto"/>
        </w:rPr>
        <w:t>“(b) Upon the last day of any calendar year,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Company Stockholders pursuant to Section 3.1(a) as a result of the occurrence of a Triggering Event had they not been made subject to an award of Earn-Out RSUs.”</w:t>
      </w:r>
    </w:p>
    <w:p>
      <w:pPr>
        <w:spacing w:after="0" w:line="122" w:lineRule="exact"/>
        <w:rPr>
          <w:sz w:val="20"/>
          <w:szCs w:val="20"/>
          <w:color w:val="auto"/>
        </w:rPr>
      </w:pPr>
    </w:p>
    <w:p>
      <w:pPr>
        <w:ind w:left="960" w:hanging="304"/>
        <w:spacing w:after="0"/>
        <w:tabs>
          <w:tab w:leader="none" w:pos="9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3.4 of the Agreement is hereby amended and restated to read in its entirety as follows:</w:t>
      </w:r>
    </w:p>
    <w:p>
      <w:pPr>
        <w:spacing w:after="0" w:line="171" w:lineRule="exact"/>
        <w:rPr>
          <w:sz w:val="20"/>
          <w:szCs w:val="20"/>
          <w:color w:val="auto"/>
        </w:rPr>
      </w:pPr>
    </w:p>
    <w:p>
      <w:pPr>
        <w:jc w:val="both"/>
        <w:ind w:left="1060"/>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Earn-Out Service Providers</w:t>
      </w:r>
      <w:r>
        <w:rPr>
          <w:rFonts w:ascii="Arial" w:cs="Arial" w:eastAsia="Arial" w:hAnsi="Arial"/>
          <w:sz w:val="17"/>
          <w:szCs w:val="17"/>
          <w:color w:val="auto"/>
        </w:rPr>
        <w:t>. Earn-Out Shares issuable upon the occurrence of a Triggering Event may be issued to Earn-Out Service Providers as described in this Section 3.4 rather than to Company Stockholders. The terms of the issuance of the Earn-Out Shares underlying an award of Earn-Out RSUs to the Earn-Out Service Providers shall be set forth in a written agreement between the Company and such Earn-Out Service Provider (each, an “Earn Out Award Agreement”), in a form reasonably acceptable to Parent, which may provide that the Earn-Out Shares that would otherwise become issuable to an Earn-Out Service Provider pursuant to Section 3.1(a) or 3.1(b)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“Earn-Out Forfeiture”), such Earn-Out Service Provider shall be deemed to have forfeited his or her right to receive the applicable Earn-Out Shares for no consideration. Any such Earn-Out Shares that are forfeited under the terms of an Earn-Out Award Agreement shall accumulate in the “Forfeiture Pool” until such time as they are issued in accordance with Section 3.1(b). For clarity, no shares of Parent Class A Common Stock shall be issuable pursuant to Section 3.1(b) other than Earn-Out Shares that have been included in the Forfeiture Pool and that become issuable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A-165</w:t>
      </w:r>
    </w:p>
    <w:p>
      <w:pPr>
        <w:sectPr>
          <w:pgSz w:w="11900" w:h="16838" w:orient="portrait"/>
          <w:cols w:equalWidth="0" w:num="1">
            <w:col w:w="11240"/>
          </w:cols>
          <w:pgMar w:left="320" w:top="1440" w:right="339" w:bottom="1440" w:gutter="0" w:footer="0" w:header="0"/>
        </w:sectPr>
      </w:pPr>
    </w:p>
    <w:bookmarkStart w:id="600" w:name="page601"/>
    <w:bookmarkEnd w:id="600"/>
    <w:p>
      <w:pPr>
        <w:spacing w:after="0" w:line="143" w:lineRule="exact"/>
        <w:rPr>
          <w:sz w:val="20"/>
          <w:szCs w:val="20"/>
          <w:color w:val="auto"/>
        </w:rPr>
      </w:pPr>
    </w:p>
    <w:p>
      <w:pPr>
        <w:ind w:left="728" w:right="20"/>
        <w:spacing w:after="0" w:line="277" w:lineRule="auto"/>
        <w:rPr>
          <w:sz w:val="20"/>
          <w:szCs w:val="20"/>
          <w:color w:val="auto"/>
        </w:rPr>
      </w:pPr>
      <w:r>
        <w:rPr>
          <w:rFonts w:ascii="Arial" w:cs="Arial" w:eastAsia="Arial" w:hAnsi="Arial"/>
          <w:sz w:val="18"/>
          <w:szCs w:val="18"/>
          <w:color w:val="auto"/>
        </w:rPr>
        <w:t>occurrence of a Triggering Event. The delivery of Earn-Out Shares underlying the Earn-Out RSUs shall be subject to the payment of any applicable Tax withholdings and compliance with any applicable requirements of the securities and other laws.”</w:t>
      </w:r>
    </w:p>
    <w:p>
      <w:pPr>
        <w:spacing w:after="0" w:line="116" w:lineRule="exact"/>
        <w:rPr>
          <w:sz w:val="20"/>
          <w:szCs w:val="20"/>
          <w:color w:val="auto"/>
        </w:rPr>
      </w:pPr>
    </w:p>
    <w:p>
      <w:pPr>
        <w:jc w:val="both"/>
        <w:ind w:left="328" w:hanging="328"/>
        <w:spacing w:after="0" w:line="263" w:lineRule="auto"/>
        <w:tabs>
          <w:tab w:leader="none" w:pos="32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Amendment. The parties acknowledge and agree that this Amendment does not require the further approval of the stockholders of the Company under the DGCL or other Applicable Legal Requirements. Except as expressly set forth in this Amendment, the Agreement shall continue in full force in all respects.</w:t>
      </w:r>
    </w:p>
    <w:p>
      <w:pPr>
        <w:spacing w:after="0" w:line="129"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Counterparts; Electronic Delivery. This Amendment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17"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Governing Law. This Amendment shall be governed by and construed in accordance with the internal law of the State of Delaware regardless of the law that might otherwise govern under applicable principles of conflicts of law thereof.</w:t>
      </w:r>
    </w:p>
    <w:p>
      <w:pPr>
        <w:spacing w:after="0" w:line="116" w:lineRule="exact"/>
        <w:rPr>
          <w:sz w:val="20"/>
          <w:szCs w:val="20"/>
          <w:color w:val="auto"/>
        </w:rPr>
      </w:pPr>
    </w:p>
    <w:p>
      <w:pPr>
        <w:jc w:val="center"/>
        <w:ind w:right="312"/>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A-166</w:t>
      </w:r>
    </w:p>
    <w:p>
      <w:pPr>
        <w:sectPr>
          <w:pgSz w:w="11900" w:h="16838" w:orient="portrait"/>
          <w:cols w:equalWidth="0" w:num="1">
            <w:col w:w="10908"/>
          </w:cols>
          <w:pgMar w:left="652" w:top="1440" w:right="339" w:bottom="1440" w:gutter="0" w:footer="0" w:header="0"/>
        </w:sectPr>
      </w:pPr>
    </w:p>
    <w:bookmarkStart w:id="601" w:name="page602"/>
    <w:bookmarkEnd w:id="60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duly executed, as of the date first above written.</w:t>
      </w:r>
    </w:p>
    <w:p>
      <w:pPr>
        <w:spacing w:after="0" w:line="200" w:lineRule="exact"/>
        <w:rPr>
          <w:sz w:val="20"/>
          <w:szCs w:val="20"/>
          <w:color w:val="auto"/>
        </w:rPr>
      </w:pPr>
    </w:p>
    <w:p>
      <w:pPr>
        <w:spacing w:after="0" w:line="282"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CM LIFE SCIENCES, INC.</w:t>
      </w:r>
    </w:p>
    <w:p>
      <w:pPr>
        <w:spacing w:after="0" w:line="17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37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14605</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Eric Schadt, PhD</w:t>
      </w:r>
    </w:p>
    <w:p>
      <w:pPr>
        <w:spacing w:after="0" w:line="23"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A-167</w:t>
      </w:r>
    </w:p>
    <w:p>
      <w:pPr>
        <w:sectPr>
          <w:pgSz w:w="11900" w:h="16838" w:orient="portrait"/>
          <w:cols w:equalWidth="0" w:num="1">
            <w:col w:w="10900"/>
          </w:cols>
          <w:pgMar w:left="660" w:top="1440" w:right="339" w:bottom="1440" w:gutter="0" w:footer="0" w:header="0"/>
        </w:sectPr>
      </w:pPr>
    </w:p>
    <w:bookmarkStart w:id="602" w:name="page603"/>
    <w:bookmarkEnd w:id="602"/>
    <w:p>
      <w:pPr>
        <w:spacing w:after="0" w:line="139"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ANNEX B</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the First Amendment and Restatement to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603" w:name="page604"/>
    <w:bookmarkEnd w:id="603"/>
    <w:p>
      <w:pPr>
        <w:spacing w:after="0" w:line="13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Sema4 Holdings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4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40" w:right="339" w:bottom="1440" w:gutter="0" w:footer="0" w:header="0"/>
        </w:sectPr>
      </w:pPr>
    </w:p>
    <w:bookmarkStart w:id="604" w:name="page605"/>
    <w:bookmarkEnd w:id="604"/>
    <w:p>
      <w:pPr>
        <w:spacing w:after="0" w:line="14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right="80" w:firstLine="332"/>
        <w:spacing w:after="0" w:line="294" w:lineRule="auto"/>
        <w:tabs>
          <w:tab w:leader="none" w:pos="639"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special rights of the holders of one or more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440" w:right="339" w:bottom="1440" w:gutter="0" w:footer="0" w:header="0"/>
        </w:sectPr>
      </w:pPr>
    </w:p>
    <w:bookmarkStart w:id="605" w:name="page606"/>
    <w:bookmarkEnd w:id="605"/>
    <w:p>
      <w:pPr>
        <w:spacing w:after="0" w:line="14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30" w:lineRule="exact"/>
        <w:rPr>
          <w:sz w:val="20"/>
          <w:szCs w:val="20"/>
          <w:color w:val="auto"/>
        </w:rPr>
      </w:pPr>
    </w:p>
    <w:p>
      <w:pPr>
        <w:jc w:val="both"/>
        <w:ind w:right="80" w:firstLine="332"/>
        <w:spacing w:after="0" w:line="253" w:lineRule="auto"/>
        <w:tabs>
          <w:tab w:leader="none" w:pos="720" w:val="left"/>
        </w:tabs>
        <w:numPr>
          <w:ilvl w:val="1"/>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right="80" w:firstLine="332"/>
        <w:spacing w:after="0" w:line="293" w:lineRule="auto"/>
        <w:tabs>
          <w:tab w:leader="none" w:pos="666" w:val="left"/>
        </w:tabs>
        <w:numPr>
          <w:ilvl w:val="1"/>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color w:val="auto"/>
        </w:rPr>
        <w:t>. Subject to the special rights of the holders of any series of Preferred Stock, any vacancy</w:t>
      </w:r>
      <w:r>
        <w:rPr>
          <w:rFonts w:ascii="Arial" w:cs="Arial" w:eastAsia="Arial" w:hAnsi="Arial"/>
          <w:sz w:val="16"/>
          <w:szCs w:val="16"/>
          <w:b w:val="1"/>
          <w:bCs w:val="1"/>
          <w:color w:val="auto"/>
        </w:rPr>
        <w:t xml:space="preserve"> </w:t>
      </w:r>
      <w:r>
        <w:rPr>
          <w:rFonts w:ascii="Arial" w:cs="Arial" w:eastAsia="Arial" w:hAnsi="Arial"/>
          <w:sz w:val="16"/>
          <w:szCs w:val="16"/>
          <w:color w:val="auto"/>
        </w:rPr>
        <w:t>occurring in the Board for any cause, and any newly created directorship resulting from any increase in the authorized number of directors, shall, unless</w:t>
      </w:r>
    </w:p>
    <w:p>
      <w:pPr>
        <w:spacing w:after="0" w:line="1" w:lineRule="exact"/>
        <w:rPr>
          <w:rFonts w:ascii="Arial" w:cs="Arial" w:eastAsia="Arial" w:hAnsi="Arial"/>
          <w:sz w:val="16"/>
          <w:szCs w:val="16"/>
          <w:b w:val="1"/>
          <w:bCs w:val="1"/>
          <w:color w:val="auto"/>
        </w:rPr>
      </w:pPr>
    </w:p>
    <w:p>
      <w:pPr>
        <w:jc w:val="both"/>
        <w:ind w:right="80" w:firstLine="8"/>
        <w:spacing w:after="0" w:line="271" w:lineRule="auto"/>
        <w:tabs>
          <w:tab w:leader="none" w:pos="269"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1"/>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unless the Bylaws shall so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440" w:right="339" w:bottom="1440" w:gutter="0" w:footer="0" w:header="0"/>
        </w:sectPr>
      </w:pPr>
    </w:p>
    <w:bookmarkStart w:id="606" w:name="page607"/>
    <w:bookmarkEnd w:id="606"/>
    <w:p>
      <w:pPr>
        <w:spacing w:after="0" w:line="139" w:lineRule="exact"/>
        <w:rPr>
          <w:sz w:val="20"/>
          <w:szCs w:val="20"/>
          <w:color w:val="auto"/>
        </w:rPr>
      </w:pPr>
    </w:p>
    <w:p>
      <w:pPr>
        <w:jc w:val="both"/>
        <w:ind w:firstLine="332"/>
        <w:spacing w:after="0" w:line="266" w:lineRule="auto"/>
        <w:tabs>
          <w:tab w:leader="none" w:pos="666"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provided, further,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440" w:right="3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February 9, 2021, by and between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the Issuer is concurrently with the execution and delivery hereof entering into that certain Agreement and Plan of Merger (as amended or modified,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capitalized terms used herein without definition shall have the meanings ascribed thereto in the Business Combination Agreement), by and among the Issuer,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Mount Sinai Genomics, Inc. (d/b/a Sema4) (together with its direct and indirect subsidiaries, “</w:t>
      </w:r>
      <w:r>
        <w:rPr>
          <w:rFonts w:ascii="Arial" w:cs="Arial" w:eastAsia="Arial" w:hAnsi="Arial"/>
          <w:sz w:val="17"/>
          <w:szCs w:val="17"/>
          <w:u w:val="single" w:color="auto"/>
          <w:color w:val="auto"/>
        </w:rPr>
        <w:t>Target</w:t>
      </w:r>
      <w:r>
        <w:rPr>
          <w:rFonts w:ascii="Arial" w:cs="Arial" w:eastAsia="Arial" w:hAnsi="Arial"/>
          <w:sz w:val="17"/>
          <w:szCs w:val="17"/>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as set forth on the signature page hereto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for a purchase price of $10.00 per share (the “</w:t>
      </w:r>
      <w:r>
        <w:rPr>
          <w:rFonts w:ascii="Arial" w:cs="Arial" w:eastAsia="Arial" w:hAnsi="Arial"/>
          <w:sz w:val="18"/>
          <w:szCs w:val="18"/>
          <w:u w:val="single" w:color="auto"/>
          <w:color w:val="auto"/>
        </w:rPr>
        <w:t>Per Share Price</w:t>
      </w:r>
      <w:r>
        <w:rPr>
          <w:rFonts w:ascii="Arial" w:cs="Arial" w:eastAsia="Arial" w:hAnsi="Arial"/>
          <w:sz w:val="18"/>
          <w:szCs w:val="18"/>
          <w:color w:val="auto"/>
        </w:rPr>
        <w:t>”) and an aggregate purchase price set forth on the signature page hereto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7"/>
          <w:szCs w:val="17"/>
          <w:u w:val="single" w:color="auto"/>
          <w:color w:val="auto"/>
        </w:rPr>
        <w:t>Other Subscriber</w:t>
      </w:r>
      <w:r>
        <w:rPr>
          <w:rFonts w:ascii="Arial" w:cs="Arial" w:eastAsia="Arial" w:hAnsi="Arial"/>
          <w:sz w:val="17"/>
          <w:szCs w:val="17"/>
          <w:color w:val="auto"/>
        </w:rPr>
        <w:t>”), have (severally and not jointly) entered into separate subscription agreements with the Issuer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pursuant to which such investors have agreed to purchase Class A Shares on the Closing Date (as defined below) at the Per Share Price (the “</w:t>
      </w:r>
      <w:r>
        <w:rPr>
          <w:rFonts w:ascii="Arial" w:cs="Arial" w:eastAsia="Arial" w:hAnsi="Arial"/>
          <w:sz w:val="17"/>
          <w:szCs w:val="17"/>
          <w:u w:val="single" w:color="auto"/>
          <w:color w:val="auto"/>
        </w:rPr>
        <w:t>Other Acquired Shares</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Class A Shares to be sold by Issuer pursuant to this Subscription Agreement and the Other Subscription Agreements equals 35 million Class A Shares; and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proceeds to the Issuer in connection with the purchase and sale of the Acquired Shares and the Other Acquired Shares equals $350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6" w:lineRule="exact"/>
        <w:rPr>
          <w:sz w:val="20"/>
          <w:szCs w:val="20"/>
          <w:color w:val="auto"/>
        </w:rPr>
      </w:pPr>
    </w:p>
    <w:p>
      <w:pPr>
        <w:ind w:firstLine="332"/>
        <w:spacing w:after="0" w:line="342" w:lineRule="auto"/>
        <w:tabs>
          <w:tab w:leader="none" w:pos="666"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89"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21" w:right="339" w:bottom="1440" w:gutter="0" w:footer="0" w:header="0"/>
        </w:sectPr>
      </w:pPr>
    </w:p>
    <w:bookmarkStart w:id="608" w:name="page609"/>
    <w:bookmarkEnd w:id="608"/>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Arial" w:cs="Arial" w:eastAsia="Arial" w:hAnsi="Arial"/>
          <w:sz w:val="16"/>
          <w:szCs w:val="16"/>
          <w:u w:val="single" w:color="auto"/>
          <w:color w:val="auto"/>
        </w:rPr>
        <w:t>Alternative Settlement Procedures</w:t>
      </w:r>
      <w:r>
        <w:rPr>
          <w:rFonts w:ascii="Arial" w:cs="Arial" w:eastAsia="Arial" w:hAnsi="Arial"/>
          <w:sz w:val="16"/>
          <w:szCs w:val="16"/>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17" w:lineRule="exact"/>
        <w:rPr>
          <w:sz w:val="20"/>
          <w:szCs w:val="20"/>
          <w:color w:val="auto"/>
        </w:rPr>
      </w:pPr>
    </w:p>
    <w:p>
      <w:pPr>
        <w:ind w:left="1360" w:hanging="380"/>
        <w:spacing w:after="0"/>
        <w:tabs>
          <w:tab w:leader="none" w:pos="136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 Date:</w:t>
      </w:r>
    </w:p>
    <w:p>
      <w:pPr>
        <w:spacing w:after="0" w:line="194" w:lineRule="exact"/>
        <w:rPr>
          <w:rFonts w:ascii="Arial" w:cs="Arial" w:eastAsia="Arial" w:hAnsi="Arial"/>
          <w:sz w:val="16"/>
          <w:szCs w:val="16"/>
          <w:color w:val="auto"/>
        </w:rPr>
      </w:pPr>
    </w:p>
    <w:p>
      <w:pPr>
        <w:jc w:val="both"/>
        <w:ind w:firstLine="1628"/>
        <w:spacing w:after="0" w:line="271" w:lineRule="auto"/>
        <w:tabs>
          <w:tab w:leader="none" w:pos="2055" w:val="left"/>
        </w:tabs>
        <w:numPr>
          <w:ilvl w:val="1"/>
          <w:numId w:val="451"/>
        </w:numPr>
        <w:rPr>
          <w:rFonts w:ascii="Arial" w:cs="Arial" w:eastAsia="Arial" w:hAnsi="Arial"/>
          <w:sz w:val="17"/>
          <w:szCs w:val="17"/>
          <w:color w:val="auto"/>
        </w:rPr>
      </w:pPr>
      <w:r>
        <w:rPr>
          <w:rFonts w:ascii="Arial" w:cs="Arial" w:eastAsia="Arial" w:hAnsi="Arial"/>
          <w:sz w:val="17"/>
          <w:szCs w:val="17"/>
          <w:color w:val="auto"/>
        </w:rPr>
        <w:t xml:space="preserve">solely with respect to Subscriber, the representations and warranties made by the Issuer (other than the representations and warranties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124" w:lineRule="exact"/>
        <w:rPr>
          <w:rFonts w:ascii="Arial" w:cs="Arial" w:eastAsia="Arial" w:hAnsi="Arial"/>
          <w:sz w:val="17"/>
          <w:szCs w:val="17"/>
          <w:color w:val="auto"/>
        </w:rPr>
      </w:pPr>
    </w:p>
    <w:p>
      <w:pPr>
        <w:jc w:val="both"/>
        <w:ind w:firstLine="1628"/>
        <w:spacing w:after="0" w:line="257" w:lineRule="auto"/>
        <w:tabs>
          <w:tab w:leader="none" w:pos="2089" w:val="left"/>
        </w:tabs>
        <w:numPr>
          <w:ilvl w:val="1"/>
          <w:numId w:val="451"/>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33" w:lineRule="exact"/>
        <w:rPr>
          <w:rFonts w:ascii="Arial" w:cs="Arial" w:eastAsia="Arial" w:hAnsi="Arial"/>
          <w:sz w:val="18"/>
          <w:szCs w:val="18"/>
          <w:color w:val="auto"/>
        </w:rPr>
      </w:pPr>
    </w:p>
    <w:p>
      <w:pPr>
        <w:ind w:left="2180" w:hanging="552"/>
        <w:spacing w:after="0"/>
        <w:tabs>
          <w:tab w:leader="none" w:pos="218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solely with respect to the Issuer, Subscriber shall have delivered the Purchase Price in compliance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Subscription Agreement;</w:t>
      </w:r>
    </w:p>
    <w:p>
      <w:pPr>
        <w:spacing w:after="0" w:line="156" w:lineRule="exact"/>
        <w:rPr>
          <w:rFonts w:ascii="Arial" w:cs="Arial" w:eastAsia="Arial" w:hAnsi="Arial"/>
          <w:sz w:val="17"/>
          <w:szCs w:val="17"/>
          <w:color w:val="auto"/>
        </w:rPr>
      </w:pPr>
    </w:p>
    <w:p>
      <w:pPr>
        <w:jc w:val="both"/>
        <w:ind w:firstLine="1628"/>
        <w:spacing w:after="0" w:line="286" w:lineRule="auto"/>
        <w:tabs>
          <w:tab w:leader="none" w:pos="2144" w:val="left"/>
        </w:tabs>
        <w:numPr>
          <w:ilvl w:val="1"/>
          <w:numId w:val="451"/>
        </w:numPr>
        <w:rPr>
          <w:rFonts w:ascii="Arial" w:cs="Arial" w:eastAsia="Arial" w:hAnsi="Arial"/>
          <w:sz w:val="17"/>
          <w:szCs w:val="17"/>
          <w:color w:val="auto"/>
        </w:rPr>
      </w:pPr>
      <w:r>
        <w:rPr>
          <w:rFonts w:ascii="Arial" w:cs="Arial" w:eastAsia="Arial" w:hAnsi="Arial"/>
          <w:sz w:val="17"/>
          <w:szCs w:val="17"/>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44" w:lineRule="exact"/>
        <w:rPr>
          <w:sz w:val="20"/>
          <w:szCs w:val="20"/>
          <w:color w:val="auto"/>
        </w:rPr>
      </w:pPr>
    </w:p>
    <w:p>
      <w:pPr>
        <w:jc w:val="both"/>
        <w:ind w:firstLine="1628"/>
        <w:spacing w:after="0" w:line="263" w:lineRule="auto"/>
        <w:tabs>
          <w:tab w:leader="none" w:pos="2115" w:val="left"/>
        </w:tabs>
        <w:numPr>
          <w:ilvl w:val="2"/>
          <w:numId w:val="452"/>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and no initiation or threatening of any proceedings for any of such purposes or delisting, shall have occurred;</w:t>
      </w:r>
    </w:p>
    <w:p>
      <w:pPr>
        <w:spacing w:after="0" w:line="129" w:lineRule="exact"/>
        <w:rPr>
          <w:rFonts w:ascii="Arial" w:cs="Arial" w:eastAsia="Arial" w:hAnsi="Arial"/>
          <w:sz w:val="18"/>
          <w:szCs w:val="18"/>
          <w:color w:val="auto"/>
        </w:rPr>
      </w:pPr>
    </w:p>
    <w:p>
      <w:pPr>
        <w:ind w:left="2180" w:hanging="552"/>
        <w:spacing w:after="0"/>
        <w:tabs>
          <w:tab w:leader="none" w:pos="2180" w:val="left"/>
        </w:tabs>
        <w:numPr>
          <w:ilvl w:val="2"/>
          <w:numId w:val="452"/>
        </w:numPr>
        <w:rPr>
          <w:rFonts w:ascii="Arial" w:cs="Arial" w:eastAsia="Arial" w:hAnsi="Arial"/>
          <w:sz w:val="17"/>
          <w:szCs w:val="17"/>
          <w:color w:val="auto"/>
        </w:rPr>
      </w:pPr>
      <w:r>
        <w:rPr>
          <w:rFonts w:ascii="Arial" w:cs="Arial" w:eastAsia="Arial" w:hAnsi="Arial"/>
          <w:sz w:val="17"/>
          <w:szCs w:val="17"/>
          <w:color w:val="auto"/>
        </w:rPr>
        <w:t>the Issuer’s stockholders shall have approved the issuance of the Acquired Shares and Other Acquired Shares as and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Nasdaq rules;</w:t>
      </w:r>
    </w:p>
    <w:p>
      <w:pPr>
        <w:spacing w:after="0" w:line="156" w:lineRule="exact"/>
        <w:rPr>
          <w:rFonts w:ascii="Arial" w:cs="Arial" w:eastAsia="Arial" w:hAnsi="Arial"/>
          <w:sz w:val="17"/>
          <w:szCs w:val="17"/>
          <w:color w:val="auto"/>
        </w:rPr>
      </w:pPr>
    </w:p>
    <w:p>
      <w:pPr>
        <w:ind w:right="20" w:firstLine="1628"/>
        <w:spacing w:after="0" w:line="277" w:lineRule="auto"/>
        <w:tabs>
          <w:tab w:leader="none" w:pos="2159" w:val="left"/>
        </w:tabs>
        <w:numPr>
          <w:ilvl w:val="2"/>
          <w:numId w:val="452"/>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16" w:lineRule="exact"/>
        <w:rPr>
          <w:rFonts w:ascii="Arial" w:cs="Arial" w:eastAsia="Arial" w:hAnsi="Arial"/>
          <w:sz w:val="18"/>
          <w:szCs w:val="18"/>
          <w:color w:val="auto"/>
        </w:rPr>
      </w:pPr>
    </w:p>
    <w:p>
      <w:pPr>
        <w:jc w:val="both"/>
        <w:ind w:firstLine="1628"/>
        <w:spacing w:after="0" w:line="301" w:lineRule="auto"/>
        <w:tabs>
          <w:tab w:leader="none" w:pos="2179" w:val="left"/>
        </w:tabs>
        <w:numPr>
          <w:ilvl w:val="2"/>
          <w:numId w:val="452"/>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03" w:lineRule="exact"/>
        <w:rPr>
          <w:rFonts w:ascii="Arial" w:cs="Arial" w:eastAsia="Arial" w:hAnsi="Arial"/>
          <w:sz w:val="16"/>
          <w:szCs w:val="16"/>
          <w:color w:val="auto"/>
        </w:rPr>
      </w:pPr>
    </w:p>
    <w:p>
      <w:pPr>
        <w:ind w:right="20" w:firstLine="1628"/>
        <w:spacing w:after="0" w:line="342" w:lineRule="auto"/>
        <w:tabs>
          <w:tab w:leader="none" w:pos="2104" w:val="left"/>
        </w:tabs>
        <w:numPr>
          <w:ilvl w:val="2"/>
          <w:numId w:val="452"/>
        </w:numPr>
        <w:rPr>
          <w:rFonts w:ascii="Arial" w:cs="Arial" w:eastAsia="Arial" w:hAnsi="Arial"/>
          <w:sz w:val="16"/>
          <w:szCs w:val="16"/>
          <w:color w:val="auto"/>
        </w:rPr>
      </w:pPr>
      <w:r>
        <w:rPr>
          <w:rFonts w:ascii="Arial" w:cs="Arial" w:eastAsia="Arial" w:hAnsi="Arial"/>
          <w:sz w:val="16"/>
          <w:szCs w:val="16"/>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69" w:lineRule="exact"/>
        <w:rPr>
          <w:rFonts w:ascii="Arial" w:cs="Arial" w:eastAsia="Arial" w:hAnsi="Arial"/>
          <w:sz w:val="16"/>
          <w:szCs w:val="16"/>
          <w:color w:val="auto"/>
        </w:rPr>
      </w:pPr>
    </w:p>
    <w:p>
      <w:pPr>
        <w:ind w:right="20" w:firstLine="980"/>
        <w:spacing w:after="0" w:line="277" w:lineRule="auto"/>
        <w:tabs>
          <w:tab w:leader="none" w:pos="141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01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32" w:lineRule="exact"/>
        <w:rPr>
          <w:rFonts w:ascii="Arial" w:cs="Arial" w:eastAsia="Arial" w:hAnsi="Arial"/>
          <w:sz w:val="18"/>
          <w:szCs w:val="18"/>
          <w:color w:val="auto"/>
        </w:rPr>
      </w:pPr>
    </w:p>
    <w:p>
      <w:pPr>
        <w:ind w:firstLine="1628"/>
        <w:spacing w:after="0" w:line="277" w:lineRule="auto"/>
        <w:tabs>
          <w:tab w:leader="none" w:pos="2038" w:val="left"/>
        </w:tabs>
        <w:numPr>
          <w:ilvl w:val="2"/>
          <w:numId w:val="453"/>
        </w:numPr>
        <w:rPr>
          <w:rFonts w:ascii="Arial" w:cs="Arial" w:eastAsia="Arial" w:hAnsi="Arial"/>
          <w:sz w:val="18"/>
          <w:szCs w:val="18"/>
          <w:color w:val="auto"/>
        </w:rPr>
      </w:pPr>
      <w:r>
        <w:rPr>
          <w:rFonts w:ascii="Arial" w:cs="Arial" w:eastAsia="Arial" w:hAnsi="Arial"/>
          <w:sz w:val="18"/>
          <w:szCs w:val="18"/>
          <w:color w:val="auto"/>
        </w:rPr>
        <w:t>since the date of this Subscription Agreement and as of the Closing Date, there has been no Company Material Adverse Effect (as such term is defined in the Business Combination Agreement)</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247" w:val="left"/>
        </w:tabs>
        <w:numPr>
          <w:ilvl w:val="2"/>
          <w:numId w:val="453"/>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8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2" w:lineRule="exact"/>
        <w:rPr>
          <w:rFonts w:ascii="Arial" w:cs="Arial" w:eastAsia="Arial" w:hAnsi="Arial"/>
          <w:sz w:val="18"/>
          <w:szCs w:val="18"/>
          <w:color w:val="auto"/>
        </w:rPr>
      </w:pPr>
    </w:p>
    <w:p>
      <w:pPr>
        <w:ind w:left="640" w:hanging="308"/>
        <w:spacing w:after="0"/>
        <w:tabs>
          <w:tab w:leader="none" w:pos="64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368" w:val="left"/>
        </w:tabs>
        <w:numPr>
          <w:ilvl w:val="1"/>
          <w:numId w:val="454"/>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76" w:val="left"/>
        </w:tabs>
        <w:numPr>
          <w:ilvl w:val="1"/>
          <w:numId w:val="454"/>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30" w:lineRule="exact"/>
        <w:rPr>
          <w:sz w:val="20"/>
          <w:szCs w:val="20"/>
          <w:color w:val="auto"/>
        </w:rPr>
      </w:pPr>
    </w:p>
    <w:p>
      <w:pPr>
        <w:jc w:val="both"/>
        <w:ind w:firstLine="980"/>
        <w:spacing w:after="0" w:line="275" w:lineRule="auto"/>
        <w:tabs>
          <w:tab w:leader="none" w:pos="1536" w:val="left"/>
        </w:tabs>
        <w:numPr>
          <w:ilvl w:val="1"/>
          <w:numId w:val="455"/>
        </w:numPr>
        <w:rPr>
          <w:rFonts w:ascii="Arial" w:cs="Arial" w:eastAsia="Arial" w:hAnsi="Arial"/>
          <w:sz w:val="17"/>
          <w:szCs w:val="17"/>
          <w:color w:val="auto"/>
        </w:rPr>
      </w:pPr>
      <w:r>
        <w:rPr>
          <w:rFonts w:ascii="Arial" w:cs="Arial" w:eastAsia="Arial" w:hAnsi="Arial"/>
          <w:sz w:val="17"/>
          <w:szCs w:val="17"/>
          <w:color w:val="auto"/>
        </w:rPr>
        <w:t>This Subscription Agreement, the Business Combination Agreement and the Other Subscription Agreements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22" w:lineRule="exact"/>
        <w:rPr>
          <w:rFonts w:ascii="Arial" w:cs="Arial" w:eastAsia="Arial" w:hAnsi="Arial"/>
          <w:sz w:val="17"/>
          <w:szCs w:val="17"/>
          <w:color w:val="auto"/>
        </w:rPr>
      </w:pPr>
    </w:p>
    <w:p>
      <w:pPr>
        <w:jc w:val="both"/>
        <w:ind w:firstLine="980"/>
        <w:spacing w:after="0" w:line="286" w:lineRule="auto"/>
        <w:tabs>
          <w:tab w:leader="none" w:pos="139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119" w:lineRule="exact"/>
        <w:rPr>
          <w:rFonts w:ascii="Arial" w:cs="Arial" w:eastAsia="Arial" w:hAnsi="Arial"/>
          <w:sz w:val="16"/>
          <w:szCs w:val="16"/>
          <w:color w:val="auto"/>
        </w:rPr>
      </w:pPr>
    </w:p>
    <w:p>
      <w:pPr>
        <w:jc w:val="both"/>
        <w:ind w:firstLine="980"/>
        <w:spacing w:after="0" w:line="301" w:lineRule="auto"/>
        <w:tabs>
          <w:tab w:leader="none" w:pos="135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Arial" w:cs="Arial" w:eastAsia="Arial" w:hAnsi="Arial"/>
          <w:sz w:val="16"/>
          <w:szCs w:val="16"/>
          <w:u w:val="single" w:color="auto"/>
          <w:color w:val="auto"/>
        </w:rPr>
        <w:t>Class B Shares</w:t>
      </w:r>
      <w:r>
        <w:rPr>
          <w:rFonts w:ascii="Arial" w:cs="Arial" w:eastAsia="Arial" w:hAnsi="Arial"/>
          <w:sz w:val="16"/>
          <w:szCs w:val="16"/>
          <w:color w:val="auto"/>
        </w:rPr>
        <w:t>”), pursuant to the terms of the Issuer’s certificate of incorporation.</w:t>
      </w:r>
    </w:p>
    <w:p>
      <w:pPr>
        <w:spacing w:after="0" w:line="103" w:lineRule="exact"/>
        <w:rPr>
          <w:rFonts w:ascii="Arial" w:cs="Arial" w:eastAsia="Arial" w:hAnsi="Arial"/>
          <w:sz w:val="16"/>
          <w:szCs w:val="16"/>
          <w:color w:val="auto"/>
        </w:rPr>
      </w:pPr>
    </w:p>
    <w:p>
      <w:pPr>
        <w:jc w:val="both"/>
        <w:ind w:firstLine="980"/>
        <w:spacing w:after="0" w:line="285" w:lineRule="auto"/>
        <w:tabs>
          <w:tab w:leader="none" w:pos="1373"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1" w:lineRule="exact"/>
        <w:rPr>
          <w:rFonts w:ascii="Arial" w:cs="Arial" w:eastAsia="Arial" w:hAnsi="Arial"/>
          <w:sz w:val="16"/>
          <w:szCs w:val="16"/>
          <w:color w:val="auto"/>
        </w:rPr>
      </w:pPr>
    </w:p>
    <w:p>
      <w:pPr>
        <w:ind w:right="20" w:firstLine="8"/>
        <w:spacing w:after="0" w:line="260" w:lineRule="auto"/>
        <w:tabs>
          <w:tab w:leader="none" w:pos="26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and (iii), for defaults or violations that have not had and would not reasonably be expected to have, individually or in the aggregate, a Material Adverse Effect.</w:t>
      </w:r>
    </w:p>
    <w:p>
      <w:pPr>
        <w:spacing w:after="0" w:line="131" w:lineRule="exact"/>
        <w:rPr>
          <w:rFonts w:ascii="Arial" w:cs="Arial" w:eastAsia="Arial" w:hAnsi="Arial"/>
          <w:sz w:val="18"/>
          <w:szCs w:val="18"/>
          <w:color w:val="auto"/>
        </w:rPr>
      </w:pPr>
    </w:p>
    <w:p>
      <w:pPr>
        <w:jc w:val="both"/>
        <w:ind w:firstLine="980"/>
        <w:spacing w:after="0" w:line="293" w:lineRule="auto"/>
        <w:tabs>
          <w:tab w:leader="none" w:pos="138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130" w:lineRule="exact"/>
        <w:rPr>
          <w:sz w:val="20"/>
          <w:szCs w:val="20"/>
          <w:color w:val="auto"/>
        </w:rPr>
      </w:pPr>
    </w:p>
    <w:p>
      <w:pPr>
        <w:jc w:val="both"/>
        <w:ind w:firstLine="980"/>
        <w:spacing w:after="0" w:line="286" w:lineRule="auto"/>
        <w:tabs>
          <w:tab w:leader="none" w:pos="1366"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As of the date of this Subscription Agreement and as of immediately prior to the Closing Date,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400,000,000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13" w:lineRule="exact"/>
        <w:rPr>
          <w:rFonts w:ascii="Arial" w:cs="Arial" w:eastAsia="Arial" w:hAnsi="Arial"/>
          <w:sz w:val="16"/>
          <w:szCs w:val="16"/>
          <w:color w:val="auto"/>
        </w:rPr>
      </w:pPr>
    </w:p>
    <w:p>
      <w:pPr>
        <w:jc w:val="both"/>
        <w:ind w:firstLine="980"/>
        <w:spacing w:after="0" w:line="263" w:lineRule="auto"/>
        <w:tabs>
          <w:tab w:leader="none" w:pos="137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29" w:lineRule="exact"/>
        <w:rPr>
          <w:rFonts w:ascii="Arial" w:cs="Arial" w:eastAsia="Arial" w:hAnsi="Arial"/>
          <w:sz w:val="18"/>
          <w:szCs w:val="18"/>
          <w:color w:val="auto"/>
        </w:rPr>
      </w:pPr>
    </w:p>
    <w:p>
      <w:pPr>
        <w:jc w:val="both"/>
        <w:ind w:firstLine="980"/>
        <w:spacing w:after="0" w:line="254" w:lineRule="auto"/>
        <w:tabs>
          <w:tab w:leader="none" w:pos="133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issued and outstanding Class A Shares are registered pursuant to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37" w:lineRule="exact"/>
        <w:rPr>
          <w:rFonts w:ascii="Arial" w:cs="Arial" w:eastAsia="Arial" w:hAnsi="Arial"/>
          <w:sz w:val="18"/>
          <w:szCs w:val="18"/>
          <w:color w:val="auto"/>
        </w:rPr>
      </w:pPr>
    </w:p>
    <w:p>
      <w:pPr>
        <w:jc w:val="both"/>
        <w:ind w:firstLine="980"/>
        <w:spacing w:after="0" w:line="273" w:lineRule="auto"/>
        <w:tabs>
          <w:tab w:leader="none" w:pos="137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3" w:lineRule="exact"/>
        <w:rPr>
          <w:rFonts w:ascii="Arial" w:cs="Arial" w:eastAsia="Arial" w:hAnsi="Arial"/>
          <w:sz w:val="17"/>
          <w:szCs w:val="17"/>
          <w:color w:val="auto"/>
        </w:rPr>
      </w:pPr>
    </w:p>
    <w:p>
      <w:pPr>
        <w:jc w:val="both"/>
        <w:ind w:firstLine="980"/>
        <w:spacing w:after="0" w:line="311" w:lineRule="auto"/>
        <w:tabs>
          <w:tab w:leader="none" w:pos="1339"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when filed complied in all material respects with the requirements of the Securities Act and the Exchange Act and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320" w:top="1440" w:right="339" w:bottom="1440" w:gutter="0" w:footer="0" w:header="0"/>
        </w:sectPr>
      </w:pPr>
    </w:p>
    <w:bookmarkStart w:id="612" w:name="page613"/>
    <w:bookmarkEnd w:id="612"/>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28" w:lineRule="exact"/>
        <w:rPr>
          <w:sz w:val="20"/>
          <w:szCs w:val="20"/>
          <w:color w:val="auto"/>
        </w:rPr>
      </w:pPr>
    </w:p>
    <w:p>
      <w:pPr>
        <w:jc w:val="both"/>
        <w:ind w:firstLine="980"/>
        <w:spacing w:after="0" w:line="259" w:lineRule="auto"/>
        <w:tabs>
          <w:tab w:leader="none" w:pos="147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9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37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32" w:lineRule="exact"/>
        <w:rPr>
          <w:rFonts w:ascii="Arial" w:cs="Arial" w:eastAsia="Arial" w:hAnsi="Arial"/>
          <w:sz w:val="18"/>
          <w:szCs w:val="18"/>
          <w:color w:val="auto"/>
        </w:rPr>
      </w:pPr>
    </w:p>
    <w:p>
      <w:pPr>
        <w:jc w:val="both"/>
        <w:ind w:firstLine="980"/>
        <w:spacing w:after="0" w:line="254" w:lineRule="auto"/>
        <w:tabs>
          <w:tab w:leader="none" w:pos="145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40"/>
          </w:cols>
          <w:pgMar w:left="320" w:top="1440" w:right="339" w:bottom="1440" w:gutter="0" w:footer="0" w:header="0"/>
        </w:sectPr>
      </w:pPr>
    </w:p>
    <w:bookmarkStart w:id="613" w:name="page614"/>
    <w:bookmarkEnd w:id="613"/>
    <w:p>
      <w:pPr>
        <w:spacing w:after="0" w:line="144" w:lineRule="exact"/>
        <w:rPr>
          <w:sz w:val="20"/>
          <w:szCs w:val="20"/>
          <w:color w:val="auto"/>
        </w:rPr>
      </w:pPr>
    </w:p>
    <w:p>
      <w:pPr>
        <w:ind w:firstLine="980"/>
        <w:spacing w:after="0" w:line="277" w:lineRule="auto"/>
        <w:tabs>
          <w:tab w:leader="none" w:pos="134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16" w:lineRule="exact"/>
        <w:rPr>
          <w:rFonts w:ascii="Arial" w:cs="Arial" w:eastAsia="Arial" w:hAnsi="Arial"/>
          <w:sz w:val="18"/>
          <w:szCs w:val="18"/>
          <w:color w:val="auto"/>
        </w:rPr>
      </w:pPr>
    </w:p>
    <w:p>
      <w:pPr>
        <w:jc w:val="both"/>
        <w:ind w:firstLine="980"/>
        <w:spacing w:after="0" w:line="290" w:lineRule="auto"/>
        <w:tabs>
          <w:tab w:leader="none" w:pos="1367"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any applicable laws relating to corruption and bribery, including the U.S. Foreign Corrupt Practices Act of 1977 (as amended), the UK Bribery Act 2010, and any similar law that prohibits bribery or corruption.</w:t>
      </w:r>
    </w:p>
    <w:p>
      <w:pPr>
        <w:spacing w:after="0" w:line="111" w:lineRule="exact"/>
        <w:rPr>
          <w:rFonts w:ascii="Arial" w:cs="Arial" w:eastAsia="Arial" w:hAnsi="Arial"/>
          <w:sz w:val="16"/>
          <w:szCs w:val="16"/>
          <w:color w:val="auto"/>
        </w:rPr>
      </w:pPr>
    </w:p>
    <w:p>
      <w:pPr>
        <w:jc w:val="both"/>
        <w:ind w:firstLine="980"/>
        <w:spacing w:after="0" w:line="263" w:lineRule="auto"/>
        <w:tabs>
          <w:tab w:leader="none" w:pos="1373"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29" w:lineRule="exact"/>
        <w:rPr>
          <w:rFonts w:ascii="Arial" w:cs="Arial" w:eastAsia="Arial" w:hAnsi="Arial"/>
          <w:sz w:val="18"/>
          <w:szCs w:val="18"/>
          <w:color w:val="auto"/>
        </w:rPr>
      </w:pPr>
    </w:p>
    <w:p>
      <w:pPr>
        <w:jc w:val="both"/>
        <w:ind w:firstLine="980"/>
        <w:spacing w:after="0" w:line="311" w:lineRule="auto"/>
        <w:tabs>
          <w:tab w:leader="none" w:pos="1402"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391" w:val="left"/>
        </w:tabs>
        <w:numPr>
          <w:ilvl w:val="1"/>
          <w:numId w:val="459"/>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71" w:lineRule="exact"/>
        <w:rPr>
          <w:rFonts w:ascii="Arial" w:cs="Arial" w:eastAsia="Arial" w:hAnsi="Arial"/>
          <w:sz w:val="18"/>
          <w:szCs w:val="18"/>
          <w:color w:val="auto"/>
        </w:rPr>
      </w:pPr>
    </w:p>
    <w:p>
      <w:pPr>
        <w:jc w:val="both"/>
        <w:ind w:firstLine="980"/>
        <w:spacing w:after="0" w:line="311" w:lineRule="auto"/>
        <w:tabs>
          <w:tab w:leader="none" w:pos="1352" w:val="left"/>
        </w:tabs>
        <w:numPr>
          <w:ilvl w:val="1"/>
          <w:numId w:val="460"/>
        </w:numPr>
        <w:rPr>
          <w:rFonts w:ascii="Arial" w:cs="Arial" w:eastAsia="Arial" w:hAnsi="Arial"/>
          <w:sz w:val="16"/>
          <w:szCs w:val="16"/>
          <w:color w:val="auto"/>
        </w:rPr>
      </w:pPr>
      <w:r>
        <w:rPr>
          <w:rFonts w:ascii="Arial" w:cs="Arial" w:eastAsia="Arial" w:hAnsi="Arial"/>
          <w:sz w:val="16"/>
          <w:szCs w:val="16"/>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453"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33" w:lineRule="exact"/>
        <w:rPr>
          <w:rFonts w:ascii="Arial" w:cs="Arial" w:eastAsia="Arial" w:hAnsi="Arial"/>
          <w:sz w:val="18"/>
          <w:szCs w:val="18"/>
          <w:color w:val="auto"/>
        </w:rPr>
      </w:pPr>
    </w:p>
    <w:p>
      <w:pPr>
        <w:jc w:val="both"/>
        <w:ind w:firstLine="980"/>
        <w:spacing w:after="0" w:line="275" w:lineRule="auto"/>
        <w:tabs>
          <w:tab w:leader="none" w:pos="1362" w:val="left"/>
        </w:tabs>
        <w:numPr>
          <w:ilvl w:val="1"/>
          <w:numId w:val="460"/>
        </w:numPr>
        <w:rPr>
          <w:rFonts w:ascii="Arial" w:cs="Arial" w:eastAsia="Arial" w:hAnsi="Arial"/>
          <w:sz w:val="17"/>
          <w:szCs w:val="17"/>
          <w:color w:val="auto"/>
        </w:rPr>
      </w:pPr>
      <w:r>
        <w:rPr>
          <w:rFonts w:ascii="Arial" w:cs="Arial" w:eastAsia="Arial" w:hAnsi="Arial"/>
          <w:sz w:val="17"/>
          <w:szCs w:val="17"/>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40"/>
          </w:cols>
          <w:pgMar w:left="320" w:top="1440" w:right="339" w:bottom="1440" w:gutter="0" w:footer="0" w:header="0"/>
        </w:sectPr>
      </w:pPr>
    </w:p>
    <w:bookmarkStart w:id="614" w:name="page615"/>
    <w:bookmarkEnd w:id="614"/>
    <w:p>
      <w:pPr>
        <w:spacing w:after="0" w:line="145" w:lineRule="exact"/>
        <w:rPr>
          <w:sz w:val="20"/>
          <w:szCs w:val="20"/>
          <w:color w:val="auto"/>
        </w:rPr>
      </w:pPr>
    </w:p>
    <w:p>
      <w:pPr>
        <w:jc w:val="both"/>
        <w:ind w:firstLine="980"/>
        <w:spacing w:after="0" w:line="289" w:lineRule="auto"/>
        <w:tabs>
          <w:tab w:leader="none" w:pos="1372"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2" w:lineRule="exact"/>
        <w:rPr>
          <w:rFonts w:ascii="Arial" w:cs="Arial" w:eastAsia="Arial" w:hAnsi="Arial"/>
          <w:sz w:val="16"/>
          <w:szCs w:val="16"/>
          <w:color w:val="auto"/>
        </w:rPr>
      </w:pPr>
    </w:p>
    <w:p>
      <w:pPr>
        <w:jc w:val="both"/>
        <w:ind w:firstLine="980"/>
        <w:spacing w:after="0" w:line="269" w:lineRule="auto"/>
        <w:tabs>
          <w:tab w:leader="none" w:pos="1443" w:val="left"/>
        </w:tabs>
        <w:numPr>
          <w:ilvl w:val="0"/>
          <w:numId w:val="461"/>
        </w:numPr>
        <w:rPr>
          <w:rFonts w:ascii="Arial" w:cs="Arial" w:eastAsia="Arial" w:hAnsi="Arial"/>
          <w:sz w:val="17"/>
          <w:szCs w:val="17"/>
          <w:color w:val="auto"/>
        </w:rPr>
      </w:pPr>
      <w:r>
        <w:rPr>
          <w:rFonts w:ascii="Arial" w:cs="Arial" w:eastAsia="Arial" w:hAnsi="Arial"/>
          <w:sz w:val="17"/>
          <w:szCs w:val="17"/>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31" w:lineRule="exact"/>
        <w:rPr>
          <w:rFonts w:ascii="Arial" w:cs="Arial" w:eastAsia="Arial" w:hAnsi="Arial"/>
          <w:sz w:val="17"/>
          <w:szCs w:val="17"/>
          <w:color w:val="auto"/>
        </w:rPr>
      </w:pPr>
    </w:p>
    <w:p>
      <w:pPr>
        <w:jc w:val="both"/>
        <w:ind w:firstLine="980"/>
        <w:spacing w:after="0" w:line="285" w:lineRule="auto"/>
        <w:tabs>
          <w:tab w:leader="none" w:pos="1353" w:val="left"/>
        </w:tabs>
        <w:numPr>
          <w:ilvl w:val="0"/>
          <w:numId w:val="461"/>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40"/>
          </w:cols>
          <w:pgMar w:left="320" w:top="1440" w:right="339" w:bottom="1440" w:gutter="0" w:footer="0" w:header="0"/>
        </w:sectPr>
      </w:pPr>
    </w:p>
    <w:bookmarkStart w:id="615" w:name="page616"/>
    <w:bookmarkEnd w:id="615"/>
    <w:p>
      <w:pPr>
        <w:spacing w:after="0" w:line="144" w:lineRule="exact"/>
        <w:rPr>
          <w:sz w:val="20"/>
          <w:szCs w:val="20"/>
          <w:color w:val="auto"/>
        </w:rPr>
      </w:pPr>
    </w:p>
    <w:p>
      <w:pPr>
        <w:jc w:val="both"/>
        <w:ind w:firstLine="980"/>
        <w:spacing w:after="0" w:line="279" w:lineRule="auto"/>
        <w:tabs>
          <w:tab w:leader="none" w:pos="1489" w:val="left"/>
        </w:tabs>
        <w:numPr>
          <w:ilvl w:val="0"/>
          <w:numId w:val="462"/>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6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29" w:lineRule="exact"/>
        <w:rPr>
          <w:rFonts w:ascii="Arial" w:cs="Arial" w:eastAsia="Arial" w:hAnsi="Arial"/>
          <w:sz w:val="18"/>
          <w:szCs w:val="18"/>
          <w:color w:val="auto"/>
        </w:rPr>
      </w:pPr>
    </w:p>
    <w:p>
      <w:pPr>
        <w:jc w:val="both"/>
        <w:ind w:firstLine="980"/>
        <w:spacing w:after="0" w:line="267" w:lineRule="auto"/>
        <w:tabs>
          <w:tab w:leader="none" w:pos="135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Issuer.</w:t>
      </w:r>
    </w:p>
    <w:p>
      <w:pPr>
        <w:spacing w:after="0" w:line="137" w:lineRule="exact"/>
        <w:rPr>
          <w:rFonts w:ascii="Arial" w:cs="Arial" w:eastAsia="Arial" w:hAnsi="Arial"/>
          <w:sz w:val="17"/>
          <w:szCs w:val="17"/>
          <w:color w:val="auto"/>
        </w:rPr>
      </w:pPr>
    </w:p>
    <w:p>
      <w:pPr>
        <w:jc w:val="both"/>
        <w:ind w:firstLine="980"/>
        <w:spacing w:after="0" w:line="301" w:lineRule="auto"/>
        <w:tabs>
          <w:tab w:leader="none" w:pos="134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Subscriber became aware of this offering of the Acquired Shares solely by means of direct contact between Subscriber and the Issuer or by means of contact from Jefferies LLC acting as placement agent for the Issuer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03" w:lineRule="exact"/>
        <w:rPr>
          <w:rFonts w:ascii="Arial" w:cs="Arial" w:eastAsia="Arial" w:hAnsi="Arial"/>
          <w:sz w:val="16"/>
          <w:szCs w:val="16"/>
          <w:color w:val="auto"/>
        </w:rPr>
      </w:pPr>
    </w:p>
    <w:p>
      <w:pPr>
        <w:jc w:val="both"/>
        <w:ind w:firstLine="980"/>
        <w:spacing w:after="0" w:line="263" w:lineRule="auto"/>
        <w:tabs>
          <w:tab w:leader="none" w:pos="152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29" w:lineRule="exact"/>
        <w:rPr>
          <w:rFonts w:ascii="Arial" w:cs="Arial" w:eastAsia="Arial" w:hAnsi="Arial"/>
          <w:sz w:val="18"/>
          <w:szCs w:val="18"/>
          <w:color w:val="auto"/>
        </w:rPr>
      </w:pPr>
    </w:p>
    <w:p>
      <w:pPr>
        <w:jc w:val="both"/>
        <w:ind w:firstLine="980"/>
        <w:spacing w:after="0" w:line="257" w:lineRule="auto"/>
        <w:tabs>
          <w:tab w:leader="none" w:pos="135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40"/>
          </w:cols>
          <w:pgMar w:left="320" w:top="1440" w:right="339" w:bottom="1440" w:gutter="0" w:footer="0" w:header="0"/>
        </w:sectPr>
      </w:pPr>
    </w:p>
    <w:bookmarkStart w:id="616" w:name="page617"/>
    <w:bookmarkEnd w:id="616"/>
    <w:p>
      <w:pPr>
        <w:spacing w:after="0" w:line="145" w:lineRule="exact"/>
        <w:rPr>
          <w:sz w:val="20"/>
          <w:szCs w:val="20"/>
          <w:color w:val="auto"/>
        </w:rPr>
      </w:pPr>
    </w:p>
    <w:p>
      <w:pPr>
        <w:jc w:val="both"/>
        <w:ind w:firstLine="980"/>
        <w:spacing w:after="0" w:line="259" w:lineRule="auto"/>
        <w:tabs>
          <w:tab w:leader="none" w:pos="1457" w:val="left"/>
        </w:tabs>
        <w:numPr>
          <w:ilvl w:val="2"/>
          <w:numId w:val="463"/>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32" w:lineRule="exact"/>
        <w:rPr>
          <w:rFonts w:ascii="Arial" w:cs="Arial" w:eastAsia="Arial" w:hAnsi="Arial"/>
          <w:sz w:val="18"/>
          <w:szCs w:val="18"/>
          <w:color w:val="auto"/>
        </w:rPr>
      </w:pPr>
    </w:p>
    <w:p>
      <w:pPr>
        <w:ind w:firstLine="980"/>
        <w:spacing w:after="0" w:line="277" w:lineRule="auto"/>
        <w:tabs>
          <w:tab w:leader="none" w:pos="137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16" w:lineRule="exact"/>
        <w:rPr>
          <w:rFonts w:ascii="Arial" w:cs="Arial" w:eastAsia="Arial" w:hAnsi="Arial"/>
          <w:sz w:val="18"/>
          <w:szCs w:val="18"/>
          <w:color w:val="auto"/>
        </w:rPr>
      </w:pPr>
    </w:p>
    <w:p>
      <w:pPr>
        <w:jc w:val="both"/>
        <w:ind w:firstLine="980"/>
        <w:spacing w:after="0" w:line="268" w:lineRule="auto"/>
        <w:tabs>
          <w:tab w:leader="none" w:pos="1381" w:val="left"/>
        </w:tabs>
        <w:numPr>
          <w:ilvl w:val="2"/>
          <w:numId w:val="463"/>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27" w:lineRule="exact"/>
        <w:rPr>
          <w:rFonts w:ascii="Arial" w:cs="Arial" w:eastAsia="Arial" w:hAnsi="Arial"/>
          <w:sz w:val="17"/>
          <w:szCs w:val="17"/>
          <w:color w:val="auto"/>
        </w:rPr>
      </w:pPr>
    </w:p>
    <w:p>
      <w:pPr>
        <w:jc w:val="both"/>
        <w:ind w:firstLine="980"/>
        <w:spacing w:after="0" w:line="291" w:lineRule="auto"/>
        <w:tabs>
          <w:tab w:leader="none" w:pos="1443" w:val="left"/>
        </w:tabs>
        <w:numPr>
          <w:ilvl w:val="2"/>
          <w:numId w:val="463"/>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w:t>
      </w:r>
    </w:p>
    <w:p>
      <w:pPr>
        <w:jc w:val="both"/>
        <w:ind w:firstLine="8"/>
        <w:spacing w:after="0" w:line="268" w:lineRule="auto"/>
        <w:tabs>
          <w:tab w:leader="none" w:pos="331"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an entity whose underlying assets are considered to include "plan assets" of any such plan, account or arrangement described in clauses (i) 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27" w:lineRule="exact"/>
        <w:rPr>
          <w:rFonts w:ascii="Arial" w:cs="Arial" w:eastAsia="Arial" w:hAnsi="Arial"/>
          <w:sz w:val="17"/>
          <w:szCs w:val="17"/>
          <w:color w:val="auto"/>
        </w:rPr>
      </w:pPr>
    </w:p>
    <w:p>
      <w:pPr>
        <w:ind w:left="1360" w:hanging="380"/>
        <w:spacing w:after="0"/>
        <w:tabs>
          <w:tab w:leader="none" w:pos="1360" w:val="left"/>
        </w:tabs>
        <w:numPr>
          <w:ilvl w:val="2"/>
          <w:numId w:val="464"/>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40" w:hanging="308"/>
        <w:spacing w:after="0"/>
        <w:tabs>
          <w:tab w:leader="none" w:pos="640" w:val="left"/>
        </w:tabs>
        <w:numPr>
          <w:ilvl w:val="1"/>
          <w:numId w:val="46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14" w:val="left"/>
        </w:tabs>
        <w:numPr>
          <w:ilvl w:val="2"/>
          <w:numId w:val="465"/>
        </w:numPr>
        <w:rPr>
          <w:rFonts w:ascii="Arial" w:cs="Arial" w:eastAsia="Arial" w:hAnsi="Arial"/>
          <w:sz w:val="18"/>
          <w:szCs w:val="18"/>
          <w:color w:val="auto"/>
        </w:rPr>
      </w:pPr>
      <w:r>
        <w:rPr>
          <w:rFonts w:ascii="Arial" w:cs="Arial" w:eastAsia="Arial" w:hAnsi="Arial"/>
          <w:sz w:val="18"/>
          <w:szCs w:val="18"/>
          <w:color w:val="auto"/>
        </w:rPr>
        <w:t>The Issuer agrees that, as soon as practicable, but in no event later than thirty (30) calendar days after the Closing Date (the “</w:t>
      </w:r>
      <w:r>
        <w:rPr>
          <w:rFonts w:ascii="Arial" w:cs="Arial" w:eastAsia="Arial" w:hAnsi="Arial"/>
          <w:sz w:val="18"/>
          <w:szCs w:val="18"/>
          <w:u w:val="single" w:color="auto"/>
          <w:color w:val="auto"/>
        </w:rPr>
        <w:t>Filing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will file with the Commission (at the Issuer’s sole cost and expense) a registration statement registering the resale of the Acquired Shares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Issuer shall use its commercially reasonable efforts to cause the Registration Statement to be declared effective as soon as practicable after the filing thereof, but no later than the earlier of (i) the 60th calendar day (or 100th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Commission is closed for operations due to a government shutdown, the Effectiveness Date shall be extended by the same amount of days that the Commission remains closed for operations,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w:t>
      </w:r>
    </w:p>
    <w:p>
      <w:pPr>
        <w:spacing w:after="0" w:line="8" w:lineRule="exact"/>
        <w:rPr>
          <w:sz w:val="20"/>
          <w:szCs w:val="20"/>
          <w:color w:val="auto"/>
        </w:rPr>
      </w:pPr>
    </w:p>
    <w:p>
      <w:pPr>
        <w:jc w:val="both"/>
        <w:ind w:firstLine="8"/>
        <w:spacing w:after="0" w:line="253" w:lineRule="auto"/>
        <w:tabs>
          <w:tab w:leader="none" w:pos="29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45" w:lineRule="exact"/>
        <w:rPr>
          <w:sz w:val="20"/>
          <w:szCs w:val="20"/>
          <w:color w:val="auto"/>
        </w:rPr>
      </w:pPr>
    </w:p>
    <w:p>
      <w:pPr>
        <w:jc w:val="both"/>
        <w:ind w:firstLine="980"/>
        <w:spacing w:after="0" w:line="263" w:lineRule="auto"/>
        <w:tabs>
          <w:tab w:leader="none" w:pos="136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29" w:lineRule="exact"/>
        <w:rPr>
          <w:rFonts w:ascii="Arial" w:cs="Arial" w:eastAsia="Arial" w:hAnsi="Arial"/>
          <w:sz w:val="18"/>
          <w:szCs w:val="18"/>
          <w:color w:val="auto"/>
        </w:rPr>
      </w:pPr>
    </w:p>
    <w:p>
      <w:pPr>
        <w:jc w:val="both"/>
        <w:ind w:firstLine="1628"/>
        <w:spacing w:after="0" w:line="301" w:lineRule="auto"/>
        <w:tabs>
          <w:tab w:leader="none" w:pos="2017" w:val="left"/>
        </w:tabs>
        <w:numPr>
          <w:ilvl w:val="1"/>
          <w:numId w:val="467"/>
        </w:numPr>
        <w:rPr>
          <w:rFonts w:ascii="Arial" w:cs="Arial" w:eastAsia="Arial" w:hAnsi="Arial"/>
          <w:sz w:val="16"/>
          <w:szCs w:val="16"/>
          <w:color w:val="auto"/>
        </w:rPr>
      </w:pPr>
      <w:r>
        <w:rPr>
          <w:rFonts w:ascii="Arial" w:cs="Arial" w:eastAsia="Arial" w:hAnsi="Arial"/>
          <w:sz w:val="16"/>
          <w:szCs w:val="16"/>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3" w:lineRule="exact"/>
        <w:rPr>
          <w:rFonts w:ascii="Arial" w:cs="Arial" w:eastAsia="Arial" w:hAnsi="Arial"/>
          <w:sz w:val="16"/>
          <w:szCs w:val="16"/>
          <w:color w:val="auto"/>
        </w:rPr>
      </w:pPr>
    </w:p>
    <w:p>
      <w:pPr>
        <w:ind w:left="2020" w:hanging="392"/>
        <w:spacing w:after="0"/>
        <w:tabs>
          <w:tab w:leader="none" w:pos="2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three (3) business days:</w:t>
      </w:r>
    </w:p>
    <w:p>
      <w:pPr>
        <w:spacing w:after="0" w:line="171" w:lineRule="exact"/>
        <w:rPr>
          <w:rFonts w:ascii="Arial" w:cs="Arial" w:eastAsia="Arial" w:hAnsi="Arial"/>
          <w:sz w:val="18"/>
          <w:szCs w:val="18"/>
          <w:color w:val="auto"/>
        </w:rPr>
      </w:pPr>
    </w:p>
    <w:p>
      <w:pPr>
        <w:ind w:left="1300" w:right="20" w:firstLine="976"/>
        <w:spacing w:after="0" w:line="277" w:lineRule="auto"/>
        <w:tabs>
          <w:tab w:leader="none" w:pos="2799" w:val="left"/>
        </w:tabs>
        <w:numPr>
          <w:ilvl w:val="2"/>
          <w:numId w:val="467"/>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1300" w:firstLine="976"/>
        <w:spacing w:after="0" w:line="277" w:lineRule="auto"/>
        <w:tabs>
          <w:tab w:leader="none" w:pos="2669" w:val="left"/>
        </w:tabs>
        <w:numPr>
          <w:ilvl w:val="2"/>
          <w:numId w:val="467"/>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1300" w:firstLine="976"/>
        <w:spacing w:after="0" w:line="308" w:lineRule="auto"/>
        <w:tabs>
          <w:tab w:leader="none" w:pos="2746" w:val="left"/>
        </w:tabs>
        <w:numPr>
          <w:ilvl w:val="2"/>
          <w:numId w:val="467"/>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92" w:lineRule="exact"/>
        <w:rPr>
          <w:rFonts w:ascii="Arial" w:cs="Arial" w:eastAsia="Arial" w:hAnsi="Arial"/>
          <w:sz w:val="17"/>
          <w:szCs w:val="17"/>
          <w:color w:val="auto"/>
        </w:rPr>
      </w:pPr>
    </w:p>
    <w:p>
      <w:pPr>
        <w:jc w:val="both"/>
        <w:ind w:left="1300" w:firstLine="976"/>
        <w:spacing w:after="0" w:line="279" w:lineRule="auto"/>
        <w:tabs>
          <w:tab w:leader="none" w:pos="2711" w:val="left"/>
        </w:tabs>
        <w:numPr>
          <w:ilvl w:val="2"/>
          <w:numId w:val="467"/>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w:t>
      </w:r>
    </w:p>
    <w:p>
      <w:pPr>
        <w:ind w:left="260" w:hanging="252"/>
        <w:spacing w:after="0"/>
        <w:tabs>
          <w:tab w:leader="none" w:pos="2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through (4) above may constitute material, nonpublic information regarding the Issuer;</w:t>
      </w:r>
    </w:p>
    <w:p>
      <w:pPr>
        <w:spacing w:after="0" w:line="156" w:lineRule="exact"/>
        <w:rPr>
          <w:rFonts w:ascii="Arial" w:cs="Arial" w:eastAsia="Arial" w:hAnsi="Arial"/>
          <w:sz w:val="18"/>
          <w:szCs w:val="18"/>
          <w:color w:val="auto"/>
        </w:rPr>
      </w:pPr>
    </w:p>
    <w:p>
      <w:pPr>
        <w:ind w:firstLine="1628"/>
        <w:spacing w:after="0" w:line="277" w:lineRule="auto"/>
        <w:tabs>
          <w:tab w:leader="none" w:pos="2088" w:val="left"/>
        </w:tabs>
        <w:numPr>
          <w:ilvl w:val="1"/>
          <w:numId w:val="468"/>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1628"/>
        <w:spacing w:after="0" w:line="255" w:lineRule="auto"/>
        <w:tabs>
          <w:tab w:leader="none" w:pos="2195"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rFonts w:ascii="Arial" w:cs="Arial" w:eastAsia="Arial" w:hAnsi="Arial"/>
          <w:sz w:val="18"/>
          <w:szCs w:val="18"/>
          <w:color w:val="auto"/>
        </w:rPr>
      </w:pPr>
    </w:p>
    <w:p>
      <w:pPr>
        <w:ind w:firstLine="1628"/>
        <w:spacing w:after="0" w:line="277" w:lineRule="auto"/>
        <w:tabs>
          <w:tab w:leader="none" w:pos="203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16" w:lineRule="exact"/>
        <w:rPr>
          <w:rFonts w:ascii="Arial" w:cs="Arial" w:eastAsia="Arial" w:hAnsi="Arial"/>
          <w:sz w:val="18"/>
          <w:szCs w:val="18"/>
          <w:color w:val="auto"/>
        </w:rPr>
      </w:pPr>
    </w:p>
    <w:p>
      <w:pPr>
        <w:ind w:right="20" w:firstLine="1628"/>
        <w:spacing w:after="0" w:line="277" w:lineRule="auto"/>
        <w:tabs>
          <w:tab w:leader="none" w:pos="2182"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44" w:lineRule="exact"/>
        <w:rPr>
          <w:sz w:val="20"/>
          <w:szCs w:val="20"/>
          <w:color w:val="auto"/>
        </w:rPr>
      </w:pPr>
    </w:p>
    <w:p>
      <w:pPr>
        <w:ind w:firstLine="1628"/>
        <w:spacing w:after="0" w:line="342" w:lineRule="auto"/>
        <w:tabs>
          <w:tab w:leader="none" w:pos="2149" w:val="left"/>
        </w:tabs>
        <w:numPr>
          <w:ilvl w:val="1"/>
          <w:numId w:val="469"/>
        </w:numPr>
        <w:rPr>
          <w:rFonts w:ascii="Arial" w:cs="Arial" w:eastAsia="Arial" w:hAnsi="Arial"/>
          <w:sz w:val="16"/>
          <w:szCs w:val="16"/>
          <w:color w:val="auto"/>
        </w:rPr>
      </w:pPr>
      <w:r>
        <w:rPr>
          <w:rFonts w:ascii="Arial" w:cs="Arial" w:eastAsia="Arial" w:hAnsi="Arial"/>
          <w:sz w:val="16"/>
          <w:szCs w:val="16"/>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69" w:lineRule="exact"/>
        <w:rPr>
          <w:rFonts w:ascii="Arial" w:cs="Arial" w:eastAsia="Arial" w:hAnsi="Arial"/>
          <w:sz w:val="16"/>
          <w:szCs w:val="16"/>
          <w:color w:val="auto"/>
        </w:rPr>
      </w:pPr>
    </w:p>
    <w:p>
      <w:pPr>
        <w:jc w:val="both"/>
        <w:ind w:firstLine="980"/>
        <w:spacing w:after="0" w:line="284" w:lineRule="auto"/>
        <w:tabs>
          <w:tab w:leader="none" w:pos="1381" w:val="left"/>
        </w:tabs>
        <w:numPr>
          <w:ilvl w:val="0"/>
          <w:numId w:val="47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25" w:lineRule="exact"/>
        <w:rPr>
          <w:rFonts w:ascii="Arial" w:cs="Arial" w:eastAsia="Arial" w:hAnsi="Arial"/>
          <w:sz w:val="16"/>
          <w:szCs w:val="16"/>
          <w:color w:val="auto"/>
        </w:rPr>
      </w:pPr>
    </w:p>
    <w:p>
      <w:pPr>
        <w:jc w:val="both"/>
        <w:ind w:firstLine="980"/>
        <w:spacing w:after="0" w:line="253" w:lineRule="auto"/>
        <w:tabs>
          <w:tab w:leader="none" w:pos="137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Subscriber may deliver written notice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Issuer requesting that Subscriber not receive notices from the Issuer otherwise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5(d)</w:t>
      </w:r>
      <w:r>
        <w:rPr>
          <w:rFonts w:ascii="Arial" w:cs="Arial" w:eastAsia="Arial" w:hAnsi="Arial"/>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42" w:lineRule="exact"/>
        <w:rPr>
          <w:rFonts w:ascii="Arial" w:cs="Arial" w:eastAsia="Arial" w:hAnsi="Arial"/>
          <w:sz w:val="18"/>
          <w:szCs w:val="18"/>
          <w:color w:val="auto"/>
        </w:rPr>
      </w:pPr>
    </w:p>
    <w:p>
      <w:pPr>
        <w:ind w:left="1360" w:hanging="380"/>
        <w:spacing w:after="0"/>
        <w:tabs>
          <w:tab w:leader="none" w:pos="1360"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628"/>
        <w:spacing w:after="0" w:line="255" w:lineRule="auto"/>
        <w:tabs>
          <w:tab w:leader="none" w:pos="2021"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 of or are caused by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indemnification contained in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28" w:lineRule="exact"/>
        <w:rPr>
          <w:sz w:val="20"/>
          <w:szCs w:val="20"/>
          <w:color w:val="auto"/>
        </w:rPr>
      </w:pPr>
    </w:p>
    <w:p>
      <w:pPr>
        <w:jc w:val="both"/>
        <w:ind w:firstLine="1628"/>
        <w:spacing w:after="0" w:line="269" w:lineRule="auto"/>
        <w:tabs>
          <w:tab w:leader="none" w:pos="2087" w:val="left"/>
        </w:tabs>
        <w:numPr>
          <w:ilvl w:val="0"/>
          <w:numId w:val="471"/>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24" w:lineRule="exact"/>
        <w:rPr>
          <w:rFonts w:ascii="Arial" w:cs="Arial" w:eastAsia="Arial" w:hAnsi="Arial"/>
          <w:sz w:val="17"/>
          <w:szCs w:val="17"/>
          <w:color w:val="auto"/>
        </w:rPr>
      </w:pPr>
    </w:p>
    <w:p>
      <w:pPr>
        <w:jc w:val="both"/>
        <w:ind w:firstLine="1628"/>
        <w:spacing w:after="0" w:line="269" w:lineRule="auto"/>
        <w:tabs>
          <w:tab w:leader="none" w:pos="2076"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(1) give prompt written notice to the indemnifying party of any claim with respect to which it seeks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27" w:lineRule="exact"/>
        <w:rPr>
          <w:rFonts w:ascii="Arial" w:cs="Arial" w:eastAsia="Arial" w:hAnsi="Arial"/>
          <w:sz w:val="17"/>
          <w:szCs w:val="17"/>
          <w:color w:val="auto"/>
        </w:rPr>
      </w:pPr>
    </w:p>
    <w:p>
      <w:pPr>
        <w:jc w:val="both"/>
        <w:ind w:firstLine="1628"/>
        <w:spacing w:after="0" w:line="263" w:lineRule="auto"/>
        <w:tabs>
          <w:tab w:leader="none" w:pos="217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29" w:lineRule="exact"/>
        <w:rPr>
          <w:rFonts w:ascii="Arial" w:cs="Arial" w:eastAsia="Arial" w:hAnsi="Arial"/>
          <w:sz w:val="18"/>
          <w:szCs w:val="18"/>
          <w:color w:val="auto"/>
        </w:rPr>
      </w:pPr>
    </w:p>
    <w:p>
      <w:pPr>
        <w:jc w:val="both"/>
        <w:ind w:firstLine="1628"/>
        <w:spacing w:after="0" w:line="263" w:lineRule="auto"/>
        <w:tabs>
          <w:tab w:leader="none" w:pos="211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If the indemnification provided under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Sections 5(e)(i)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5(e)(iii)</w:t>
      </w:r>
      <w:r>
        <w:rPr>
          <w:rFonts w:ascii="Arial" w:cs="Arial" w:eastAsia="Arial" w:hAnsi="Arial"/>
          <w:sz w:val="17"/>
          <w:szCs w:val="17"/>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5(e)(v)</w:t>
      </w:r>
      <w:r>
        <w:rPr>
          <w:rFonts w:ascii="Arial" w:cs="Arial" w:eastAsia="Arial" w:hAnsi="Arial"/>
          <w:sz w:val="17"/>
          <w:szCs w:val="17"/>
          <w:color w:val="auto"/>
        </w:rPr>
        <w:t xml:space="preserve"> from any person who was not guilty of such fraudulent misrepresentation.</w:t>
      </w:r>
    </w:p>
    <w:p>
      <w:pPr>
        <w:spacing w:after="0" w:line="131" w:lineRule="exact"/>
        <w:rPr>
          <w:sz w:val="20"/>
          <w:szCs w:val="20"/>
          <w:color w:val="auto"/>
        </w:rPr>
      </w:pPr>
    </w:p>
    <w:p>
      <w:pPr>
        <w:jc w:val="both"/>
        <w:ind w:firstLine="332"/>
        <w:spacing w:after="0" w:line="268" w:lineRule="auto"/>
        <w:tabs>
          <w:tab w:leader="none" w:pos="679"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on or prior to the earlier of the Closing Date or November 9, 2021 (the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30" w:lineRule="exact"/>
        <w:rPr>
          <w:rFonts w:ascii="Arial" w:cs="Arial" w:eastAsia="Arial" w:hAnsi="Arial"/>
          <w:sz w:val="17"/>
          <w:szCs w:val="17"/>
          <w:color w:val="auto"/>
        </w:rPr>
      </w:pPr>
    </w:p>
    <w:p>
      <w:pPr>
        <w:ind w:left="640" w:hanging="308"/>
        <w:spacing w:after="0"/>
        <w:tabs>
          <w:tab w:leader="none" w:pos="64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Additional Agreements and Waivers of Subscriber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8" w:lineRule="auto"/>
        <w:tabs>
          <w:tab w:leader="none" w:pos="1405" w:val="left"/>
        </w:tabs>
        <w:numPr>
          <w:ilvl w:val="1"/>
          <w:numId w:val="472"/>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Arial" w:cs="Arial" w:eastAsia="Arial" w:hAnsi="Arial"/>
          <w:sz w:val="17"/>
          <w:szCs w:val="17"/>
          <w:u w:val="single" w:color="auto"/>
          <w:color w:val="auto"/>
        </w:rPr>
        <w:t>September 1, 2020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limit any Subscriber’s right, title, interest or claim to the Trust Account by virtue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34" w:lineRule="exact"/>
        <w:rPr>
          <w:sz w:val="20"/>
          <w:szCs w:val="20"/>
          <w:color w:val="auto"/>
        </w:rPr>
      </w:pPr>
    </w:p>
    <w:p>
      <w:pPr>
        <w:jc w:val="both"/>
        <w:ind w:firstLine="980"/>
        <w:spacing w:after="0" w:line="285" w:lineRule="auto"/>
        <w:tabs>
          <w:tab w:leader="none" w:pos="1362"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No Hedging</w:t>
      </w:r>
      <w:r>
        <w:rPr>
          <w:rFonts w:ascii="Arial" w:cs="Arial" w:eastAsia="Arial" w:hAnsi="Arial"/>
          <w:sz w:val="16"/>
          <w:szCs w:val="16"/>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119" w:lineRule="exact"/>
        <w:rPr>
          <w:rFonts w:ascii="Arial" w:cs="Arial" w:eastAsia="Arial" w:hAnsi="Arial"/>
          <w:sz w:val="16"/>
          <w:szCs w:val="16"/>
          <w:color w:val="auto"/>
        </w:rPr>
      </w:pPr>
    </w:p>
    <w:p>
      <w:pPr>
        <w:ind w:left="640" w:hanging="308"/>
        <w:spacing w:after="0"/>
        <w:tabs>
          <w:tab w:leader="none" w:pos="6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980"/>
        <w:spacing w:after="0" w:line="263" w:lineRule="auto"/>
        <w:tabs>
          <w:tab w:leader="none" w:pos="139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98" w:val="left"/>
        </w:tabs>
        <w:numPr>
          <w:ilvl w:val="1"/>
          <w:numId w:val="474"/>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2"/>
          <w:numId w:val="47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71" w:lineRule="exact"/>
        <w:rPr>
          <w:rFonts w:ascii="Arial" w:cs="Arial" w:eastAsia="Arial" w:hAnsi="Arial"/>
          <w:sz w:val="18"/>
          <w:szCs w:val="18"/>
          <w:color w:val="auto"/>
        </w:rPr>
      </w:pPr>
    </w:p>
    <w:p>
      <w:pPr>
        <w:jc w:val="both"/>
        <w:ind w:firstLine="1628"/>
        <w:spacing w:after="0" w:line="263" w:lineRule="auto"/>
        <w:tabs>
          <w:tab w:leader="none" w:pos="2020" w:val="left"/>
        </w:tabs>
        <w:numPr>
          <w:ilvl w:val="2"/>
          <w:numId w:val="474"/>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29" w:lineRule="exact"/>
        <w:rPr>
          <w:rFonts w:ascii="Arial" w:cs="Arial" w:eastAsia="Arial" w:hAnsi="Arial"/>
          <w:sz w:val="18"/>
          <w:szCs w:val="18"/>
          <w:color w:val="auto"/>
        </w:rPr>
      </w:pPr>
    </w:p>
    <w:p>
      <w:pPr>
        <w:jc w:val="both"/>
        <w:ind w:firstLine="1628"/>
        <w:spacing w:after="0" w:line="257" w:lineRule="auto"/>
        <w:tabs>
          <w:tab w:leader="none" w:pos="2087" w:val="left"/>
        </w:tabs>
        <w:numPr>
          <w:ilvl w:val="2"/>
          <w:numId w:val="474"/>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4" w:lineRule="exact"/>
        <w:rPr>
          <w:sz w:val="20"/>
          <w:szCs w:val="20"/>
          <w:color w:val="auto"/>
        </w:rPr>
      </w:pPr>
    </w:p>
    <w:p>
      <w:pPr>
        <w:jc w:val="both"/>
        <w:ind w:firstLine="980"/>
        <w:spacing w:after="0" w:line="285" w:lineRule="auto"/>
        <w:tabs>
          <w:tab w:leader="none" w:pos="1408" w:val="left"/>
        </w:tabs>
        <w:numPr>
          <w:ilvl w:val="1"/>
          <w:numId w:val="475"/>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22" w:lineRule="exact"/>
        <w:rPr>
          <w:rFonts w:ascii="Arial" w:cs="Arial" w:eastAsia="Arial" w:hAnsi="Arial"/>
          <w:sz w:val="16"/>
          <w:szCs w:val="16"/>
          <w:color w:val="auto"/>
        </w:rPr>
      </w:pPr>
    </w:p>
    <w:p>
      <w:pPr>
        <w:ind w:left="640" w:hanging="308"/>
        <w:spacing w:after="0"/>
        <w:tabs>
          <w:tab w:leader="none" w:pos="640"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568"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33" w:lineRule="exact"/>
        <w:rPr>
          <w:rFonts w:ascii="Arial" w:cs="Arial" w:eastAsia="Arial" w:hAnsi="Arial"/>
          <w:sz w:val="18"/>
          <w:szCs w:val="18"/>
          <w:color w:val="auto"/>
        </w:rPr>
      </w:pPr>
    </w:p>
    <w:p>
      <w:pPr>
        <w:jc w:val="both"/>
        <w:ind w:firstLine="980"/>
        <w:spacing w:after="0" w:line="259" w:lineRule="auto"/>
        <w:tabs>
          <w:tab w:leader="none" w:pos="143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32" w:lineRule="exact"/>
        <w:rPr>
          <w:rFonts w:ascii="Arial" w:cs="Arial" w:eastAsia="Arial" w:hAnsi="Arial"/>
          <w:sz w:val="18"/>
          <w:szCs w:val="18"/>
          <w:color w:val="auto"/>
        </w:rPr>
      </w:pPr>
    </w:p>
    <w:p>
      <w:pPr>
        <w:jc w:val="both"/>
        <w:ind w:firstLine="980"/>
        <w:spacing w:after="0" w:line="290" w:lineRule="auto"/>
        <w:tabs>
          <w:tab w:leader="none" w:pos="1402" w:val="left"/>
        </w:tabs>
        <w:numPr>
          <w:ilvl w:val="1"/>
          <w:numId w:val="476"/>
        </w:numPr>
        <w:rPr>
          <w:rFonts w:ascii="Arial" w:cs="Arial" w:eastAsia="Arial" w:hAnsi="Arial"/>
          <w:sz w:val="16"/>
          <w:szCs w:val="16"/>
          <w:color w:val="auto"/>
        </w:rPr>
      </w:pPr>
      <w:r>
        <w:rPr>
          <w:rFonts w:ascii="Arial" w:cs="Arial" w:eastAsia="Arial" w:hAnsi="Arial"/>
          <w:sz w:val="16"/>
          <w:szCs w:val="16"/>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11" w:lineRule="exact"/>
        <w:rPr>
          <w:rFonts w:ascii="Arial" w:cs="Arial" w:eastAsia="Arial" w:hAnsi="Arial"/>
          <w:sz w:val="16"/>
          <w:szCs w:val="16"/>
          <w:color w:val="auto"/>
        </w:rPr>
      </w:pPr>
    </w:p>
    <w:p>
      <w:pPr>
        <w:ind w:firstLine="980"/>
        <w:spacing w:after="0" w:line="308" w:lineRule="auto"/>
        <w:tabs>
          <w:tab w:leader="none" w:pos="1352" w:val="left"/>
        </w:tabs>
        <w:numPr>
          <w:ilvl w:val="1"/>
          <w:numId w:val="476"/>
        </w:numPr>
        <w:rPr>
          <w:rFonts w:ascii="Arial" w:cs="Arial" w:eastAsia="Arial" w:hAnsi="Arial"/>
          <w:sz w:val="17"/>
          <w:szCs w:val="17"/>
          <w:color w:val="auto"/>
        </w:rPr>
      </w:pPr>
      <w:r>
        <w:rPr>
          <w:rFonts w:ascii="Arial" w:cs="Arial" w:eastAsia="Arial" w:hAnsi="Arial"/>
          <w:sz w:val="17"/>
          <w:szCs w:val="17"/>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92" w:lineRule="exact"/>
        <w:rPr>
          <w:rFonts w:ascii="Arial" w:cs="Arial" w:eastAsia="Arial" w:hAnsi="Arial"/>
          <w:sz w:val="17"/>
          <w:szCs w:val="17"/>
          <w:color w:val="auto"/>
        </w:rPr>
      </w:pPr>
    </w:p>
    <w:p>
      <w:pPr>
        <w:ind w:firstLine="980"/>
        <w:spacing w:after="0" w:line="277" w:lineRule="auto"/>
        <w:tabs>
          <w:tab w:leader="none" w:pos="145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34" w:lineRule="exact"/>
        <w:rPr>
          <w:sz w:val="20"/>
          <w:szCs w:val="20"/>
          <w:color w:val="auto"/>
        </w:rPr>
      </w:pPr>
    </w:p>
    <w:p>
      <w:pPr>
        <w:jc w:val="both"/>
        <w:ind w:firstLine="980"/>
        <w:spacing w:after="0" w:line="263" w:lineRule="auto"/>
        <w:tabs>
          <w:tab w:leader="none" w:pos="133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29" w:lineRule="exact"/>
        <w:rPr>
          <w:rFonts w:ascii="Arial" w:cs="Arial" w:eastAsia="Arial" w:hAnsi="Arial"/>
          <w:sz w:val="18"/>
          <w:szCs w:val="18"/>
          <w:color w:val="auto"/>
        </w:rPr>
      </w:pPr>
    </w:p>
    <w:p>
      <w:pPr>
        <w:ind w:firstLine="980"/>
        <w:spacing w:after="0" w:line="308" w:lineRule="auto"/>
        <w:tabs>
          <w:tab w:leader="none" w:pos="1364" w:val="left"/>
        </w:tabs>
        <w:numPr>
          <w:ilvl w:val="0"/>
          <w:numId w:val="477"/>
        </w:numPr>
        <w:rPr>
          <w:rFonts w:ascii="Arial" w:cs="Arial" w:eastAsia="Arial" w:hAnsi="Arial"/>
          <w:sz w:val="17"/>
          <w:szCs w:val="17"/>
          <w:color w:val="auto"/>
        </w:rPr>
      </w:pPr>
      <w:r>
        <w:rPr>
          <w:rFonts w:ascii="Arial" w:cs="Arial" w:eastAsia="Arial" w:hAnsi="Arial"/>
          <w:sz w:val="17"/>
          <w:szCs w:val="17"/>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92" w:lineRule="exact"/>
        <w:rPr>
          <w:rFonts w:ascii="Arial" w:cs="Arial" w:eastAsia="Arial" w:hAnsi="Arial"/>
          <w:sz w:val="17"/>
          <w:szCs w:val="17"/>
          <w:color w:val="auto"/>
        </w:rPr>
      </w:pPr>
    </w:p>
    <w:p>
      <w:pPr>
        <w:jc w:val="both"/>
        <w:ind w:firstLine="980"/>
        <w:spacing w:after="0" w:line="259" w:lineRule="auto"/>
        <w:tabs>
          <w:tab w:leader="none" w:pos="140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ind w:firstLine="980"/>
        <w:spacing w:after="0" w:line="308" w:lineRule="auto"/>
        <w:tabs>
          <w:tab w:leader="none" w:pos="1373" w:val="left"/>
        </w:tabs>
        <w:numPr>
          <w:ilvl w:val="0"/>
          <w:numId w:val="477"/>
        </w:numPr>
        <w:rPr>
          <w:rFonts w:ascii="Arial" w:cs="Arial" w:eastAsia="Arial" w:hAnsi="Arial"/>
          <w:sz w:val="17"/>
          <w:szCs w:val="17"/>
          <w:color w:val="auto"/>
        </w:rPr>
      </w:pPr>
      <w:r>
        <w:rPr>
          <w:rFonts w:ascii="Arial" w:cs="Arial" w:eastAsia="Arial" w:hAnsi="Arial"/>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92" w:lineRule="exact"/>
        <w:rPr>
          <w:rFonts w:ascii="Arial" w:cs="Arial" w:eastAsia="Arial" w:hAnsi="Arial"/>
          <w:sz w:val="17"/>
          <w:szCs w:val="17"/>
          <w:color w:val="auto"/>
        </w:rPr>
      </w:pPr>
    </w:p>
    <w:p>
      <w:pPr>
        <w:jc w:val="both"/>
        <w:ind w:firstLine="980"/>
        <w:spacing w:after="0" w:line="263" w:lineRule="auto"/>
        <w:tabs>
          <w:tab w:leader="none" w:pos="137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29" w:lineRule="exact"/>
        <w:rPr>
          <w:rFonts w:ascii="Arial" w:cs="Arial" w:eastAsia="Arial" w:hAnsi="Arial"/>
          <w:sz w:val="18"/>
          <w:szCs w:val="18"/>
          <w:color w:val="auto"/>
        </w:rPr>
      </w:pPr>
    </w:p>
    <w:p>
      <w:pPr>
        <w:ind w:firstLine="980"/>
        <w:spacing w:after="0" w:line="277" w:lineRule="auto"/>
        <w:tabs>
          <w:tab w:leader="none" w:pos="139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16" w:lineRule="exact"/>
        <w:rPr>
          <w:rFonts w:ascii="Arial" w:cs="Arial" w:eastAsia="Arial" w:hAnsi="Arial"/>
          <w:sz w:val="18"/>
          <w:szCs w:val="18"/>
          <w:color w:val="auto"/>
        </w:rPr>
      </w:pPr>
    </w:p>
    <w:p>
      <w:pPr>
        <w:ind w:firstLine="980"/>
        <w:spacing w:after="0" w:line="277" w:lineRule="auto"/>
        <w:tabs>
          <w:tab w:leader="none" w:pos="1393"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16" w:lineRule="exact"/>
        <w:rPr>
          <w:rFonts w:ascii="Arial" w:cs="Arial" w:eastAsia="Arial" w:hAnsi="Arial"/>
          <w:sz w:val="18"/>
          <w:szCs w:val="18"/>
          <w:color w:val="auto"/>
        </w:rPr>
      </w:pPr>
    </w:p>
    <w:p>
      <w:pPr>
        <w:jc w:val="both"/>
        <w:ind w:firstLine="980"/>
        <w:spacing w:after="0" w:line="275" w:lineRule="auto"/>
        <w:tabs>
          <w:tab w:leader="none" w:pos="1444" w:val="left"/>
        </w:tabs>
        <w:numPr>
          <w:ilvl w:val="0"/>
          <w:numId w:val="477"/>
        </w:numPr>
        <w:rPr>
          <w:rFonts w:ascii="Arial" w:cs="Arial" w:eastAsia="Arial" w:hAnsi="Arial"/>
          <w:sz w:val="17"/>
          <w:szCs w:val="17"/>
          <w:color w:val="auto"/>
        </w:rPr>
      </w:pPr>
      <w:r>
        <w:rPr>
          <w:rFonts w:ascii="Arial" w:cs="Arial" w:eastAsia="Arial" w:hAnsi="Arial"/>
          <w:sz w:val="17"/>
          <w:szCs w:val="17"/>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22" w:lineRule="exact"/>
        <w:rPr>
          <w:rFonts w:ascii="Arial" w:cs="Arial" w:eastAsia="Arial" w:hAnsi="Arial"/>
          <w:sz w:val="17"/>
          <w:szCs w:val="17"/>
          <w:color w:val="auto"/>
        </w:rPr>
      </w:pPr>
    </w:p>
    <w:p>
      <w:pPr>
        <w:jc w:val="both"/>
        <w:ind w:firstLine="980"/>
        <w:spacing w:after="0" w:line="257" w:lineRule="auto"/>
        <w:tabs>
          <w:tab w:leader="none" w:pos="136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4" w:lineRule="exact"/>
        <w:rPr>
          <w:sz w:val="20"/>
          <w:szCs w:val="20"/>
          <w:color w:val="auto"/>
        </w:rPr>
      </w:pPr>
    </w:p>
    <w:p>
      <w:pPr>
        <w:ind w:firstLine="8"/>
        <w:spacing w:after="0" w:line="277" w:lineRule="auto"/>
        <w:tabs>
          <w:tab w:leader="none" w:pos="31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five (5) business days after the date of mailing to the address below or to such other address or addresses as such person may hereafter designate by notice given hereunder: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Issuer, to:</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Joel Rubinstein, Matthew Kautz</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joel.rubinstein@whitecase.com; matthew.kautz@whitecase.com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Ethan Skerry, Robert A. Freedman</w:t>
      </w:r>
    </w:p>
    <w:p>
      <w:pPr>
        <w:spacing w:after="0" w:line="9" w:lineRule="exact"/>
        <w:rPr>
          <w:sz w:val="20"/>
          <w:szCs w:val="20"/>
          <w:color w:val="auto"/>
        </w:rPr>
      </w:pPr>
    </w:p>
    <w:p>
      <w:pPr>
        <w:ind w:left="2280"/>
        <w:spacing w:after="0"/>
        <w:tabs>
          <w:tab w:leader="none" w:pos="2960" w:val="left"/>
        </w:tabs>
        <w:rPr>
          <w:sz w:val="20"/>
          <w:szCs w:val="20"/>
          <w:color w:val="auto"/>
        </w:rPr>
      </w:pPr>
      <w:r>
        <w:rPr>
          <w:rFonts w:ascii="Arial" w:cs="Arial" w:eastAsia="Arial" w:hAnsi="Arial"/>
          <w:sz w:val="18"/>
          <w:szCs w:val="18"/>
          <w:color w:val="auto"/>
        </w:rPr>
        <w:t>Email:</w:t>
        <w:tab/>
        <w:t>eskerry@fenwick.com; rfreedman@fenwick.com</w:t>
      </w:r>
    </w:p>
    <w:p>
      <w:pPr>
        <w:spacing w:after="0" w:line="157" w:lineRule="exact"/>
        <w:rPr>
          <w:sz w:val="20"/>
          <w:szCs w:val="20"/>
          <w:color w:val="auto"/>
        </w:rPr>
      </w:pPr>
    </w:p>
    <w:p>
      <w:pPr>
        <w:jc w:val="both"/>
        <w:ind w:firstLine="980"/>
        <w:spacing w:after="0" w:line="279" w:lineRule="auto"/>
        <w:tabs>
          <w:tab w:leader="none" w:pos="1358"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43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9(n)</w:t>
      </w:r>
      <w:r>
        <w:rPr>
          <w:rFonts w:ascii="Arial" w:cs="Arial" w:eastAsia="Arial" w:hAnsi="Arial"/>
          <w:sz w:val="18"/>
          <w:szCs w:val="18"/>
          <w:color w:val="auto"/>
        </w:rPr>
        <w:t xml:space="preserve"> OR IN SUCH OTHER MANNER AS MAY BE PERMITTED BY LAW SHALL BE VALID AND SUFFICIENT SERVICE THEREOF.</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p>
    <w:p>
      <w:pPr>
        <w:spacing w:after="0" w:line="138" w:lineRule="exact"/>
        <w:rPr>
          <w:sz w:val="20"/>
          <w:szCs w:val="20"/>
          <w:color w:val="auto"/>
        </w:rPr>
      </w:pPr>
    </w:p>
    <w:p>
      <w:pPr>
        <w:jc w:val="both"/>
        <w:ind w:firstLine="980"/>
        <w:spacing w:after="0" w:line="287" w:lineRule="auto"/>
        <w:tabs>
          <w:tab w:leader="none" w:pos="1394"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17" w:lineRule="exact"/>
        <w:rPr>
          <w:rFonts w:ascii="Arial" w:cs="Arial" w:eastAsia="Arial" w:hAnsi="Arial"/>
          <w:sz w:val="16"/>
          <w:szCs w:val="16"/>
          <w:color w:val="auto"/>
        </w:rPr>
      </w:pPr>
    </w:p>
    <w:p>
      <w:pPr>
        <w:ind w:left="1340" w:hanging="360"/>
        <w:spacing w:after="0"/>
        <w:tabs>
          <w:tab w:leader="none" w:pos="134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Each party hereto agrees for the express benefit of the Placement Agent, its respective affiliates and its respective representatives that:</w:t>
      </w:r>
    </w:p>
    <w:p>
      <w:pPr>
        <w:spacing w:after="0" w:line="194" w:lineRule="exact"/>
        <w:rPr>
          <w:rFonts w:ascii="Arial" w:cs="Arial" w:eastAsia="Arial" w:hAnsi="Arial"/>
          <w:sz w:val="16"/>
          <w:szCs w:val="16"/>
          <w:color w:val="auto"/>
        </w:rPr>
      </w:pPr>
    </w:p>
    <w:p>
      <w:pPr>
        <w:jc w:val="both"/>
        <w:ind w:firstLine="1628"/>
        <w:spacing w:after="0" w:line="253" w:lineRule="auto"/>
        <w:tabs>
          <w:tab w:leader="none" w:pos="203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Arial" w:cs="Arial" w:eastAsia="Arial" w:hAnsi="Arial"/>
          <w:sz w:val="18"/>
          <w:szCs w:val="18"/>
          <w:u w:val="single" w:color="auto"/>
          <w:color w:val="auto"/>
        </w:rPr>
        <w:t>Engagement Letter</w:t>
      </w:r>
      <w:r>
        <w:rPr>
          <w:rFonts w:ascii="Arial" w:cs="Arial" w:eastAsia="Arial" w:hAnsi="Arial"/>
          <w:sz w:val="18"/>
          <w:szCs w:val="18"/>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or any agreement contemplated therein, except for such party’s own gross negligence, willful misconduct or bad faith; and</w:t>
      </w:r>
    </w:p>
    <w:p>
      <w:pPr>
        <w:spacing w:after="0" w:line="171" w:lineRule="exact"/>
        <w:rPr>
          <w:sz w:val="20"/>
          <w:szCs w:val="20"/>
          <w:color w:val="auto"/>
        </w:rPr>
      </w:pPr>
    </w:p>
    <w:p>
      <w:pPr>
        <w:jc w:val="both"/>
        <w:ind w:firstLine="1628"/>
        <w:spacing w:after="0" w:line="286" w:lineRule="auto"/>
        <w:tabs>
          <w:tab w:leader="none" w:pos="2036" w:val="left"/>
        </w:tabs>
        <w:numPr>
          <w:ilvl w:val="1"/>
          <w:numId w:val="481"/>
        </w:numPr>
        <w:rPr>
          <w:rFonts w:ascii="Arial" w:cs="Arial" w:eastAsia="Arial" w:hAnsi="Arial"/>
          <w:sz w:val="17"/>
          <w:szCs w:val="17"/>
          <w:color w:val="auto"/>
        </w:rPr>
      </w:pPr>
      <w:r>
        <w:rPr>
          <w:rFonts w:ascii="Arial" w:cs="Arial" w:eastAsia="Arial" w:hAnsi="Arial"/>
          <w:sz w:val="17"/>
          <w:szCs w:val="17"/>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11" w:lineRule="exact"/>
        <w:rPr>
          <w:rFonts w:ascii="Arial" w:cs="Arial" w:eastAsia="Arial" w:hAnsi="Arial"/>
          <w:sz w:val="17"/>
          <w:szCs w:val="17"/>
          <w:color w:val="auto"/>
        </w:rPr>
      </w:pPr>
    </w:p>
    <w:p>
      <w:pPr>
        <w:jc w:val="both"/>
        <w:ind w:firstLine="980"/>
        <w:spacing w:after="0" w:line="285" w:lineRule="auto"/>
        <w:tabs>
          <w:tab w:leader="none" w:pos="1369" w:val="left"/>
        </w:tabs>
        <w:numPr>
          <w:ilvl w:val="0"/>
          <w:numId w:val="482"/>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30" w:lineRule="exact"/>
        <w:rPr>
          <w:rFonts w:ascii="Arial" w:cs="Arial" w:eastAsia="Arial" w:hAnsi="Arial"/>
          <w:sz w:val="16"/>
          <w:szCs w:val="16"/>
          <w:color w:val="auto"/>
        </w:rPr>
      </w:pPr>
    </w:p>
    <w:p>
      <w:pPr>
        <w:jc w:val="both"/>
        <w:ind w:firstLine="980"/>
        <w:spacing w:after="0" w:line="286" w:lineRule="auto"/>
        <w:tabs>
          <w:tab w:leader="none" w:pos="1409"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30" w:lineRule="exact"/>
        <w:rPr>
          <w:sz w:val="20"/>
          <w:szCs w:val="20"/>
          <w:color w:val="auto"/>
        </w:rPr>
      </w:pPr>
    </w:p>
    <w:p>
      <w:pPr>
        <w:jc w:val="both"/>
        <w:ind w:firstLine="980"/>
        <w:spacing w:after="0" w:line="291" w:lineRule="auto"/>
        <w:tabs>
          <w:tab w:leader="none" w:pos="135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12" w:lineRule="exact"/>
        <w:rPr>
          <w:rFonts w:ascii="Arial" w:cs="Arial" w:eastAsia="Arial" w:hAnsi="Arial"/>
          <w:sz w:val="16"/>
          <w:szCs w:val="16"/>
          <w:color w:val="auto"/>
        </w:rPr>
      </w:pPr>
    </w:p>
    <w:p>
      <w:pPr>
        <w:jc w:val="both"/>
        <w:ind w:firstLine="980"/>
        <w:spacing w:after="0" w:line="257" w:lineRule="auto"/>
        <w:tabs>
          <w:tab w:leader="none" w:pos="1381"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33" w:lineRule="exact"/>
        <w:rPr>
          <w:rFonts w:ascii="Arial" w:cs="Arial" w:eastAsia="Arial" w:hAnsi="Arial"/>
          <w:sz w:val="18"/>
          <w:szCs w:val="18"/>
          <w:color w:val="auto"/>
        </w:rPr>
      </w:pPr>
    </w:p>
    <w:p>
      <w:pPr>
        <w:jc w:val="both"/>
        <w:ind w:firstLine="980"/>
        <w:spacing w:after="0" w:line="263" w:lineRule="auto"/>
        <w:tabs>
          <w:tab w:leader="none" w:pos="143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Subscriber: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2014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32" w:lineRule="exact"/>
        <w:rPr>
          <w:sz w:val="20"/>
          <w:szCs w:val="20"/>
          <w:color w:val="auto"/>
        </w:rPr>
      </w:pPr>
    </w:p>
    <w:p>
      <w:pPr>
        <w:ind w:left="20" w:right="700"/>
        <w:spacing w:after="0" w:line="235"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9489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71" w:lineRule="exact"/>
        <w:rPr>
          <w:sz w:val="20"/>
          <w:szCs w:val="20"/>
          <w:color w:val="auto"/>
        </w:rPr>
      </w:pPr>
    </w:p>
    <w:p>
      <w:pPr>
        <w:ind w:left="20" w:right="1640"/>
        <w:spacing w:after="0" w:line="235" w:lineRule="auto"/>
        <w:rPr>
          <w:sz w:val="20"/>
          <w:szCs w:val="20"/>
          <w:color w:val="auto"/>
        </w:rPr>
      </w:pPr>
      <w:r>
        <w:rPr>
          <w:rFonts w:ascii="Arial" w:cs="Arial" w:eastAsia="Arial" w:hAnsi="Arial"/>
          <w:sz w:val="18"/>
          <w:szCs w:val="18"/>
          <w:color w:val="auto"/>
        </w:rPr>
        <w:t>Name in which securities are to be registered (if different)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Address: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there are joint investors, please check one:</w:t>
      </w:r>
    </w:p>
    <w:p>
      <w:pPr>
        <w:spacing w:after="0" w:line="185" w:lineRule="exact"/>
        <w:rPr>
          <w:sz w:val="20"/>
          <w:szCs w:val="20"/>
          <w:color w:val="auto"/>
        </w:rPr>
      </w:pPr>
    </w:p>
    <w:p>
      <w:pPr>
        <w:ind w:left="240" w:hanging="214"/>
        <w:spacing w:after="0"/>
        <w:tabs>
          <w:tab w:leader="none" w:pos="240" w:val="left"/>
        </w:tabs>
        <w:numPr>
          <w:ilvl w:val="0"/>
          <w:numId w:val="484"/>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4"/>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4"/>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48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Aggregate Number of Acquired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1165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Signature of Joint Subscriber, if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2391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29660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(Please print. Please indicate name and</w:t>
      </w:r>
    </w:p>
    <w:p>
      <w:pPr>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29660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9660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29660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468" w:lineRule="exact"/>
        <w:rPr>
          <w:sz w:val="20"/>
          <w:szCs w:val="20"/>
          <w:color w:val="auto"/>
        </w:rPr>
      </w:pPr>
    </w:p>
    <w:p>
      <w:pPr>
        <w:sectPr>
          <w:pgSz w:w="11900" w:h="16838" w:orient="portrait"/>
          <w:cols w:equalWidth="0" w:num="2">
            <w:col w:w="4900" w:space="720"/>
            <w:col w:w="5600"/>
          </w:cols>
          <w:pgMar w:left="320" w:top="1440" w:right="359" w:bottom="1440" w:gutter="0" w:footer="0" w:header="0"/>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220"/>
          </w:cols>
          <w:pgMar w:left="320" w:top="1440" w:right="359" w:bottom="1440" w:gutter="0" w:footer="0" w:header="0"/>
          <w:type w:val="continuous"/>
        </w:sectPr>
      </w:pPr>
    </w:p>
    <w:bookmarkStart w:id="631" w:name="page632"/>
    <w:bookmarkEnd w:id="63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Number of Acquired Shares subscribed for and aggregate Purchase Price accepted and agreed to as of this [●] day of [________], 2021, by:</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134620</wp:posOffset>
            </wp:positionV>
            <wp:extent cx="24771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0139"/>
          </w:cols>
          <w:pgMar w:left="320" w:top="1440" w:right="1440" w:bottom="1440" w:gutter="0" w:footer="0" w:header="0"/>
          <w:type w:val="continuous"/>
        </w:sectPr>
      </w:pPr>
    </w:p>
    <w:bookmarkStart w:id="632" w:name="page633"/>
    <w:bookmarkEnd w:id="632"/>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11" w:lineRule="exact"/>
        <w:rPr>
          <w:sz w:val="20"/>
          <w:szCs w:val="20"/>
          <w:color w:val="auto"/>
        </w:rPr>
      </w:pPr>
    </w:p>
    <w:p>
      <w:pPr>
        <w:ind w:left="460" w:right="7060" w:hanging="434"/>
        <w:spacing w:after="0" w:line="308" w:lineRule="auto"/>
        <w:tabs>
          <w:tab w:leader="none" w:pos="4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7" w:lineRule="exact"/>
        <w:rPr>
          <w:rFonts w:ascii="Arial" w:cs="Arial" w:eastAsia="Arial" w:hAnsi="Arial"/>
          <w:sz w:val="17"/>
          <w:szCs w:val="17"/>
          <w:color w:val="auto"/>
        </w:rPr>
      </w:pPr>
    </w:p>
    <w:p>
      <w:pPr>
        <w:ind w:left="900" w:hanging="442"/>
        <w:spacing w:after="0" w:line="207" w:lineRule="exact"/>
        <w:tabs>
          <w:tab w:leader="none" w:pos="900" w:val="left"/>
        </w:tabs>
        <w:numPr>
          <w:ilvl w:val="1"/>
          <w:numId w:val="4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20" w:hanging="442"/>
        <w:spacing w:after="0" w:line="239" w:lineRule="exact"/>
        <w:tabs>
          <w:tab w:leader="none" w:pos="900" w:val="left"/>
        </w:tabs>
        <w:numPr>
          <w:ilvl w:val="1"/>
          <w:numId w:val="4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ind w:left="460" w:right="6600" w:hanging="434"/>
        <w:spacing w:after="0" w:line="308" w:lineRule="auto"/>
        <w:tabs>
          <w:tab w:leader="none" w:pos="46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7" w:lineRule="exact"/>
        <w:rPr>
          <w:rFonts w:ascii="Arial" w:cs="Arial" w:eastAsia="Arial" w:hAnsi="Arial"/>
          <w:sz w:val="17"/>
          <w:szCs w:val="17"/>
          <w:color w:val="auto"/>
        </w:rPr>
      </w:pPr>
    </w:p>
    <w:p>
      <w:pPr>
        <w:jc w:val="both"/>
        <w:ind w:left="900" w:right="20" w:hanging="442"/>
        <w:spacing w:after="0" w:line="232" w:lineRule="exact"/>
        <w:tabs>
          <w:tab w:leader="none" w:pos="900" w:val="left"/>
        </w:tabs>
        <w:numPr>
          <w:ilvl w:val="1"/>
          <w:numId w:val="48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70" w:lineRule="exact"/>
        <w:rPr>
          <w:rFonts w:ascii="Arial" w:cs="Arial" w:eastAsia="Arial" w:hAnsi="Arial"/>
          <w:sz w:val="18"/>
          <w:szCs w:val="18"/>
          <w:color w:val="auto"/>
        </w:rPr>
      </w:pPr>
    </w:p>
    <w:p>
      <w:pPr>
        <w:ind w:left="900" w:hanging="442"/>
        <w:spacing w:after="0" w:line="207" w:lineRule="exact"/>
        <w:tabs>
          <w:tab w:leader="none" w:pos="900" w:val="left"/>
        </w:tabs>
        <w:numPr>
          <w:ilvl w:val="1"/>
          <w:numId w:val="48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460" w:hanging="434"/>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79" w:lineRule="exact"/>
        <w:rPr>
          <w:rFonts w:ascii="Arial" w:cs="Arial" w:eastAsia="Arial" w:hAnsi="Arial"/>
          <w:sz w:val="18"/>
          <w:szCs w:val="18"/>
          <w:color w:val="auto"/>
        </w:rPr>
      </w:pPr>
    </w:p>
    <w:p>
      <w:pPr>
        <w:ind w:left="900" w:hanging="442"/>
        <w:spacing w:after="0"/>
        <w:tabs>
          <w:tab w:leader="none" w:pos="900" w:val="left"/>
        </w:tabs>
        <w:numPr>
          <w:ilvl w:val="1"/>
          <w:numId w:val="487"/>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79" w:lineRule="exact"/>
        <w:rPr>
          <w:rFonts w:ascii="MS PGothic" w:cs="MS PGothic" w:eastAsia="MS PGothic" w:hAnsi="MS PGothic"/>
          <w:sz w:val="18"/>
          <w:szCs w:val="18"/>
          <w:color w:val="auto"/>
        </w:rPr>
      </w:pPr>
    </w:p>
    <w:p>
      <w:pPr>
        <w:ind w:left="900" w:hanging="442"/>
        <w:spacing w:after="0"/>
        <w:tabs>
          <w:tab w:leader="none" w:pos="900" w:val="left"/>
        </w:tabs>
        <w:numPr>
          <w:ilvl w:val="1"/>
          <w:numId w:val="487"/>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79" w:lineRule="exact"/>
        <w:rPr>
          <w:rFonts w:ascii="MS PGothic" w:cs="MS PGothic" w:eastAsia="MS PGothic" w:hAnsi="MS PGothic"/>
          <w:sz w:val="18"/>
          <w:szCs w:val="18"/>
          <w:color w:val="auto"/>
        </w:rPr>
      </w:pPr>
    </w:p>
    <w:p>
      <w:pPr>
        <w:ind w:left="900"/>
        <w:spacing w:after="0"/>
        <w:rPr>
          <w:rFonts w:ascii="MS PGothic" w:cs="MS PGothic" w:eastAsia="MS PGothic" w:hAnsi="MS PGothic"/>
          <w:sz w:val="18"/>
          <w:szCs w:val="18"/>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488"/>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895" w:val="left"/>
        </w:tabs>
        <w:numPr>
          <w:ilvl w:val="0"/>
          <w:numId w:val="488"/>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88"/>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C-26</w:t>
      </w:r>
    </w:p>
    <w:p>
      <w:pPr>
        <w:sectPr>
          <w:pgSz w:w="11900" w:h="16838" w:orient="portrait"/>
          <w:cols w:equalWidth="0" w:num="1">
            <w:col w:w="11240"/>
          </w:cols>
          <w:pgMar w:left="320" w:top="1440" w:right="339" w:bottom="1440" w:gutter="0" w:footer="0" w:header="0"/>
          <w:type w:val="continuous"/>
        </w:sectPr>
      </w:pPr>
    </w:p>
    <w:bookmarkStart w:id="633" w:name="page634"/>
    <w:bookmarkEnd w:id="633"/>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489"/>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489"/>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hanging="4"/>
        <w:spacing w:after="0" w:line="277" w:lineRule="auto"/>
        <w:tabs>
          <w:tab w:leader="none" w:pos="872"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20" w:hanging="4"/>
        <w:spacing w:after="0" w:line="277" w:lineRule="auto"/>
        <w:tabs>
          <w:tab w:leader="none" w:pos="869"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hanging="4"/>
        <w:spacing w:after="0" w:line="277" w:lineRule="auto"/>
        <w:tabs>
          <w:tab w:leader="none" w:pos="899"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912"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jc w:val="both"/>
        <w:ind w:left="660" w:hanging="4"/>
        <w:spacing w:after="0" w:line="259" w:lineRule="auto"/>
        <w:tabs>
          <w:tab w:leader="none" w:pos="869"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489"/>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hanging="4"/>
        <w:spacing w:after="0" w:line="342" w:lineRule="auto"/>
        <w:tabs>
          <w:tab w:leader="none" w:pos="870" w:val="left"/>
        </w:tabs>
        <w:numPr>
          <w:ilvl w:val="0"/>
          <w:numId w:val="489"/>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240"/>
          </w:cols>
          <w:pgMar w:left="320" w:top="1440" w:right="339" w:bottom="1440" w:gutter="0" w:footer="0" w:header="0"/>
        </w:sectPr>
      </w:pPr>
    </w:p>
    <w:bookmarkStart w:id="634" w:name="page635"/>
    <w:bookmarkEnd w:id="634"/>
    <w:p>
      <w:pPr>
        <w:spacing w:after="0" w:line="145"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22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2"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jc w:val="both"/>
        <w:ind w:left="4" w:hanging="4"/>
        <w:spacing w:after="0" w:line="259" w:lineRule="auto"/>
        <w:tabs>
          <w:tab w:leader="none" w:pos="214"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jc w:val="both"/>
        <w:ind w:left="4" w:hanging="4"/>
        <w:spacing w:after="0" w:line="263" w:lineRule="auto"/>
        <w:tabs>
          <w:tab w:leader="none" w:pos="225"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jc w:val="both"/>
        <w:ind w:left="4" w:hanging="4"/>
        <w:spacing w:after="0" w:line="293" w:lineRule="auto"/>
        <w:tabs>
          <w:tab w:leader="none" w:pos="222" w:val="left"/>
        </w:tabs>
        <w:numPr>
          <w:ilvl w:val="0"/>
          <w:numId w:val="490"/>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3" w:val="left"/>
        </w:tabs>
        <w:numPr>
          <w:ilvl w:val="0"/>
          <w:numId w:val="490"/>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0584"/>
          </w:cols>
          <w:pgMar w:left="976" w:top="1440" w:right="339" w:bottom="1440" w:gutter="0" w:footer="0" w:header="0"/>
        </w:sectPr>
      </w:pPr>
    </w:p>
    <w:bookmarkStart w:id="635" w:name="page636"/>
    <w:bookmarkEnd w:id="635"/>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9019"/>
          </w:cols>
          <w:pgMar w:left="1440" w:top="1440" w:right="1440" w:bottom="1440" w:gutter="0" w:footer="0" w:header="0"/>
        </w:sectPr>
      </w:pPr>
    </w:p>
    <w:bookmarkStart w:id="636" w:name="page637"/>
    <w:bookmarkEnd w:id="636"/>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available for grant and issuance pursuant to this Plan as of the date of adoption of the Plan by the Board is [[●] ([●])] Shares plus (a) any reserved shares not issued or subject to outstanding grants under the Company’s 2017 Stock 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Prior Plan, that cease to be subject to such stock options or other awards, by forfeiture or otherwise, after the Effective Date,</w:t>
      </w:r>
    </w:p>
    <w:p>
      <w:pPr>
        <w:spacing w:after="0" w:line="3" w:lineRule="exact"/>
        <w:rPr>
          <w:sz w:val="20"/>
          <w:szCs w:val="20"/>
          <w:color w:val="auto"/>
        </w:rPr>
      </w:pPr>
    </w:p>
    <w:p>
      <w:pPr>
        <w:ind w:left="260" w:hanging="252"/>
        <w:spacing w:after="0"/>
        <w:tabs>
          <w:tab w:leader="none" w:pos="2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shares issued under the Prior Plan before or after the Effective Date pursuant to the exercise of stock options that are forfeited after the Effective Date,</w:t>
      </w:r>
    </w:p>
    <w:p>
      <w:pPr>
        <w:spacing w:after="0" w:line="32" w:lineRule="exact"/>
        <w:rPr>
          <w:rFonts w:ascii="Arial" w:cs="Arial" w:eastAsia="Arial" w:hAnsi="Arial"/>
          <w:sz w:val="16"/>
          <w:szCs w:val="16"/>
          <w:color w:val="auto"/>
        </w:rPr>
      </w:pPr>
    </w:p>
    <w:p>
      <w:pPr>
        <w:jc w:val="both"/>
        <w:ind w:firstLine="8"/>
        <w:spacing w:after="0" w:line="255" w:lineRule="auto"/>
        <w:tabs>
          <w:tab w:leader="none" w:pos="27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3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satisfy the requirements of all outstanding Awards granted under this Plan.</w:t>
      </w:r>
    </w:p>
    <w:p>
      <w:pPr>
        <w:spacing w:after="0" w:line="10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1 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 ([●])] Shares shall be issued pursuant to the exercise of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or class of outstanding Shares are changed by a stock dividend, extraordinary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w:t>
      </w:r>
    </w:p>
    <w:p>
      <w:pPr>
        <w:spacing w:after="0" w:line="2" w:lineRule="exact"/>
        <w:rPr>
          <w:sz w:val="20"/>
          <w:szCs w:val="20"/>
          <w:color w:val="auto"/>
        </w:rPr>
      </w:pPr>
    </w:p>
    <w:p>
      <w:pPr>
        <w:jc w:val="both"/>
        <w:ind w:firstLine="8"/>
        <w:spacing w:after="0" w:line="269" w:lineRule="auto"/>
        <w:tabs>
          <w:tab w:leader="none" w:pos="251" w:val="left"/>
        </w:tabs>
        <w:numPr>
          <w:ilvl w:val="0"/>
          <w:numId w:val="493"/>
        </w:numPr>
        <w:rPr>
          <w:rFonts w:ascii="Arial" w:cs="Arial" w:eastAsia="Arial" w:hAnsi="Arial"/>
          <w:sz w:val="17"/>
          <w:szCs w:val="17"/>
          <w:color w:val="auto"/>
        </w:rPr>
      </w:pPr>
      <w:r>
        <w:rPr>
          <w:rFonts w:ascii="Arial" w:cs="Arial" w:eastAsia="Arial" w:hAnsi="Arial"/>
          <w:sz w:val="17"/>
          <w:szCs w:val="17"/>
          <w:color w:val="auto"/>
        </w:rPr>
        <w:t>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2" w:lineRule="exact"/>
        <w:rPr>
          <w:rFonts w:ascii="Arial" w:cs="Arial" w:eastAsia="Arial" w:hAnsi="Arial"/>
          <w:sz w:val="17"/>
          <w:szCs w:val="17"/>
          <w:color w:val="auto"/>
        </w:rPr>
      </w:pPr>
    </w:p>
    <w:p>
      <w:pPr>
        <w:jc w:val="both"/>
        <w:ind w:firstLine="332"/>
        <w:spacing w:after="0" w:line="261" w:lineRule="auto"/>
        <w:tabs>
          <w:tab w:leader="none" w:pos="720" w:val="left"/>
        </w:tabs>
        <w:numPr>
          <w:ilvl w:val="1"/>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1"/>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0" w:lineRule="exact"/>
        <w:rPr>
          <w:sz w:val="20"/>
          <w:szCs w:val="20"/>
          <w:color w:val="auto"/>
        </w:rPr>
      </w:pPr>
    </w:p>
    <w:p>
      <w:pPr>
        <w:ind w:left="2000" w:hanging="372"/>
        <w:spacing w:after="0"/>
        <w:tabs>
          <w:tab w:leader="none" w:pos="20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94" w:lineRule="exact"/>
        <w:rPr>
          <w:rFonts w:ascii="Arial" w:cs="Arial" w:eastAsia="Arial" w:hAnsi="Arial"/>
          <w:sz w:val="16"/>
          <w:szCs w:val="16"/>
          <w:color w:val="auto"/>
        </w:rPr>
      </w:pPr>
    </w:p>
    <w:p>
      <w:pPr>
        <w:ind w:left="2020" w:hanging="392"/>
        <w:spacing w:after="0"/>
        <w:tabs>
          <w:tab w:leader="none" w:pos="20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1628"/>
        <w:spacing w:after="0" w:line="257" w:lineRule="auto"/>
        <w:tabs>
          <w:tab w:leader="none" w:pos="201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2000" w:hanging="372"/>
        <w:spacing w:after="0"/>
        <w:tabs>
          <w:tab w:leader="none" w:pos="20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1628"/>
        <w:spacing w:after="0" w:line="277" w:lineRule="auto"/>
        <w:tabs>
          <w:tab w:leader="none" w:pos="205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1628"/>
        <w:spacing w:after="0" w:line="308" w:lineRule="auto"/>
        <w:tabs>
          <w:tab w:leader="none" w:pos="202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92" w:lineRule="exact"/>
        <w:rPr>
          <w:rFonts w:ascii="Arial" w:cs="Arial" w:eastAsia="Arial" w:hAnsi="Arial"/>
          <w:sz w:val="17"/>
          <w:szCs w:val="17"/>
          <w:color w:val="auto"/>
        </w:rPr>
      </w:pPr>
    </w:p>
    <w:p>
      <w:pPr>
        <w:ind w:left="2020" w:hanging="392"/>
        <w:spacing w:after="0"/>
        <w:tabs>
          <w:tab w:leader="none" w:pos="20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5" w:lineRule="exact"/>
        <w:rPr>
          <w:sz w:val="20"/>
          <w:szCs w:val="20"/>
          <w:color w:val="auto"/>
        </w:rPr>
      </w:pPr>
    </w:p>
    <w:p>
      <w:pPr>
        <w:ind w:left="1980" w:hanging="352"/>
        <w:spacing w:after="0"/>
        <w:tabs>
          <w:tab w:leader="none" w:pos="19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182" w:lineRule="exact"/>
        <w:rPr>
          <w:rFonts w:ascii="Arial" w:cs="Arial" w:eastAsia="Arial" w:hAnsi="Arial"/>
          <w:sz w:val="17"/>
          <w:szCs w:val="17"/>
          <w:color w:val="auto"/>
        </w:rPr>
      </w:pPr>
    </w:p>
    <w:p>
      <w:pPr>
        <w:ind w:left="2020" w:hanging="392"/>
        <w:spacing w:after="0"/>
        <w:tabs>
          <w:tab w:leader="none" w:pos="20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right="20" w:firstLine="1628"/>
        <w:spacing w:after="0" w:line="308" w:lineRule="auto"/>
        <w:tabs>
          <w:tab w:leader="none" w:pos="2031" w:val="left"/>
        </w:tabs>
        <w:numPr>
          <w:ilvl w:val="0"/>
          <w:numId w:val="495"/>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92" w:lineRule="exact"/>
        <w:rPr>
          <w:rFonts w:ascii="Arial" w:cs="Arial" w:eastAsia="Arial" w:hAnsi="Arial"/>
          <w:sz w:val="17"/>
          <w:szCs w:val="17"/>
          <w:color w:val="auto"/>
        </w:rPr>
      </w:pPr>
    </w:p>
    <w:p>
      <w:pPr>
        <w:jc w:val="both"/>
        <w:ind w:firstLine="1628"/>
        <w:spacing w:after="0" w:line="263" w:lineRule="auto"/>
        <w:tabs>
          <w:tab w:leader="none" w:pos="22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2020" w:hanging="392"/>
        <w:spacing w:after="0"/>
        <w:tabs>
          <w:tab w:leader="none" w:pos="20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1628"/>
        <w:spacing w:after="0" w:line="277" w:lineRule="auto"/>
        <w:tabs>
          <w:tab w:leader="none" w:pos="2038"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two or more “non-employee directors” (as defined in the regulations promulgated under Section 16 of the Exchange Act).</w:t>
      </w:r>
    </w:p>
    <w:p>
      <w:pPr>
        <w:spacing w:after="0" w:line="108" w:lineRule="exact"/>
        <w:rPr>
          <w:sz w:val="20"/>
          <w:szCs w:val="20"/>
          <w:color w:val="auto"/>
        </w:rPr>
      </w:pPr>
    </w:p>
    <w:p>
      <w:pPr>
        <w:jc w:val="both"/>
        <w:ind w:right="20" w:firstLine="972"/>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the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8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Notwithstanding any provision of the Plan to the contrary, in order to comply with the laws and practices 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30" w:lineRule="exact"/>
        <w:rPr>
          <w:sz w:val="20"/>
          <w:szCs w:val="20"/>
          <w:color w:val="auto"/>
        </w:rPr>
      </w:pPr>
    </w:p>
    <w:p>
      <w:pPr>
        <w:jc w:val="both"/>
        <w:ind w:firstLine="332"/>
        <w:spacing w:after="0" w:line="281" w:lineRule="auto"/>
        <w:tabs>
          <w:tab w:leader="none" w:pos="652" w:val="left"/>
        </w:tabs>
        <w:numPr>
          <w:ilvl w:val="0"/>
          <w:numId w:val="4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 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governing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0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will be determined by the Committee when the Option is granted; provided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1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40"/>
          </w:cols>
          <w:pgMar w:left="320" w:top="1440" w:right="339" w:bottom="1440" w:gutter="0" w:footer="0" w:header="0"/>
        </w:sectPr>
      </w:pPr>
    </w:p>
    <w:bookmarkStart w:id="640" w:name="page641"/>
    <w:bookmarkEnd w:id="64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6"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7" w:lineRule="exact"/>
        <w:rPr>
          <w:sz w:val="20"/>
          <w:szCs w:val="20"/>
          <w:color w:val="auto"/>
        </w:rPr>
      </w:pPr>
    </w:p>
    <w:p>
      <w:pPr>
        <w:jc w:val="both"/>
        <w:ind w:firstLine="1628"/>
        <w:spacing w:after="0" w:line="255" w:lineRule="auto"/>
        <w:tabs>
          <w:tab w:leader="none" w:pos="204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1628"/>
        <w:spacing w:after="0" w:line="271" w:lineRule="auto"/>
        <w:tabs>
          <w:tab w:leader="none" w:pos="2064"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1628"/>
        <w:spacing w:after="0" w:line="275" w:lineRule="auto"/>
        <w:tabs>
          <w:tab w:leader="none" w:pos="2107"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1628"/>
        <w:spacing w:after="0" w:line="254" w:lineRule="auto"/>
        <w:tabs>
          <w:tab w:leader="none" w:pos="2023"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ISOs</w:t>
      </w:r>
      <w:r>
        <w:rPr>
          <w:rFonts w:ascii="Arial" w:cs="Arial" w:eastAsia="Arial" w:hAnsi="Arial"/>
          <w:sz w:val="16"/>
          <w:szCs w:val="16"/>
          <w:color w:val="auto"/>
        </w:rPr>
        <w:t>. With respect to Awards granted as ISOs, to the extent that the aggregate Fair Market Value of the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3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332"/>
        <w:spacing w:after="0" w:line="282" w:lineRule="auto"/>
        <w:tabs>
          <w:tab w:leader="none" w:pos="693"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Bonus Award is an award to an eligible Employee, Consultant, or Director of Shares for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or for past Services already rendered to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Parent, Subsidiary or Affiliate. All Stock Bonus Awards shall be made pursuant to an Award Agreement. No payment from the Participant will be required for Shares awarded pursuant to a Stock Bonus Award.</w:t>
      </w:r>
    </w:p>
    <w:p>
      <w:pPr>
        <w:spacing w:after="0" w:line="11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Form of Settlement</w:t>
      </w:r>
      <w:r>
        <w:rPr>
          <w:rFonts w:ascii="Arial" w:cs="Arial" w:eastAsia="Arial" w:hAnsi="Arial"/>
          <w:sz w:val="17"/>
          <w:szCs w:val="17"/>
          <w:color w:val="auto"/>
        </w:rPr>
        <w:t>. Upon exercise of a SAR, a Participant will be entitled to receive payment from the Company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2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 Shares (which may consist of Restricted Stock). No Purchase Price shall apply to an RSU settled in Shares. All RSUs shall be made pursuant to an Award Agreement.</w:t>
      </w:r>
    </w:p>
    <w:p>
      <w:pPr>
        <w:spacing w:after="0" w:line="12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right="20" w:firstLine="972"/>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Sections 10.1(a), 10.1(b) and 10.1(c) below.</w:t>
      </w:r>
    </w:p>
    <w:p>
      <w:pPr>
        <w:spacing w:after="0" w:line="112" w:lineRule="exact"/>
        <w:rPr>
          <w:sz w:val="20"/>
          <w:szCs w:val="20"/>
          <w:color w:val="auto"/>
        </w:rPr>
      </w:pPr>
    </w:p>
    <w:p>
      <w:pPr>
        <w:ind w:firstLine="1628"/>
        <w:spacing w:after="0" w:line="308" w:lineRule="auto"/>
        <w:tabs>
          <w:tab w:leader="none" w:pos="2202"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xml:space="preserve"> The Committee may grant Awards of Performance Shares, designate the Participants to whom Performance Shares are to be awarded and determine the number of Performance Shares and the terms and conditions of each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45" w:lineRule="exact"/>
        <w:rPr>
          <w:sz w:val="20"/>
          <w:szCs w:val="20"/>
          <w:color w:val="auto"/>
        </w:rPr>
      </w:pPr>
    </w:p>
    <w:p>
      <w:pPr>
        <w:ind w:firstLine="1628"/>
        <w:spacing w:after="0" w:line="277" w:lineRule="auto"/>
        <w:tabs>
          <w:tab w:leader="none" w:pos="2037"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2040" w:hanging="412"/>
        <w:spacing w:after="0"/>
        <w:tabs>
          <w:tab w:leader="none" w:pos="2040"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this Plan.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11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Performance Awards will be based on the attainment of performance goals using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505"/>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314" w:lineRule="auto"/>
        <w:tabs>
          <w:tab w:leader="none" w:pos="769" w:val="left"/>
        </w:tabs>
        <w:numPr>
          <w:ilvl w:val="0"/>
          <w:numId w:val="5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0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or re-elected as a member of the Board will be eligible to receive an Award under this Section 12.</w:t>
      </w:r>
    </w:p>
    <w:p>
      <w:pPr>
        <w:spacing w:after="0" w:line="108"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88" w:lineRule="exact"/>
        <w:rPr>
          <w:sz w:val="20"/>
          <w:szCs w:val="20"/>
          <w:color w:val="auto"/>
        </w:rPr>
      </w:pPr>
    </w:p>
    <w:p>
      <w:pPr>
        <w:ind w:left="740" w:hanging="408"/>
        <w:spacing w:after="0"/>
        <w:tabs>
          <w:tab w:leader="none" w:pos="74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may, in its sole discretion and pursuant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0" w:lineRule="exact"/>
        <w:rPr>
          <w:sz w:val="20"/>
          <w:szCs w:val="20"/>
          <w:color w:val="auto"/>
        </w:rPr>
      </w:pPr>
    </w:p>
    <w:p>
      <w:pPr>
        <w:ind w:left="740" w:hanging="408"/>
        <w:spacing w:after="0"/>
        <w:tabs>
          <w:tab w:leader="none" w:pos="74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15.2, an Award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07" w:lineRule="exact"/>
        <w:rPr>
          <w:sz w:val="20"/>
          <w:szCs w:val="20"/>
          <w:color w:val="auto"/>
        </w:rPr>
      </w:pPr>
    </w:p>
    <w:p>
      <w:pPr>
        <w:ind w:left="740" w:hanging="408"/>
        <w:spacing w:after="0"/>
        <w:tabs>
          <w:tab w:leader="none" w:pos="7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5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ind w:firstLine="332"/>
        <w:spacing w:after="0" w:line="282" w:lineRule="auto"/>
        <w:tabs>
          <w:tab w:leader="none" w:pos="729"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the Committee may require the Participant to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all written or electronic certificate(s) representing Shares,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647" w:name="page648"/>
    <w:bookmarkEnd w:id="647"/>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8" w:lineRule="exact"/>
        <w:rPr>
          <w:sz w:val="20"/>
          <w:szCs w:val="20"/>
          <w:color w:val="auto"/>
        </w:rPr>
      </w:pPr>
    </w:p>
    <w:p>
      <w:pPr>
        <w:jc w:val="both"/>
        <w:ind w:firstLine="332"/>
        <w:spacing w:after="0" w:line="258" w:lineRule="auto"/>
        <w:tabs>
          <w:tab w:leader="none" w:pos="769"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5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5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2000" w:hanging="372"/>
        <w:spacing w:after="0"/>
        <w:tabs>
          <w:tab w:leader="none" w:pos="20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2033"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648" w:name="page649"/>
    <w:bookmarkEnd w:id="648"/>
    <w:p>
      <w:pPr>
        <w:spacing w:after="0" w:line="144" w:lineRule="exact"/>
        <w:rPr>
          <w:sz w:val="20"/>
          <w:szCs w:val="20"/>
          <w:color w:val="auto"/>
        </w:rPr>
      </w:pPr>
    </w:p>
    <w:p>
      <w:pPr>
        <w:jc w:val="both"/>
        <w:ind w:firstLine="1628"/>
        <w:spacing w:after="0" w:line="259" w:lineRule="auto"/>
        <w:tabs>
          <w:tab w:leader="none" w:pos="207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firstLine="1628"/>
        <w:spacing w:after="0" w:line="342" w:lineRule="auto"/>
        <w:tabs>
          <w:tab w:leader="none" w:pos="203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69" w:lineRule="exact"/>
        <w:rPr>
          <w:rFonts w:ascii="Arial" w:cs="Arial" w:eastAsia="Arial" w:hAnsi="Arial"/>
          <w:sz w:val="16"/>
          <w:szCs w:val="16"/>
          <w:color w:val="auto"/>
        </w:rPr>
      </w:pPr>
    </w:p>
    <w:p>
      <w:pPr>
        <w:jc w:val="both"/>
        <w:ind w:firstLine="1628"/>
        <w:spacing w:after="0" w:line="291" w:lineRule="auto"/>
        <w:tabs>
          <w:tab w:leader="none" w:pos="1999"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12" w:lineRule="exact"/>
        <w:rPr>
          <w:rFonts w:ascii="Arial" w:cs="Arial" w:eastAsia="Arial" w:hAnsi="Arial"/>
          <w:sz w:val="16"/>
          <w:szCs w:val="16"/>
          <w:color w:val="auto"/>
        </w:rPr>
      </w:pPr>
    </w:p>
    <w:p>
      <w:pPr>
        <w:ind w:left="1980" w:hanging="352"/>
        <w:spacing w:after="0"/>
        <w:tabs>
          <w:tab w:leader="none" w:pos="19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649" w:name="page650"/>
    <w:bookmarkEnd w:id="649"/>
    <w:p>
      <w:pPr>
        <w:spacing w:after="0" w:line="140" w:lineRule="exact"/>
        <w:rPr>
          <w:sz w:val="20"/>
          <w:szCs w:val="20"/>
          <w:color w:val="auto"/>
        </w:rPr>
      </w:pPr>
    </w:p>
    <w:p>
      <w:pPr>
        <w:jc w:val="both"/>
        <w:ind w:firstLine="332"/>
        <w:spacing w:after="0" w:line="266" w:lineRule="auto"/>
        <w:tabs>
          <w:tab w:leader="none" w:pos="729"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55" w:lineRule="auto"/>
        <w:tabs>
          <w:tab w:leader="none" w:pos="742"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34" w:lineRule="exact"/>
        <w:rPr>
          <w:rFonts w:ascii="Arial" w:cs="Arial" w:eastAsia="Arial" w:hAnsi="Arial"/>
          <w:sz w:val="18"/>
          <w:szCs w:val="18"/>
          <w:b w:val="1"/>
          <w:bCs w:val="1"/>
          <w:color w:val="auto"/>
        </w:rPr>
      </w:pPr>
    </w:p>
    <w:p>
      <w:pPr>
        <w:jc w:val="both"/>
        <w:ind w:firstLine="332"/>
        <w:spacing w:after="0" w:line="281" w:lineRule="auto"/>
        <w:tabs>
          <w:tab w:leader="none" w:pos="756" w:val="left"/>
        </w:tabs>
        <w:numPr>
          <w:ilvl w:val="0"/>
          <w:numId w:val="5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 meanings:</w:t>
      </w:r>
    </w:p>
    <w:p>
      <w:pPr>
        <w:spacing w:after="0" w:line="171" w:lineRule="exact"/>
        <w:rPr>
          <w:sz w:val="20"/>
          <w:szCs w:val="20"/>
          <w:color w:val="auto"/>
        </w:rPr>
      </w:pPr>
    </w:p>
    <w:p>
      <w:pPr>
        <w:jc w:val="both"/>
        <w:ind w:firstLine="972"/>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(b) any entity in which the Company has a significant equity interest, in either case as determined by the Committee, whether now or hereafter existing.</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or Restricted Stock Unit.</w:t>
      </w:r>
    </w:p>
    <w:p>
      <w:pPr>
        <w:spacing w:after="0" w:line="108" w:lineRule="exact"/>
        <w:rPr>
          <w:sz w:val="20"/>
          <w:szCs w:val="20"/>
          <w:color w:val="auto"/>
        </w:rPr>
      </w:pPr>
    </w:p>
    <w:p>
      <w:pPr>
        <w:jc w:val="both"/>
        <w:ind w:firstLine="972"/>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9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650" w:name="page651"/>
    <w:bookmarkEnd w:id="650"/>
    <w:p>
      <w:pPr>
        <w:spacing w:after="0" w:line="140"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other parties thereto, dated as of February 9, 2021.</w:t>
      </w:r>
    </w:p>
    <w:p>
      <w:pPr>
        <w:spacing w:after="0" w:line="10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28.7.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[Participant’s (a) willful failure substantially to perform his or her duties and responsibilities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has been delegated as permitted by law.</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to render services to such entity.</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1709"/>
        <w:spacing w:after="0" w:line="257" w:lineRule="auto"/>
        <w:tabs>
          <w:tab w:leader="none" w:pos="215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2100" w:hanging="391"/>
        <w:spacing w:after="0"/>
        <w:tabs>
          <w:tab w:leader="none" w:pos="21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1709"/>
        <w:spacing w:after="0" w:line="301" w:lineRule="auto"/>
        <w:tabs>
          <w:tab w:leader="none" w:pos="2243"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03" w:lineRule="exact"/>
        <w:rPr>
          <w:rFonts w:ascii="Arial" w:cs="Arial" w:eastAsia="Arial" w:hAnsi="Arial"/>
          <w:sz w:val="16"/>
          <w:szCs w:val="16"/>
          <w:color w:val="auto"/>
        </w:rPr>
      </w:pPr>
    </w:p>
    <w:p>
      <w:pPr>
        <w:jc w:val="both"/>
        <w:ind w:firstLine="1709"/>
        <w:spacing w:after="0" w:line="263" w:lineRule="auto"/>
        <w:tabs>
          <w:tab w:leader="none" w:pos="2122"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40"/>
          </w:cols>
          <w:pgMar w:left="320" w:top="1440" w:right="339" w:bottom="1440" w:gutter="0" w:footer="0" w:header="0"/>
        </w:sectPr>
      </w:pPr>
    </w:p>
    <w:bookmarkStart w:id="651" w:name="page652"/>
    <w:bookmarkEnd w:id="651"/>
    <w:p>
      <w:pPr>
        <w:spacing w:after="0" w:line="144" w:lineRule="exact"/>
        <w:rPr>
          <w:sz w:val="20"/>
          <w:szCs w:val="20"/>
          <w:color w:val="auto"/>
        </w:rPr>
      </w:pPr>
    </w:p>
    <w:p>
      <w:pPr>
        <w:jc w:val="both"/>
        <w:ind w:firstLine="1709"/>
        <w:spacing w:after="0" w:line="279" w:lineRule="auto"/>
        <w:tabs>
          <w:tab w:leader="none" w:pos="2113"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3"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28.14.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ISOs, total and permanent disability as defined in Section 22(e)(3) of the Code and in the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4"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closing date of the Business Combination, subject to approval of the Plan by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53"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right="20" w:firstLine="972"/>
        <w:spacing w:after="0" w:line="347" w:lineRule="auto"/>
        <w:rPr>
          <w:sz w:val="20"/>
          <w:szCs w:val="20"/>
          <w:color w:val="auto"/>
        </w:rPr>
      </w:pPr>
      <w:r>
        <w:rPr>
          <w:rFonts w:ascii="Arial" w:cs="Arial" w:eastAsia="Arial" w:hAnsi="Arial"/>
          <w:sz w:val="16"/>
          <w:szCs w:val="16"/>
          <w:b w:val="1"/>
          <w:bCs w:val="1"/>
          <w:color w:val="auto"/>
        </w:rPr>
        <w:t xml:space="preserve">28.19.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type of Award or a different Award (or combination thereof) or (b) the Exercise Price of an outstanding Award is increased or reduced.</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108"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ind w:firstLine="1628"/>
        <w:spacing w:after="0" w:line="277" w:lineRule="auto"/>
        <w:tabs>
          <w:tab w:leader="none" w:pos="206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40"/>
          </w:cols>
          <w:pgMar w:left="320" w:top="1440" w:right="339" w:bottom="1440" w:gutter="0" w:footer="0" w:header="0"/>
        </w:sectPr>
      </w:pPr>
    </w:p>
    <w:bookmarkStart w:id="652" w:name="page653"/>
    <w:bookmarkEnd w:id="65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may determine;</w:t>
      </w:r>
    </w:p>
    <w:p>
      <w:pPr>
        <w:spacing w:after="0" w:line="171" w:lineRule="exact"/>
        <w:rPr>
          <w:sz w:val="20"/>
          <w:szCs w:val="20"/>
          <w:color w:val="auto"/>
        </w:rPr>
      </w:pPr>
    </w:p>
    <w:p>
      <w:pPr>
        <w:jc w:val="both"/>
        <w:ind w:firstLine="1628"/>
        <w:spacing w:after="0" w:line="263" w:lineRule="auto"/>
        <w:tabs>
          <w:tab w:leader="none" w:pos="2091"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covering cash, Shares or other property granted pursuant to Section 10 or Section 12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3"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33" w:lineRule="exact"/>
        <w:rPr>
          <w:sz w:val="20"/>
          <w:szCs w:val="20"/>
          <w:color w:val="auto"/>
        </w:rPr>
      </w:pPr>
    </w:p>
    <w:p>
      <w:pPr>
        <w:ind w:left="2000" w:hanging="372"/>
        <w:spacing w:after="0"/>
        <w:tabs>
          <w:tab w:leader="none" w:pos="20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firstLine="1628"/>
        <w:spacing w:after="0" w:line="277" w:lineRule="auto"/>
        <w:tabs>
          <w:tab w:leader="none" w:pos="202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144" w:lineRule="exact"/>
        <w:rPr>
          <w:sz w:val="20"/>
          <w:szCs w:val="20"/>
          <w:color w:val="auto"/>
        </w:rPr>
      </w:pPr>
    </w:p>
    <w:p>
      <w:pPr>
        <w:ind w:left="860" w:hanging="352"/>
        <w:spacing w:after="0"/>
        <w:tabs>
          <w:tab w:leader="none" w:pos="86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operating expenses or operating expenses as a percentage of revenue;</w:t>
      </w:r>
    </w:p>
    <w:p>
      <w:pPr>
        <w:spacing w:after="0" w:line="205" w:lineRule="exact"/>
        <w:rPr>
          <w:rFonts w:ascii="Arial" w:cs="Arial" w:eastAsia="Arial" w:hAnsi="Arial"/>
          <w:sz w:val="15"/>
          <w:szCs w:val="15"/>
          <w:color w:val="auto"/>
        </w:rPr>
      </w:pPr>
    </w:p>
    <w:p>
      <w:pPr>
        <w:ind w:left="940" w:hanging="432"/>
        <w:spacing w:after="0"/>
        <w:tabs>
          <w:tab w:leader="none" w:pos="9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860" w:hanging="352"/>
        <w:spacing w:after="0"/>
        <w:tabs>
          <w:tab w:leader="none" w:pos="8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growth in stockholder value relative to a pre-determined index;</w:t>
      </w:r>
    </w:p>
    <w:p>
      <w:pPr>
        <w:spacing w:after="0" w:line="182" w:lineRule="exact"/>
        <w:rPr>
          <w:rFonts w:ascii="Arial" w:cs="Arial" w:eastAsia="Arial" w:hAnsi="Arial"/>
          <w:sz w:val="17"/>
          <w:szCs w:val="17"/>
          <w:color w:val="auto"/>
        </w:rPr>
      </w:pPr>
    </w:p>
    <w:p>
      <w:pPr>
        <w:ind w:left="860" w:hanging="352"/>
        <w:spacing w:after="0"/>
        <w:tabs>
          <w:tab w:leader="none" w:pos="8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940" w:hanging="432"/>
        <w:spacing w:after="0"/>
        <w:tabs>
          <w:tab w:leader="none" w:pos="9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960" w:hanging="452"/>
        <w:spacing w:after="0"/>
        <w:tabs>
          <w:tab w:leader="none" w:pos="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920" w:hanging="412"/>
        <w:spacing w:after="0"/>
        <w:tabs>
          <w:tab w:leader="none" w:pos="9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attainment of objective operating goals and employee metrics;</w:t>
      </w:r>
    </w:p>
    <w:p>
      <w:pPr>
        <w:spacing w:after="0" w:line="182" w:lineRule="exact"/>
        <w:rPr>
          <w:rFonts w:ascii="Arial" w:cs="Arial" w:eastAsia="Arial" w:hAnsi="Arial"/>
          <w:sz w:val="17"/>
          <w:szCs w:val="17"/>
          <w:color w:val="auto"/>
        </w:rPr>
      </w:pPr>
    </w:p>
    <w:p>
      <w:pPr>
        <w:ind w:left="900" w:hanging="392"/>
        <w:spacing w:after="0"/>
        <w:tabs>
          <w:tab w:leader="none" w:pos="9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080" w:hanging="572"/>
        <w:spacing w:after="0"/>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balance of cash, cash equivalents, and marketable securities;</w:t>
      </w:r>
    </w:p>
    <w:p>
      <w:pPr>
        <w:spacing w:after="0" w:line="182" w:lineRule="exact"/>
        <w:rPr>
          <w:rFonts w:ascii="Arial" w:cs="Arial" w:eastAsia="Arial" w:hAnsi="Arial"/>
          <w:sz w:val="17"/>
          <w:szCs w:val="17"/>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D-18</w:t>
      </w:r>
    </w:p>
    <w:p>
      <w:pPr>
        <w:sectPr>
          <w:pgSz w:w="11900" w:h="16838" w:orient="portrait"/>
          <w:cols w:equalWidth="0" w:num="1">
            <w:col w:w="9019"/>
          </w:cols>
          <w:pgMar w:left="1440" w:top="1440" w:right="1440" w:bottom="1440" w:gutter="0" w:footer="0" w:header="0"/>
          <w:type w:val="continuous"/>
        </w:sectPr>
      </w:pPr>
    </w:p>
    <w:bookmarkStart w:id="654" w:name="page655"/>
    <w:bookmarkEnd w:id="654"/>
    <w:p>
      <w:pPr>
        <w:spacing w:after="0" w:line="144" w:lineRule="exact"/>
        <w:rPr>
          <w:sz w:val="20"/>
          <w:szCs w:val="20"/>
          <w:color w:val="auto"/>
        </w:rPr>
      </w:pPr>
    </w:p>
    <w:p>
      <w:pPr>
        <w:ind w:left="2100" w:hanging="472"/>
        <w:spacing w:after="0"/>
        <w:tabs>
          <w:tab w:leader="none" w:pos="21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2040" w:hanging="412"/>
        <w:spacing w:after="0"/>
        <w:tabs>
          <w:tab w:leader="none" w:pos="20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9"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select, 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w:t>
      </w:r>
      <w:r>
        <w:rPr>
          <w:rFonts w:ascii="Arial" w:cs="Arial" w:eastAsia="Arial" w:hAnsi="Arial"/>
          <w:sz w:val="18"/>
          <w:szCs w:val="18"/>
          <w:b w:val="1"/>
          <w:bCs w:val="1"/>
          <w:color w:val="auto"/>
        </w:rPr>
        <w:t xml:space="preserve"> </w:t>
      </w:r>
      <w:r>
        <w:rPr>
          <w:rFonts w:ascii="Arial" w:cs="Arial" w:eastAsia="Arial" w:hAnsi="Arial"/>
          <w:sz w:val="18"/>
          <w:szCs w:val="18"/>
          <w:color w:val="auto"/>
        </w:rPr>
        <w:t>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28.34.</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[PubCo] 2021 Equity Incentive Plan.</w:t>
            </w: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28.35.</w:t>
            </w:r>
          </w:p>
        </w:tc>
        <w:tc>
          <w:tcPr>
            <w:tcW w:w="9640" w:type="dxa"/>
            <w:vAlign w:val="bottom"/>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Purchase Price</w:t>
            </w:r>
            <w:r>
              <w:rPr>
                <w:rFonts w:ascii="Arial" w:cs="Arial" w:eastAsia="Arial" w:hAnsi="Arial"/>
                <w:sz w:val="18"/>
                <w:szCs w:val="18"/>
                <w:color w:val="auto"/>
                <w:w w:val="93"/>
              </w:rPr>
              <w:t>” means the price to be paid for Shares acquired under the Plan, other than Shares acquired upon exercise of an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Option or SAR.</w:t>
            </w:r>
          </w:p>
        </w:tc>
        <w:tc>
          <w:tcPr>
            <w:tcW w:w="9640" w:type="dxa"/>
            <w:vAlign w:val="bottom"/>
          </w:tcPr>
          <w:p>
            <w:pPr>
              <w:spacing w:after="0"/>
              <w:rPr>
                <w:sz w:val="20"/>
                <w:szCs w:val="20"/>
                <w:color w:val="auto"/>
              </w:rPr>
            </w:pP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28.36.</w:t>
            </w:r>
          </w:p>
        </w:tc>
        <w:tc>
          <w:tcPr>
            <w:tcW w:w="96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Restricted Stock Award</w:t>
            </w:r>
            <w:r>
              <w:rPr>
                <w:rFonts w:ascii="Arial" w:cs="Arial" w:eastAsia="Arial" w:hAnsi="Arial"/>
                <w:sz w:val="18"/>
                <w:szCs w:val="18"/>
                <w:color w:val="auto"/>
                <w:w w:val="90"/>
              </w:rPr>
              <w:t>” means an award of Shares pursuant to Section 6 or Section 12 of the Plan, or issued pursuant to the early</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0"/>
              </w:rPr>
              <w:t>exercise of an Option.</w:t>
            </w:r>
          </w:p>
        </w:tc>
        <w:tc>
          <w:tcPr>
            <w:tcW w:w="9640" w:type="dxa"/>
            <w:vAlign w:val="bottom"/>
          </w:tcPr>
          <w:p>
            <w:pPr>
              <w:spacing w:after="0"/>
              <w:rPr>
                <w:sz w:val="20"/>
                <w:szCs w:val="20"/>
                <w:color w:val="auto"/>
              </w:rPr>
            </w:pP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28.37.</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28.38.</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28.39.</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28.40.</w:t>
            </w:r>
          </w:p>
        </w:tc>
        <w:tc>
          <w:tcPr>
            <w:tcW w:w="964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Service</w:t>
            </w:r>
            <w:r>
              <w:rPr>
                <w:rFonts w:ascii="Arial" w:cs="Arial" w:eastAsia="Arial" w:hAnsi="Arial"/>
                <w:sz w:val="18"/>
                <w:szCs w:val="18"/>
                <w:color w:val="auto"/>
                <w:w w:val="92"/>
              </w:rPr>
              <w:t>” shall mean service as an Employee, Consultant, Director or Non-Employee Director, subject to such further limitations as</w:t>
            </w:r>
          </w:p>
        </w:tc>
      </w:tr>
    </w:tbl>
    <w:p>
      <w:pPr>
        <w:jc w:val="both"/>
        <w:spacing w:after="0" w:line="290" w:lineRule="auto"/>
        <w:rPr>
          <w:sz w:val="20"/>
          <w:szCs w:val="20"/>
          <w:color w:val="auto"/>
        </w:rPr>
      </w:pPr>
      <w:r>
        <w:rPr>
          <w:rFonts w:ascii="Arial" w:cs="Arial" w:eastAsia="Arial" w:hAnsi="Arial"/>
          <w:sz w:val="17"/>
          <w:szCs w:val="17"/>
          <w:color w:val="auto"/>
        </w:rPr>
        <w:t>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40"/>
          </w:cols>
          <w:pgMar w:left="320" w:top="1440" w:right="339" w:bottom="1440" w:gutter="0" w:footer="0" w:header="0"/>
        </w:sectPr>
      </w:pPr>
    </w:p>
    <w:bookmarkStart w:id="655" w:name="page656"/>
    <w:bookmarkEnd w:id="65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1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108" w:lineRule="exact"/>
        <w:rPr>
          <w:sz w:val="20"/>
          <w:szCs w:val="20"/>
          <w:color w:val="auto"/>
        </w:rPr>
      </w:pPr>
    </w:p>
    <w:p>
      <w:pPr>
        <w:jc w:val="both"/>
        <w:ind w:firstLine="332"/>
        <w:spacing w:after="0" w:line="287" w:lineRule="auto"/>
        <w:tabs>
          <w:tab w:leader="none" w:pos="769" w:val="left"/>
        </w:tabs>
        <w:numPr>
          <w:ilvl w:val="0"/>
          <w:numId w:val="5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40"/>
          </w:cols>
          <w:pgMar w:left="320" w:top="1440" w:right="339" w:bottom="1440" w:gutter="0" w:footer="0" w:header="0"/>
        </w:sectPr>
      </w:pPr>
    </w:p>
    <w:bookmarkStart w:id="656" w:name="page657"/>
    <w:bookmarkEnd w:id="656"/>
    <w:p>
      <w:pPr>
        <w:jc w:val="center"/>
        <w:spacing w:after="0"/>
        <w:rPr>
          <w:sz w:val="20"/>
          <w:szCs w:val="20"/>
          <w:color w:val="auto"/>
        </w:rPr>
      </w:pPr>
      <w:r>
        <w:rPr>
          <w:rFonts w:ascii="Arial" w:cs="Arial" w:eastAsia="Arial" w:hAnsi="Arial"/>
          <w:sz w:val="18"/>
          <w:szCs w:val="18"/>
          <w:b w:val="1"/>
          <w:bCs w:val="1"/>
          <w:color w:val="auto"/>
        </w:rPr>
        <w:t>ANNEX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52"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Sema4 Holdings Corp. adopted the Plan effective as of the Effective Date. The purpose of this Plan is to provide 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3"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PLAN</w:t>
      </w:r>
      <w:r>
        <w:rPr>
          <w:rFonts w:ascii="Arial" w:cs="Arial" w:eastAsia="Arial" w:hAnsi="Arial"/>
          <w:sz w:val="18"/>
          <w:szCs w:val="18"/>
          <w:color w:val="auto"/>
        </w:rPr>
        <w:t>. 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7" w:lineRule="auto"/>
        <w:tabs>
          <w:tab w:leader="none" w:pos="656" w:val="left"/>
        </w:tabs>
        <w:numPr>
          <w:ilvl w:val="0"/>
          <w:numId w:val="5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240"/>
          </w:cols>
          <w:pgMar w:left="320" w:top="1418" w:right="339" w:bottom="1440" w:gutter="0" w:footer="0" w:header="0"/>
        </w:sectPr>
      </w:pPr>
    </w:p>
    <w:bookmarkStart w:id="657" w:name="page658"/>
    <w:bookmarkEnd w:id="657"/>
    <w:p>
      <w:pPr>
        <w:spacing w:after="0" w:line="342" w:lineRule="auto"/>
        <w:rPr>
          <w:sz w:val="20"/>
          <w:szCs w:val="20"/>
          <w:color w:val="auto"/>
        </w:rPr>
      </w:pPr>
      <w:r>
        <w:rPr>
          <w:rFonts w:ascii="Arial" w:cs="Arial" w:eastAsia="Arial" w:hAnsi="Arial"/>
          <w:sz w:val="16"/>
          <w:szCs w:val="16"/>
          <w:color w:val="auto"/>
        </w:rPr>
        <w:t>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66" w:lineRule="exact"/>
        <w:rPr>
          <w:sz w:val="20"/>
          <w:szCs w:val="20"/>
          <w:color w:val="auto"/>
        </w:rPr>
      </w:pPr>
    </w:p>
    <w:p>
      <w:pPr>
        <w:ind w:left="640" w:hanging="308"/>
        <w:spacing w:after="0"/>
        <w:tabs>
          <w:tab w:leader="none" w:pos="64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527"/>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50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40"/>
          </w:cols>
          <w:pgMar w:left="320" w:top="1422" w:right="339" w:bottom="1440" w:gutter="0" w:footer="0" w:header="0"/>
        </w:sectPr>
      </w:pPr>
    </w:p>
    <w:bookmarkStart w:id="658" w:name="page659"/>
    <w:bookmarkEnd w:id="658"/>
    <w:p>
      <w:pPr>
        <w:ind w:left="640" w:hanging="308"/>
        <w:spacing w:after="0"/>
        <w:tabs>
          <w:tab w:leader="none" w:pos="64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8"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530"/>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0" w:val="left"/>
        </w:tabs>
        <w:numPr>
          <w:ilvl w:val="0"/>
          <w:numId w:val="5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1"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69" w:lineRule="auto"/>
        <w:tabs>
          <w:tab w:leader="none" w:pos="1467" w:val="left"/>
        </w:tabs>
        <w:numPr>
          <w:ilvl w:val="1"/>
          <w:numId w:val="530"/>
        </w:numPr>
        <w:rPr>
          <w:rFonts w:ascii="Arial" w:cs="Arial" w:eastAsia="Arial" w:hAnsi="Arial"/>
          <w:sz w:val="17"/>
          <w:szCs w:val="17"/>
          <w:color w:val="auto"/>
        </w:rPr>
      </w:pPr>
      <w:r>
        <w:rPr>
          <w:rFonts w:ascii="Arial" w:cs="Arial" w:eastAsia="Arial" w:hAnsi="Arial"/>
          <w:sz w:val="17"/>
          <w:szCs w:val="17"/>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40"/>
          </w:cols>
          <w:pgMar w:left="320" w:top="1418" w:right="339" w:bottom="1440" w:gutter="0" w:footer="0" w:header="0"/>
        </w:sectPr>
      </w:pPr>
    </w:p>
    <w:bookmarkStart w:id="659" w:name="page660"/>
    <w:bookmarkEnd w:id="659"/>
    <w:p>
      <w:pPr>
        <w:spacing w:after="0" w:line="277" w:lineRule="auto"/>
        <w:rPr>
          <w:sz w:val="20"/>
          <w:szCs w:val="20"/>
          <w:color w:val="auto"/>
        </w:rPr>
      </w:pPr>
      <w:r>
        <w:rPr>
          <w:rFonts w:ascii="Arial" w:cs="Arial" w:eastAsia="Arial" w:hAnsi="Arial"/>
          <w:sz w:val="18"/>
          <w:szCs w:val="18"/>
          <w:color w:val="auto"/>
        </w:rPr>
        <w:t>Offering Period unless sooner altered or terminated as provided in this Plan. Notwithstanding the foregoing, the terms of any sub-plan may permit matching shares without the payment of any purchase price.</w:t>
      </w:r>
    </w:p>
    <w:p>
      <w:pPr>
        <w:spacing w:after="0" w:line="116" w:lineRule="exact"/>
        <w:rPr>
          <w:sz w:val="20"/>
          <w:szCs w:val="20"/>
          <w:color w:val="auto"/>
        </w:rPr>
      </w:pPr>
    </w:p>
    <w:p>
      <w:pPr>
        <w:jc w:val="both"/>
        <w:ind w:firstLine="980"/>
        <w:spacing w:after="0" w:line="293" w:lineRule="auto"/>
        <w:tabs>
          <w:tab w:leader="none" w:pos="1352" w:val="left"/>
        </w:tabs>
        <w:numPr>
          <w:ilvl w:val="0"/>
          <w:numId w:val="531"/>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531"/>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240"/>
          </w:cols>
          <w:pgMar w:left="320" w:top="1422" w:right="339" w:bottom="1440" w:gutter="0" w:footer="0" w:header="0"/>
        </w:sectPr>
      </w:pPr>
    </w:p>
    <w:bookmarkStart w:id="660" w:name="page661"/>
    <w:bookmarkEnd w:id="660"/>
    <w:p>
      <w:pPr>
        <w:jc w:val="both"/>
        <w:ind w:firstLine="980"/>
        <w:spacing w:after="0" w:line="254" w:lineRule="auto"/>
        <w:tabs>
          <w:tab w:leader="none" w:pos="1476"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36" w:lineRule="exact"/>
        <w:rPr>
          <w:rFonts w:ascii="Arial" w:cs="Arial" w:eastAsia="Arial" w:hAnsi="Arial"/>
          <w:sz w:val="18"/>
          <w:szCs w:val="18"/>
          <w:color w:val="auto"/>
        </w:rPr>
      </w:pPr>
    </w:p>
    <w:p>
      <w:pPr>
        <w:ind w:left="740" w:hanging="408"/>
        <w:spacing w:after="0"/>
        <w:tabs>
          <w:tab w:leader="none" w:pos="74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3"/>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533"/>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389"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535"/>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40"/>
          </w:cols>
          <w:pgMar w:left="320" w:top="1422" w:right="339" w:bottom="1440" w:gutter="0" w:footer="0" w:header="0"/>
        </w:sectPr>
      </w:pPr>
    </w:p>
    <w:bookmarkStart w:id="661" w:name="page662"/>
    <w:bookmarkEnd w:id="661"/>
    <w:p>
      <w:pPr>
        <w:jc w:val="both"/>
        <w:ind w:firstLine="980"/>
        <w:spacing w:after="0" w:line="275" w:lineRule="auto"/>
        <w:tabs>
          <w:tab w:leader="none" w:pos="1385" w:val="left"/>
        </w:tabs>
        <w:numPr>
          <w:ilvl w:val="1"/>
          <w:numId w:val="536"/>
        </w:numPr>
        <w:rPr>
          <w:rFonts w:ascii="Arial" w:cs="Arial" w:eastAsia="Arial" w:hAnsi="Arial"/>
          <w:sz w:val="17"/>
          <w:szCs w:val="17"/>
          <w:color w:val="auto"/>
        </w:rPr>
      </w:pPr>
      <w:r>
        <w:rPr>
          <w:rFonts w:ascii="Arial" w:cs="Arial" w:eastAsia="Arial" w:hAnsi="Arial"/>
          <w:sz w:val="17"/>
          <w:szCs w:val="17"/>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22" w:lineRule="exact"/>
        <w:rPr>
          <w:rFonts w:ascii="Arial" w:cs="Arial" w:eastAsia="Arial" w:hAnsi="Arial"/>
          <w:sz w:val="17"/>
          <w:szCs w:val="17"/>
          <w:color w:val="auto"/>
        </w:rPr>
      </w:pPr>
    </w:p>
    <w:p>
      <w:pPr>
        <w:jc w:val="both"/>
        <w:ind w:firstLine="980"/>
        <w:spacing w:after="0" w:line="279" w:lineRule="auto"/>
        <w:tabs>
          <w:tab w:leader="none" w:pos="1412"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9"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8" w:lineRule="auto"/>
        <w:tabs>
          <w:tab w:leader="none" w:pos="789"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240"/>
          </w:cols>
          <w:pgMar w:left="320" w:top="1422" w:right="339" w:bottom="1440" w:gutter="0" w:footer="0" w:header="0"/>
        </w:sectPr>
      </w:pPr>
    </w:p>
    <w:bookmarkStart w:id="662" w:name="page663"/>
    <w:bookmarkEnd w:id="662"/>
    <w:p>
      <w:pPr>
        <w:spacing w:after="0"/>
        <w:rPr>
          <w:sz w:val="20"/>
          <w:szCs w:val="20"/>
          <w:color w:val="auto"/>
        </w:rPr>
      </w:pPr>
      <w:r>
        <w:rPr>
          <w:rFonts w:ascii="Arial" w:cs="Arial" w:eastAsia="Arial" w:hAnsi="Arial"/>
          <w:sz w:val="17"/>
          <w:szCs w:val="17"/>
          <w:color w:val="auto"/>
        </w:rPr>
        <w:t>per share price thereof and the remaining cash balance, if any, carried forward to the next Purchase Period or Offering Period, as the case may be.</w:t>
      </w:r>
    </w:p>
    <w:p>
      <w:pPr>
        <w:spacing w:after="0" w:line="179" w:lineRule="exact"/>
        <w:rPr>
          <w:sz w:val="20"/>
          <w:szCs w:val="20"/>
          <w:color w:val="auto"/>
        </w:rPr>
      </w:pPr>
    </w:p>
    <w:p>
      <w:pPr>
        <w:jc w:val="both"/>
        <w:ind w:firstLine="332"/>
        <w:spacing w:after="0" w:line="256" w:lineRule="auto"/>
        <w:tabs>
          <w:tab w:leader="none" w:pos="810"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1"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2"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539"/>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240"/>
          </w:cols>
          <w:pgMar w:left="320" w:top="1422" w:right="339" w:bottom="1440" w:gutter="0" w:footer="0" w:header="0"/>
        </w:sectPr>
      </w:pPr>
    </w:p>
    <w:bookmarkStart w:id="663" w:name="page664"/>
    <w:bookmarkEnd w:id="663"/>
    <w:p>
      <w:pPr>
        <w:jc w:val="both"/>
        <w:ind w:firstLine="332"/>
        <w:spacing w:after="0" w:line="274" w:lineRule="auto"/>
        <w:tabs>
          <w:tab w:leader="none" w:pos="799"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UPON ISSUANCE OF SHARES; LIMITATION ON SALE OF SHARES. </w:t>
      </w:r>
      <w:r>
        <w:rPr>
          <w:rFonts w:ascii="Arial" w:cs="Arial" w:eastAsia="Arial" w:hAnsi="Arial"/>
          <w:sz w:val="17"/>
          <w:szCs w:val="17"/>
          <w:color w:val="auto"/>
        </w:rPr>
        <w:t>Shares shall not be issued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19" w:lineRule="exact"/>
        <w:rPr>
          <w:rFonts w:ascii="Arial" w:cs="Arial" w:eastAsia="Arial" w:hAnsi="Arial"/>
          <w:sz w:val="17"/>
          <w:szCs w:val="17"/>
          <w:b w:val="1"/>
          <w:bCs w:val="1"/>
          <w:color w:val="auto"/>
        </w:rPr>
      </w:pPr>
    </w:p>
    <w:p>
      <w:pPr>
        <w:ind w:left="720" w:hanging="388"/>
        <w:spacing w:after="0"/>
        <w:tabs>
          <w:tab w:leader="none" w:pos="720"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408" w:val="left"/>
        </w:tabs>
        <w:numPr>
          <w:ilvl w:val="1"/>
          <w:numId w:val="540"/>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240"/>
          </w:cols>
          <w:pgMar w:left="320" w:top="1418" w:right="339" w:bottom="1440" w:gutter="0" w:footer="0" w:header="0"/>
        </w:sectPr>
      </w:pPr>
    </w:p>
    <w:bookmarkStart w:id="664" w:name="page665"/>
    <w:bookmarkEnd w:id="664"/>
    <w:p>
      <w:pPr>
        <w:jc w:val="both"/>
        <w:spacing w:after="0" w:line="288" w:lineRule="auto"/>
        <w:rPr>
          <w:sz w:val="20"/>
          <w:szCs w:val="20"/>
          <w:color w:val="auto"/>
        </w:rPr>
      </w:pPr>
      <w:r>
        <w:rPr>
          <w:rFonts w:ascii="Arial" w:cs="Arial" w:eastAsia="Arial" w:hAnsi="Arial"/>
          <w:sz w:val="16"/>
          <w:szCs w:val="16"/>
          <w:color w:val="auto"/>
        </w:rPr>
        <w:t>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4" w:lineRule="exact"/>
        <w:rPr>
          <w:sz w:val="20"/>
          <w:szCs w:val="20"/>
          <w:color w:val="auto"/>
        </w:rPr>
      </w:pPr>
    </w:p>
    <w:p>
      <w:pPr>
        <w:jc w:val="both"/>
        <w:ind w:firstLine="980"/>
        <w:spacing w:after="0" w:line="257" w:lineRule="auto"/>
        <w:tabs>
          <w:tab w:leader="none" w:pos="1468" w:val="left"/>
        </w:tabs>
        <w:numPr>
          <w:ilvl w:val="1"/>
          <w:numId w:val="541"/>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32" w:val="left"/>
        </w:tabs>
        <w:numPr>
          <w:ilvl w:val="1"/>
          <w:numId w:val="54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entity, other than a Subsidiary or Parent, (i) that, directly or indirectly, is controlled by, controls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 dated as of February 9, 2021.</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49" w:val="left"/>
        </w:tabs>
        <w:numPr>
          <w:ilvl w:val="1"/>
          <w:numId w:val="5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240"/>
          </w:cols>
          <w:pgMar w:left="320" w:top="1422" w:right="339" w:bottom="1440" w:gutter="0" w:footer="0" w:header="0"/>
        </w:sectPr>
      </w:pPr>
    </w:p>
    <w:bookmarkStart w:id="665" w:name="page666"/>
    <w:bookmarkEnd w:id="665"/>
    <w:p>
      <w:pPr>
        <w:jc w:val="both"/>
        <w:spacing w:after="0" w:line="279" w:lineRule="auto"/>
        <w:rPr>
          <w:sz w:val="20"/>
          <w:szCs w:val="20"/>
          <w:color w:val="auto"/>
        </w:rPr>
      </w:pPr>
      <w:r>
        <w:rPr>
          <w:rFonts w:ascii="Arial" w:cs="Arial" w:eastAsia="Arial" w:hAnsi="Arial"/>
          <w:sz w:val="17"/>
          <w:szCs w:val="17"/>
          <w:color w:val="auto"/>
        </w:rPr>
        <w:t>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sz w:val="20"/>
          <w:szCs w:val="20"/>
          <w:color w:val="auto"/>
        </w:rPr>
      </w:pPr>
    </w:p>
    <w:p>
      <w:pPr>
        <w:ind w:left="1360" w:hanging="380"/>
        <w:spacing w:after="0"/>
        <w:tabs>
          <w:tab w:leader="none" w:pos="13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1956" w:val="left"/>
        </w:tabs>
        <w:numPr>
          <w:ilvl w:val="1"/>
          <w:numId w:val="543"/>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628"/>
        <w:spacing w:after="0" w:line="263" w:lineRule="auto"/>
        <w:tabs>
          <w:tab w:leader="none" w:pos="2005"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30" w:lineRule="exact"/>
        <w:rPr>
          <w:sz w:val="20"/>
          <w:szCs w:val="20"/>
          <w:color w:val="auto"/>
        </w:rPr>
      </w:pPr>
    </w:p>
    <w:p>
      <w:pPr>
        <w:jc w:val="both"/>
        <w:ind w:firstLine="1628"/>
        <w:spacing w:after="0" w:line="263" w:lineRule="auto"/>
        <w:tabs>
          <w:tab w:leader="none" w:pos="2025"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30" w:lineRule="exact"/>
        <w:rPr>
          <w:sz w:val="20"/>
          <w:szCs w:val="20"/>
          <w:color w:val="auto"/>
        </w:rPr>
      </w:pPr>
    </w:p>
    <w:p>
      <w:pPr>
        <w:ind w:left="1980" w:hanging="352"/>
        <w:spacing w:after="0"/>
        <w:tabs>
          <w:tab w:leader="none" w:pos="198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57" w:lineRule="exact"/>
        <w:rPr>
          <w:sz w:val="20"/>
          <w:szCs w:val="20"/>
          <w:color w:val="auto"/>
        </w:rPr>
      </w:pPr>
    </w:p>
    <w:p>
      <w:pPr>
        <w:ind w:firstLine="980"/>
        <w:spacing w:after="0" w:line="277" w:lineRule="auto"/>
        <w:tabs>
          <w:tab w:leader="none" w:pos="138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firstLine="980"/>
        <w:spacing w:after="0" w:line="277"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240"/>
          </w:cols>
          <w:pgMar w:left="320" w:top="1422" w:right="339" w:bottom="1440" w:gutter="0" w:footer="0" w:header="0"/>
        </w:sectPr>
      </w:pPr>
    </w:p>
    <w:bookmarkStart w:id="666" w:name="page667"/>
    <w:bookmarkEnd w:id="666"/>
    <w:p>
      <w:pPr>
        <w:ind w:left="1340" w:hanging="380"/>
        <w:spacing w:after="0"/>
        <w:tabs>
          <w:tab w:leader="none" w:pos="13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40" w:hanging="380"/>
        <w:spacing w:after="0"/>
        <w:tabs>
          <w:tab w:leader="none" w:pos="13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171" w:lineRule="exact"/>
        <w:rPr>
          <w:rFonts w:ascii="Arial" w:cs="Arial" w:eastAsia="Arial" w:hAnsi="Arial"/>
          <w:sz w:val="18"/>
          <w:szCs w:val="18"/>
          <w:color w:val="auto"/>
        </w:rPr>
      </w:pPr>
    </w:p>
    <w:p>
      <w:pPr>
        <w:ind w:left="-20" w:firstLine="980"/>
        <w:spacing w:after="0" w:line="277" w:lineRule="auto"/>
        <w:tabs>
          <w:tab w:leader="none" w:pos="143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firstLine="980"/>
        <w:spacing w:after="0" w:line="263" w:lineRule="auto"/>
        <w:tabs>
          <w:tab w:leader="none" w:pos="138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220"/>
          </w:cols>
          <w:pgMar w:left="340" w:top="1422" w:right="339" w:bottom="1440" w:gutter="0" w:footer="0" w:header="0"/>
        </w:sectPr>
      </w:pPr>
    </w:p>
    <w:bookmarkStart w:id="667" w:name="page668"/>
    <w:bookmarkEnd w:id="667"/>
    <w:p>
      <w:pPr>
        <w:jc w:val="center"/>
        <w:spacing w:after="0"/>
        <w:rPr>
          <w:sz w:val="20"/>
          <w:szCs w:val="20"/>
          <w:color w:val="auto"/>
        </w:rPr>
      </w:pPr>
      <w:r>
        <w:rPr>
          <w:rFonts w:ascii="Arial" w:cs="Arial" w:eastAsia="Arial" w:hAnsi="Arial"/>
          <w:sz w:val="18"/>
          <w:szCs w:val="18"/>
          <w:b w:val="1"/>
          <w:bCs w:val="1"/>
          <w:color w:val="auto"/>
        </w:rPr>
        <w:t>ANNEX F</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FORFEITURE AGREEMENT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CMLS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Sinai Genomics, Inc. (d/b/a Sema4)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153" w:lineRule="exact"/>
        <w:rPr>
          <w:sz w:val="20"/>
          <w:szCs w:val="20"/>
          <w:color w:val="auto"/>
        </w:rPr>
      </w:pPr>
    </w:p>
    <w:p>
      <w:pPr>
        <w:ind w:right="4200"/>
        <w:spacing w:after="0" w:line="440" w:lineRule="auto"/>
        <w:rPr>
          <w:sz w:val="20"/>
          <w:szCs w:val="20"/>
          <w:color w:val="auto"/>
        </w:rPr>
      </w:pPr>
      <w:r>
        <w:rPr>
          <w:rFonts w:ascii="Arial" w:cs="Arial" w:eastAsia="Arial" w:hAnsi="Arial"/>
          <w:sz w:val="18"/>
          <w:szCs w:val="18"/>
          <w:b w:val="1"/>
          <w:bCs w:val="1"/>
          <w:color w:val="auto"/>
        </w:rPr>
        <w:t xml:space="preserve">Re: Forfeiture of Certain Sponsor Class B Common Stock and Private Placement Warrants </w:t>
      </w:r>
      <w:r>
        <w:rPr>
          <w:rFonts w:ascii="Arial" w:cs="Arial" w:eastAsia="Arial" w:hAnsi="Arial"/>
          <w:sz w:val="18"/>
          <w:szCs w:val="18"/>
          <w:color w:val="auto"/>
        </w:rPr>
        <w:t>Ladies and Gentlemen: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hereby made to:</w:t>
      </w:r>
    </w:p>
    <w:p>
      <w:pPr>
        <w:spacing w:after="0" w:line="171" w:lineRule="exact"/>
        <w:rPr>
          <w:sz w:val="20"/>
          <w:szCs w:val="20"/>
          <w:color w:val="auto"/>
        </w:rPr>
      </w:pPr>
    </w:p>
    <w:p>
      <w:pPr>
        <w:jc w:val="both"/>
        <w:ind w:left="660" w:hanging="328"/>
        <w:spacing w:after="0" w:line="311" w:lineRule="auto"/>
        <w:tabs>
          <w:tab w:leader="none" w:pos="654" w:val="left"/>
        </w:tabs>
        <w:numPr>
          <w:ilvl w:val="0"/>
          <w:numId w:val="549"/>
        </w:numPr>
        <w:rPr>
          <w:rFonts w:ascii="Arial" w:cs="Arial" w:eastAsia="Arial" w:hAnsi="Arial"/>
          <w:sz w:val="16"/>
          <w:szCs w:val="16"/>
          <w:color w:val="auto"/>
        </w:rPr>
      </w:pPr>
      <w:r>
        <w:rPr>
          <w:rFonts w:ascii="Arial" w:cs="Arial" w:eastAsia="Arial" w:hAnsi="Arial"/>
          <w:sz w:val="16"/>
          <w:szCs w:val="16"/>
          <w:color w:val="auto"/>
        </w:rPr>
        <w:t>that certain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dated as of the date hereof, among CM Life Sciences, Inc., a Delaware corporation and publicly traded NASDAQ-listed acquisition company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S-IV Sub, Inc., a Delaware corporation and a direct, wholly-owned subsidiary of Parent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Mount Sinai Genomics, Inc., a Delaware corporation, d/b/a Sema4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94" w:lineRule="exact"/>
        <w:rPr>
          <w:rFonts w:ascii="Arial" w:cs="Arial" w:eastAsia="Arial" w:hAnsi="Arial"/>
          <w:sz w:val="16"/>
          <w:szCs w:val="16"/>
          <w:color w:val="auto"/>
        </w:rPr>
      </w:pPr>
    </w:p>
    <w:p>
      <w:pPr>
        <w:jc w:val="both"/>
        <w:ind w:left="660" w:hanging="328"/>
        <w:spacing w:after="0" w:line="279" w:lineRule="auto"/>
        <w:tabs>
          <w:tab w:leader="none" w:pos="65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that certain Private Placement Warrants Purchase Agreement (the “</w:t>
      </w:r>
      <w:r>
        <w:rPr>
          <w:rFonts w:ascii="Arial" w:cs="Arial" w:eastAsia="Arial" w:hAnsi="Arial"/>
          <w:sz w:val="17"/>
          <w:szCs w:val="17"/>
          <w:b w:val="1"/>
          <w:bCs w:val="1"/>
          <w:i w:val="1"/>
          <w:iCs w:val="1"/>
          <w:color w:val="auto"/>
        </w:rPr>
        <w:t>Warrant Purchase Agreement</w:t>
      </w:r>
      <w:r>
        <w:rPr>
          <w:rFonts w:ascii="Arial" w:cs="Arial" w:eastAsia="Arial" w:hAnsi="Arial"/>
          <w:sz w:val="17"/>
          <w:szCs w:val="17"/>
          <w:color w:val="auto"/>
        </w:rPr>
        <w:t>”), dated September 1, 2020, among Parent,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other parties thereto, pursuant to which the Sponsor and the other purchasers set forth on the signature pages thereto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acquired redeemable warrants to purchase shares of Parent’s Class A common stock (the ”</w:t>
      </w:r>
      <w:r>
        <w:rPr>
          <w:rFonts w:ascii="Arial" w:cs="Arial" w:eastAsia="Arial" w:hAnsi="Arial"/>
          <w:sz w:val="17"/>
          <w:szCs w:val="17"/>
          <w:b w:val="1"/>
          <w:bCs w:val="1"/>
          <w:i w:val="1"/>
          <w:iCs w:val="1"/>
          <w:color w:val="auto"/>
        </w:rPr>
        <w:t>Sponsor Warrants</w:t>
      </w:r>
      <w:r>
        <w:rPr>
          <w:rFonts w:ascii="Arial" w:cs="Arial" w:eastAsia="Arial" w:hAnsi="Arial"/>
          <w:sz w:val="17"/>
          <w:szCs w:val="17"/>
          <w:color w:val="auto"/>
        </w:rPr>
        <w:t>”), as more specifically set forth therein; and</w:t>
      </w:r>
    </w:p>
    <w:p>
      <w:pPr>
        <w:spacing w:after="0" w:line="11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that certain Securities Subscription Agreement (the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dated July 16, 2020, between the Sponsor and Parent, pursuant to which the Sponsor subscribed for shares of Class B common stock of Parent (the “</w:t>
      </w:r>
      <w:r>
        <w:rPr>
          <w:rFonts w:ascii="Arial" w:cs="Arial" w:eastAsia="Arial" w:hAnsi="Arial"/>
          <w:sz w:val="18"/>
          <w:szCs w:val="18"/>
          <w:b w:val="1"/>
          <w:bCs w:val="1"/>
          <w:i w:val="1"/>
          <w:iCs w:val="1"/>
          <w:color w:val="auto"/>
        </w:rPr>
        <w:t>Sponsor Class B Shares</w:t>
      </w:r>
      <w:r>
        <w:rPr>
          <w:rFonts w:ascii="Arial" w:cs="Arial" w:eastAsia="Arial" w:hAnsi="Arial"/>
          <w:sz w:val="18"/>
          <w:szCs w:val="18"/>
          <w:color w:val="auto"/>
        </w:rPr>
        <w:t>”), as more specifically set forth therein.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Capitalized terms used but not defined herein shall have the meanings ascribed to them in the Merger Agreement, the Warrant Purchase Agreement or the Subscription Agreement, as applicable.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induce Parent and the Company to enter into the Merger Agreement and to proceed with the transactions contemplated therein and thereby, and for other good and valuable consideration, the receipt and sufficiency of which are hereby acknowledged, Parent, the Company and the Sponsor, hereby agree, pursuant to this letter agreement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as follows:</w:t>
      </w:r>
    </w:p>
    <w:p>
      <w:pPr>
        <w:spacing w:after="0" w:line="130" w:lineRule="exact"/>
        <w:rPr>
          <w:sz w:val="20"/>
          <w:szCs w:val="20"/>
          <w:color w:val="auto"/>
        </w:rPr>
      </w:pPr>
    </w:p>
    <w:p>
      <w:pPr>
        <w:ind w:left="660" w:hanging="328"/>
        <w:spacing w:after="0" w:line="277" w:lineRule="auto"/>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Forfeiture of Sponsor Warrants</w:t>
      </w:r>
      <w:r>
        <w:rPr>
          <w:rFonts w:ascii="Arial" w:cs="Arial" w:eastAsia="Arial" w:hAnsi="Arial"/>
          <w:sz w:val="18"/>
          <w:szCs w:val="18"/>
          <w:color w:val="auto"/>
        </w:rPr>
        <w:t>. Effective immediately prior to (and contingent upon) the Closing, the Sponsor agrees to forfeit a certain number of the Sponsor Warrants, calculated as follows: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7" w:val="left"/>
        </w:tabs>
        <w:numPr>
          <w:ilvl w:val="1"/>
          <w:numId w:val="550"/>
        </w:numPr>
        <w:rPr>
          <w:rFonts w:ascii="Arial" w:cs="Arial" w:eastAsia="Arial" w:hAnsi="Arial"/>
          <w:sz w:val="18"/>
          <w:szCs w:val="18"/>
          <w:color w:val="auto"/>
        </w:rPr>
      </w:pPr>
      <w:r>
        <w:rPr>
          <w:rFonts w:ascii="Arial" w:cs="Arial" w:eastAsia="Arial" w:hAnsi="Arial"/>
          <w:sz w:val="18"/>
          <w:szCs w:val="18"/>
          <w:color w:val="auto"/>
        </w:rPr>
        <w:t xml:space="preserve">In the event that Parent Stockholder Redemptions reduce the aggregate amount of funds held in the Trust Account, the Sponsor agrees to forfeit a number of the Sponsor Warrants equal to the </w:t>
      </w:r>
      <w:r>
        <w:rPr>
          <w:rFonts w:ascii="Arial" w:cs="Arial" w:eastAsia="Arial" w:hAnsi="Arial"/>
          <w:sz w:val="18"/>
          <w:szCs w:val="18"/>
          <w:u w:val="single" w:color="auto"/>
          <w:color w:val="auto"/>
        </w:rPr>
        <w:t>product of</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2"/>
          <w:numId w:val="550"/>
        </w:numPr>
        <w:rPr>
          <w:rFonts w:ascii="Arial" w:cs="Arial" w:eastAsia="Arial" w:hAnsi="Arial"/>
          <w:sz w:val="18"/>
          <w:szCs w:val="18"/>
          <w:color w:val="auto"/>
        </w:rPr>
      </w:pPr>
      <w:r>
        <w:rPr>
          <w:rFonts w:ascii="Arial" w:cs="Arial" w:eastAsia="Arial" w:hAnsi="Arial"/>
          <w:sz w:val="18"/>
          <w:szCs w:val="18"/>
          <w:color w:val="auto"/>
        </w:rPr>
        <w:t xml:space="preserve">one-third (1/3) of the Sponsor Warrants; </w:t>
      </w:r>
      <w:r>
        <w:rPr>
          <w:rFonts w:ascii="Arial" w:cs="Arial" w:eastAsia="Arial" w:hAnsi="Arial"/>
          <w:sz w:val="18"/>
          <w:szCs w:val="18"/>
          <w:u w:val="single" w:color="auto"/>
          <w:color w:val="auto"/>
        </w:rPr>
        <w:t>multiplied by</w:t>
      </w:r>
    </w:p>
    <w:p>
      <w:pPr>
        <w:spacing w:after="0" w:line="171" w:lineRule="exact"/>
        <w:rPr>
          <w:rFonts w:ascii="Arial" w:cs="Arial" w:eastAsia="Arial" w:hAnsi="Arial"/>
          <w:sz w:val="18"/>
          <w:szCs w:val="18"/>
          <w:color w:val="auto"/>
        </w:rPr>
      </w:pPr>
    </w:p>
    <w:p>
      <w:pPr>
        <w:ind w:left="1300" w:hanging="320"/>
        <w:spacing w:after="0" w:line="277" w:lineRule="auto"/>
        <w:tabs>
          <w:tab w:leader="none" w:pos="1290" w:val="left"/>
        </w:tabs>
        <w:numPr>
          <w:ilvl w:val="2"/>
          <w:numId w:val="550"/>
        </w:numPr>
        <w:rPr>
          <w:rFonts w:ascii="Arial" w:cs="Arial" w:eastAsia="Arial" w:hAnsi="Arial"/>
          <w:sz w:val="18"/>
          <w:szCs w:val="18"/>
          <w:color w:val="auto"/>
        </w:rPr>
      </w:pPr>
      <w:r>
        <w:rPr>
          <w:rFonts w:ascii="Arial" w:cs="Arial" w:eastAsia="Arial" w:hAnsi="Arial"/>
          <w:sz w:val="18"/>
          <w:szCs w:val="18"/>
          <w:color w:val="auto"/>
        </w:rPr>
        <w:t>a percentage equal to the quotient of the dollar amount of Parent Stockholder Redemptions divided by dollar value of the aggregate amount of funds held in the Trust Account as of the date hereof (the “</w:t>
      </w:r>
      <w:r>
        <w:rPr>
          <w:rFonts w:ascii="Arial" w:cs="Arial" w:eastAsia="Arial" w:hAnsi="Arial"/>
          <w:sz w:val="18"/>
          <w:szCs w:val="18"/>
          <w:b w:val="1"/>
          <w:bCs w:val="1"/>
          <w:i w:val="1"/>
          <w:iCs w:val="1"/>
          <w:color w:val="auto"/>
        </w:rPr>
        <w:t>Forfeiture Percentage</w:t>
      </w:r>
      <w:r>
        <w:rPr>
          <w:rFonts w:ascii="Arial" w:cs="Arial" w:eastAsia="Arial" w:hAnsi="Arial"/>
          <w:sz w:val="18"/>
          <w:szCs w:val="18"/>
          <w:color w:val="auto"/>
        </w:rPr>
        <w: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Such product, rounded down to the nearest whole number of Sponsor Warrants, the “</w:t>
      </w:r>
      <w:r>
        <w:rPr>
          <w:rFonts w:ascii="Arial" w:cs="Arial" w:eastAsia="Arial" w:hAnsi="Arial"/>
          <w:sz w:val="18"/>
          <w:szCs w:val="18"/>
          <w:b w:val="1"/>
          <w:bCs w:val="1"/>
          <w:i w:val="1"/>
          <w:iCs w:val="1"/>
          <w:color w:val="auto"/>
        </w:rPr>
        <w:t>Forfeited Sponsor Warrants,</w:t>
      </w:r>
      <w:r>
        <w:rPr>
          <w:rFonts w:ascii="Arial" w:cs="Arial" w:eastAsia="Arial" w:hAnsi="Arial"/>
          <w:sz w:val="18"/>
          <w:szCs w:val="18"/>
          <w:color w:val="auto"/>
        </w:rPr>
        <w:t>” and the forfeiture thereof, the “</w:t>
      </w:r>
      <w:r>
        <w:rPr>
          <w:rFonts w:ascii="Arial" w:cs="Arial" w:eastAsia="Arial" w:hAnsi="Arial"/>
          <w:sz w:val="18"/>
          <w:szCs w:val="18"/>
          <w:b w:val="1"/>
          <w:bCs w:val="1"/>
          <w:i w:val="1"/>
          <w:iCs w:val="1"/>
          <w:color w:val="auto"/>
        </w:rPr>
        <w:t>Warrant Forfeiture.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18" w:right="339" w:bottom="1440" w:gutter="0" w:footer="0" w:header="0"/>
        </w:sectPr>
      </w:pPr>
    </w:p>
    <w:bookmarkStart w:id="668" w:name="page669"/>
    <w:bookmarkEnd w:id="668"/>
    <w:p>
      <w:pPr>
        <w:ind w:firstLine="324"/>
        <w:spacing w:after="0" w:line="277" w:lineRule="auto"/>
        <w:rPr>
          <w:sz w:val="20"/>
          <w:szCs w:val="20"/>
          <w:color w:val="auto"/>
        </w:rPr>
      </w:pPr>
      <w:r>
        <w:rPr>
          <w:rFonts w:ascii="Arial" w:cs="Arial" w:eastAsia="Arial" w:hAnsi="Arial"/>
          <w:sz w:val="18"/>
          <w:szCs w:val="18"/>
          <w:color w:val="auto"/>
        </w:rPr>
        <w:t>For the avoidance of doubt, in no event shall the number of Forfeited Sponsor Warrants be less than zero or greater than one-third (1/3) of the Sponsor Warrants. Notwithstanding the foregoing, no Warrant Forfeiture will be required if the Forfeiture Percentage is less than 3%.</w:t>
      </w:r>
    </w:p>
    <w:p>
      <w:pPr>
        <w:spacing w:after="0" w:line="116" w:lineRule="exact"/>
        <w:rPr>
          <w:sz w:val="20"/>
          <w:szCs w:val="20"/>
          <w:color w:val="auto"/>
        </w:rPr>
      </w:pPr>
    </w:p>
    <w:p>
      <w:pPr>
        <w:ind w:left="660" w:right="20" w:hanging="328"/>
        <w:spacing w:after="0" w:line="277" w:lineRule="auto"/>
        <w:tabs>
          <w:tab w:leader="none" w:pos="66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Forfeiture of Sponsor Class B Shares</w:t>
      </w:r>
      <w:r>
        <w:rPr>
          <w:rFonts w:ascii="Arial" w:cs="Arial" w:eastAsia="Arial" w:hAnsi="Arial"/>
          <w:sz w:val="18"/>
          <w:szCs w:val="18"/>
          <w:color w:val="auto"/>
        </w:rPr>
        <w:t>. Effective immediately prior to (and contingent upon) the Closing, the Sponsor agrees to forfeit a certain number of the Sponsor Class B Shares, calculated as follows: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7" w:val="left"/>
        </w:tabs>
        <w:numPr>
          <w:ilvl w:val="1"/>
          <w:numId w:val="551"/>
        </w:numPr>
        <w:rPr>
          <w:rFonts w:ascii="Arial" w:cs="Arial" w:eastAsia="Arial" w:hAnsi="Arial"/>
          <w:sz w:val="18"/>
          <w:szCs w:val="18"/>
          <w:color w:val="auto"/>
        </w:rPr>
      </w:pPr>
      <w:r>
        <w:rPr>
          <w:rFonts w:ascii="Arial" w:cs="Arial" w:eastAsia="Arial" w:hAnsi="Arial"/>
          <w:sz w:val="18"/>
          <w:szCs w:val="18"/>
          <w:color w:val="auto"/>
        </w:rPr>
        <w:t xml:space="preserve">In the event that Parent Stockholder Redemptions reduce the aggregate amount of funds held in the Trust Account, the Sponsor agrees to forfeit a number of the Sponsor Class B Shares equal to the </w:t>
      </w:r>
      <w:r>
        <w:rPr>
          <w:rFonts w:ascii="Arial" w:cs="Arial" w:eastAsia="Arial" w:hAnsi="Arial"/>
          <w:sz w:val="18"/>
          <w:szCs w:val="18"/>
          <w:u w:val="single" w:color="auto"/>
          <w:color w:val="auto"/>
        </w:rPr>
        <w:t>product of</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 xml:space="preserve">one-third (1/3) of the Sponsor Class B Shares; </w:t>
      </w:r>
      <w:r>
        <w:rPr>
          <w:rFonts w:ascii="Arial" w:cs="Arial" w:eastAsia="Arial" w:hAnsi="Arial"/>
          <w:sz w:val="18"/>
          <w:szCs w:val="18"/>
          <w:u w:val="single" w:color="auto"/>
          <w:color w:val="auto"/>
        </w:rPr>
        <w:t>multiplied by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Forfeiture Percentage.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Such product, rounded down to the nearest whole number of Sponsor Class B Shares, the “</w:t>
      </w:r>
      <w:r>
        <w:rPr>
          <w:rFonts w:ascii="Arial" w:cs="Arial" w:eastAsia="Arial" w:hAnsi="Arial"/>
          <w:sz w:val="18"/>
          <w:szCs w:val="18"/>
          <w:b w:val="1"/>
          <w:bCs w:val="1"/>
          <w:i w:val="1"/>
          <w:iCs w:val="1"/>
          <w:color w:val="auto"/>
        </w:rPr>
        <w:t>Forfeited Sponsor Class B Shares</w:t>
      </w:r>
      <w:r>
        <w:rPr>
          <w:rFonts w:ascii="Arial" w:cs="Arial" w:eastAsia="Arial" w:hAnsi="Arial"/>
          <w:sz w:val="18"/>
          <w:szCs w:val="18"/>
          <w:color w:val="auto"/>
        </w:rPr>
        <w:t>,” and the forfeiture thereof, the “</w:t>
      </w:r>
      <w:r>
        <w:rPr>
          <w:rFonts w:ascii="Arial" w:cs="Arial" w:eastAsia="Arial" w:hAnsi="Arial"/>
          <w:sz w:val="18"/>
          <w:szCs w:val="18"/>
          <w:b w:val="1"/>
          <w:bCs w:val="1"/>
          <w:i w:val="1"/>
          <w:iCs w:val="1"/>
          <w:color w:val="auto"/>
        </w:rPr>
        <w:t>Share Forfeiture.</w:t>
      </w:r>
      <w:r>
        <w:rPr>
          <w:rFonts w:ascii="Arial" w:cs="Arial" w:eastAsia="Arial" w:hAnsi="Arial"/>
          <w:sz w:val="18"/>
          <w:szCs w:val="18"/>
          <w:color w:val="auto"/>
        </w:rPr>
        <w: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avoidance of doubt, in no event shall the number of Forfeited Class B Shares be less than zero or greater than one-third (1/3) of the Sponsor Class B Shares. Notwithstanding the foregoing, no Share Forfeiture will be required if the Forfeiture Percentage is less than 3%.</w:t>
      </w:r>
    </w:p>
    <w:p>
      <w:pPr>
        <w:spacing w:after="0" w:line="116" w:lineRule="exact"/>
        <w:rPr>
          <w:sz w:val="20"/>
          <w:szCs w:val="20"/>
          <w:color w:val="auto"/>
        </w:rPr>
      </w:pPr>
    </w:p>
    <w:p>
      <w:pPr>
        <w:ind w:left="660" w:hanging="328"/>
        <w:spacing w:after="0"/>
        <w:tabs>
          <w:tab w:leader="none" w:pos="6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To effect the Warrant Forfeiture and the Share Forfeiture (together, the “</w:t>
      </w:r>
      <w:r>
        <w:rPr>
          <w:rFonts w:ascii="Arial" w:cs="Arial" w:eastAsia="Arial" w:hAnsi="Arial"/>
          <w:sz w:val="16"/>
          <w:szCs w:val="16"/>
          <w:b w:val="1"/>
          <w:bCs w:val="1"/>
          <w:i w:val="1"/>
          <w:iCs w:val="1"/>
          <w:color w:val="auto"/>
        </w:rPr>
        <w:t>Forfeitures</w:t>
      </w:r>
      <w:r>
        <w:rPr>
          <w:rFonts w:ascii="Arial" w:cs="Arial" w:eastAsia="Arial" w:hAnsi="Arial"/>
          <w:sz w:val="16"/>
          <w:szCs w:val="16"/>
          <w:color w:val="auto"/>
        </w:rPr>
        <w:t>”), immediately prior to (and contingent upon) the Closing:</w:t>
      </w:r>
    </w:p>
    <w:p>
      <w:pPr>
        <w:spacing w:after="0" w:line="194" w:lineRule="exact"/>
        <w:rPr>
          <w:rFonts w:ascii="Arial" w:cs="Arial" w:eastAsia="Arial" w:hAnsi="Arial"/>
          <w:sz w:val="16"/>
          <w:szCs w:val="16"/>
          <w:color w:val="auto"/>
        </w:rPr>
      </w:pPr>
    </w:p>
    <w:p>
      <w:pPr>
        <w:ind w:left="980" w:hanging="324"/>
        <w:spacing w:after="0" w:line="277" w:lineRule="auto"/>
        <w:tabs>
          <w:tab w:leader="none" w:pos="977"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Sponsor shall surrender the Forfeited Sponsor Warrants and the Forfeited Sponsor Class B Shares (together, the “</w:t>
      </w:r>
      <w:r>
        <w:rPr>
          <w:rFonts w:ascii="Arial" w:cs="Arial" w:eastAsia="Arial" w:hAnsi="Arial"/>
          <w:sz w:val="18"/>
          <w:szCs w:val="18"/>
          <w:b w:val="1"/>
          <w:bCs w:val="1"/>
          <w:i w:val="1"/>
          <w:iCs w:val="1"/>
          <w:color w:val="auto"/>
        </w:rPr>
        <w:t>Forfeited Sponsor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the Company for cancellation and in exchange for no consideration;</w:t>
      </w:r>
    </w:p>
    <w:p>
      <w:pPr>
        <w:spacing w:after="0" w:line="116" w:lineRule="exact"/>
        <w:rPr>
          <w:rFonts w:ascii="Arial" w:cs="Arial" w:eastAsia="Arial" w:hAnsi="Arial"/>
          <w:sz w:val="18"/>
          <w:szCs w:val="18"/>
          <w:color w:val="auto"/>
        </w:rPr>
      </w:pPr>
    </w:p>
    <w:p>
      <w:pPr>
        <w:ind w:left="980" w:hanging="324"/>
        <w:spacing w:after="0" w:line="277" w:lineRule="auto"/>
        <w:tabs>
          <w:tab w:leader="none" w:pos="974"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Company shall immediately retire and cancel all of the Forfeited Sponsor Securities (and shall direct the Company’s transfer agent (or such other intermediaries as appropriate) to take any and all such actions incident thereto); and</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Sponsor and the Company each shall take such actions as are necessary to cause the Forfeited Sponsor Securities to be retired and cancelled, after which the Forfeited Sponsor Securities shall no longer be issued, outstanding, convertible, or exercisable, and the Sponsor shall provide the Company with evidence that such retirement and cancellation has occurred.</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The Sponsor hereby represents and warrants to the Company, as of the date hereof and as of the Closing, that the Sponsor owns, and holds of record, all of the Forfeited Sponsor Securities, free and clear of all Liens and other obligations in respect of the Forfeited Sponsor Securities.</w:t>
      </w:r>
    </w:p>
    <w:p>
      <w:pPr>
        <w:spacing w:after="0" w:line="6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Letter Agreement shall be binding on the Sponsor, the Company, and their respective successors and assigns.</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This Letter Agreement shall immediately terminate, without any further action by the parties hereto, at such time, if at all, that the Merger Agreement is terminated in accordance with its terms.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Section 11.3 (</w:t>
      </w:r>
      <w:r>
        <w:rPr>
          <w:rFonts w:ascii="Arial" w:cs="Arial" w:eastAsia="Arial" w:hAnsi="Arial"/>
          <w:sz w:val="18"/>
          <w:szCs w:val="18"/>
          <w:i w:val="1"/>
          <w:iCs w:val="1"/>
          <w:color w:val="auto"/>
        </w:rPr>
        <w:t>Counterparts</w:t>
      </w:r>
      <w:r>
        <w:rPr>
          <w:rFonts w:ascii="Arial" w:cs="Arial" w:eastAsia="Arial" w:hAnsi="Arial"/>
          <w:sz w:val="18"/>
          <w:szCs w:val="18"/>
          <w:color w:val="auto"/>
        </w:rPr>
        <w:t>), Section 11.4 (</w:t>
      </w:r>
      <w:r>
        <w:rPr>
          <w:rFonts w:ascii="Arial" w:cs="Arial" w:eastAsia="Arial" w:hAnsi="Arial"/>
          <w:sz w:val="18"/>
          <w:szCs w:val="18"/>
          <w:i w:val="1"/>
          <w:iCs w:val="1"/>
          <w:color w:val="auto"/>
        </w:rPr>
        <w:t>Entire Agreement</w:t>
      </w:r>
      <w:r>
        <w:rPr>
          <w:rFonts w:ascii="Arial" w:cs="Arial" w:eastAsia="Arial" w:hAnsi="Arial"/>
          <w:sz w:val="18"/>
          <w:szCs w:val="18"/>
          <w:color w:val="auto"/>
        </w:rPr>
        <w:t>), Section 11.5 (</w:t>
      </w:r>
      <w:r>
        <w:rPr>
          <w:rFonts w:ascii="Arial" w:cs="Arial" w:eastAsia="Arial" w:hAnsi="Arial"/>
          <w:sz w:val="18"/>
          <w:szCs w:val="18"/>
          <w:i w:val="1"/>
          <w:iCs w:val="1"/>
          <w:color w:val="auto"/>
        </w:rPr>
        <w:t>Severability</w:t>
      </w:r>
      <w:r>
        <w:rPr>
          <w:rFonts w:ascii="Arial" w:cs="Arial" w:eastAsia="Arial" w:hAnsi="Arial"/>
          <w:sz w:val="18"/>
          <w:szCs w:val="18"/>
          <w:color w:val="auto"/>
        </w:rPr>
        <w:t>), Section 11.7 (</w:t>
      </w:r>
      <w:r>
        <w:rPr>
          <w:rFonts w:ascii="Arial" w:cs="Arial" w:eastAsia="Arial" w:hAnsi="Arial"/>
          <w:sz w:val="18"/>
          <w:szCs w:val="18"/>
          <w:i w:val="1"/>
          <w:iCs w:val="1"/>
          <w:color w:val="auto"/>
        </w:rPr>
        <w:t>Governing Law</w:t>
      </w:r>
      <w:r>
        <w:rPr>
          <w:rFonts w:ascii="Arial" w:cs="Arial" w:eastAsia="Arial" w:hAnsi="Arial"/>
          <w:sz w:val="18"/>
          <w:szCs w:val="18"/>
          <w:color w:val="auto"/>
        </w:rPr>
        <w:t>), Section 11.8 (</w:t>
      </w:r>
      <w:r>
        <w:rPr>
          <w:rFonts w:ascii="Arial" w:cs="Arial" w:eastAsia="Arial" w:hAnsi="Arial"/>
          <w:sz w:val="18"/>
          <w:szCs w:val="18"/>
          <w:i w:val="1"/>
          <w:iCs w:val="1"/>
          <w:color w:val="auto"/>
        </w:rPr>
        <w:t>Consent to</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Waiver of Jury Trial</w:t>
      </w:r>
      <w:r>
        <w:rPr>
          <w:rFonts w:ascii="Arial" w:cs="Arial" w:eastAsia="Arial" w:hAnsi="Arial"/>
          <w:sz w:val="18"/>
          <w:szCs w:val="18"/>
          <w:color w:val="auto"/>
        </w:rPr>
        <w:t>), Section 11.12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22" w:right="339" w:bottom="1440" w:gutter="0" w:footer="0" w:header="0"/>
        </w:sectPr>
      </w:pPr>
    </w:p>
    <w:bookmarkStart w:id="669" w:name="page670"/>
    <w:bookmarkEnd w:id="669"/>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w:t>
      </w:r>
      <w:r>
        <w:rPr>
          <w:rFonts w:ascii="Arial" w:cs="Arial" w:eastAsia="Arial" w:hAnsi="Arial"/>
          <w:sz w:val="18"/>
          <w:szCs w:val="18"/>
          <w:color w:val="auto"/>
        </w:rPr>
        <w:t>), and Section 11.13 (</w:t>
      </w:r>
      <w:r>
        <w:rPr>
          <w:rFonts w:ascii="Arial" w:cs="Arial" w:eastAsia="Arial" w:hAnsi="Arial"/>
          <w:sz w:val="18"/>
          <w:szCs w:val="18"/>
          <w:i w:val="1"/>
          <w:iCs w:val="1"/>
          <w:color w:val="auto"/>
        </w:rPr>
        <w:t>Waiver</w:t>
      </w:r>
      <w:r>
        <w:rPr>
          <w:rFonts w:ascii="Arial" w:cs="Arial" w:eastAsia="Arial" w:hAnsi="Arial"/>
          <w:sz w:val="18"/>
          <w:szCs w:val="18"/>
          <w:color w:val="auto"/>
        </w:rPr>
        <w:t>) of the Merger Agreement are hereby incorporated into this Letter Agreement, mutatis mutandis, as though set out in their entirety in this paragraph 9.</w:t>
      </w:r>
    </w:p>
    <w:p>
      <w:pPr>
        <w:spacing w:after="0" w:line="116"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580"/>
          </w:cols>
          <w:pgMar w:left="980" w:top="1422" w:right="339" w:bottom="1440" w:gutter="0" w:footer="0" w:header="0"/>
        </w:sectPr>
      </w:pPr>
    </w:p>
    <w:bookmarkStart w:id="670" w:name="page671"/>
    <w:bookmarkEnd w:id="670"/>
    <w:p>
      <w:pPr>
        <w:ind w:left="3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Agreement has been duly executed and delivered by each Party as of the date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Holdings LLC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Eli Casdan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Mount Sinai Genomics,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Schadt</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Dr. Eric Schadt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119"/>
          </w:cols>
          <w:pgMar w:left="340" w:top="1418" w:right="1440" w:bottom="1440" w:gutter="0" w:footer="0" w:header="0"/>
        </w:sectPr>
      </w:pPr>
    </w:p>
    <w:bookmarkStart w:id="671" w:name="page672"/>
    <w:bookmarkEnd w:id="671"/>
    <w:p>
      <w:pPr>
        <w:jc w:val="center"/>
        <w:spacing w:after="0"/>
        <w:rPr>
          <w:sz w:val="20"/>
          <w:szCs w:val="20"/>
          <w:color w:val="auto"/>
        </w:rPr>
      </w:pPr>
      <w:r>
        <w:rPr>
          <w:rFonts w:ascii="Arial" w:cs="Arial" w:eastAsia="Arial" w:hAnsi="Arial"/>
          <w:sz w:val="18"/>
          <w:szCs w:val="18"/>
          <w:b w:val="1"/>
          <w:bCs w:val="1"/>
          <w:color w:val="auto"/>
        </w:rPr>
        <w:t>ANNEX G</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relates to that certain Agreement and Plan of Merger entered into as of February 9, 2021 (as amended, restated, supplemented or modified from time to time,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by and among CM Life Sciences,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Mount Sinai Genomics, Inc., a Delaware corporation, d/b/a Sema4 (the “</w:t>
      </w:r>
      <w:r>
        <w:rPr>
          <w:rFonts w:ascii="Arial" w:cs="Arial" w:eastAsia="Arial" w:hAnsi="Arial"/>
          <w:sz w:val="17"/>
          <w:szCs w:val="17"/>
          <w:u w:val="single" w:color="auto"/>
          <w:color w:val="auto"/>
        </w:rPr>
        <w:t>Company</w:t>
      </w:r>
      <w:r>
        <w:rPr>
          <w:rFonts w:ascii="Arial" w:cs="Arial" w:eastAsia="Arial" w:hAnsi="Arial"/>
          <w:sz w:val="17"/>
          <w:szCs w:val="17"/>
          <w:color w:val="auto"/>
        </w:rPr>
        <w:t>”) and S-IV Sub, Inc., a Delaware corporation and a direct, wholly-owned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pursuant to which, among other Transactions, Merger Sub is to merge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continuing on as the surviving entity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a wholly owned subsidiary of Parent, on the terms and conditions set forth therein. Capitalized terms used and not otherwise defined herein are defined in the Transaction Agreement and shall have the meanings given to such terms in the Transaction Agreement.</w:t>
      </w:r>
    </w:p>
    <w:p>
      <w:pPr>
        <w:spacing w:after="0" w:line="123" w:lineRule="exact"/>
        <w:rPr>
          <w:sz w:val="20"/>
          <w:szCs w:val="20"/>
          <w:color w:val="auto"/>
        </w:rPr>
      </w:pPr>
    </w:p>
    <w:p>
      <w:pPr>
        <w:jc w:val="both"/>
        <w:ind w:firstLine="332"/>
        <w:spacing w:after="0" w:line="268" w:lineRule="auto"/>
        <w:tabs>
          <w:tab w:leader="none" w:pos="51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In order to induce all parties to consummate the transactions contemplated by the Transaction Agreement, the undersigned hereby agrees that, from the Closing Date until the earliest of: (a) the date that is 180 calendar days from the Closing Date, and (b) the date following the Closing Date on which Parent completes a liquidation, merger, stock exchange or other similar transaction that results in all of Parent’s stockholders having the right to exchange their shares of Parent capital stock for cash, securities or other property (the period between the Closing Date and the earliest of clauses (a) and (b),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shares of Parent Class A Stock issued to the undersigned pursuant to the Transaction Agreement (such shares of Parent Class A Stock, the “</w:t>
      </w:r>
      <w:r>
        <w:rPr>
          <w:rFonts w:ascii="Arial" w:cs="Arial" w:eastAsia="Arial" w:hAnsi="Arial"/>
          <w:sz w:val="17"/>
          <w:szCs w:val="17"/>
          <w:u w:val="single" w:color="auto"/>
          <w:color w:val="auto"/>
        </w:rPr>
        <w:t>Lock-up Shares</w:t>
      </w:r>
      <w:r>
        <w:rPr>
          <w:rFonts w:ascii="Arial" w:cs="Arial" w:eastAsia="Arial" w:hAnsi="Arial"/>
          <w:sz w:val="17"/>
          <w:szCs w:val="17"/>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Notwithstanding the foregoing, the undersigned may take any of the actions specified in clauses (i), (ii) and (iii) above at any time after the first date on which the closing price of Parent Class A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30" w:lineRule="exact"/>
        <w:rPr>
          <w:rFonts w:ascii="Arial" w:cs="Arial" w:eastAsia="Arial" w:hAnsi="Arial"/>
          <w:sz w:val="17"/>
          <w:szCs w:val="17"/>
          <w:color w:val="auto"/>
        </w:rPr>
      </w:pPr>
    </w:p>
    <w:p>
      <w:pPr>
        <w:jc w:val="both"/>
        <w:ind w:firstLine="332"/>
        <w:spacing w:after="0" w:line="272" w:lineRule="auto"/>
        <w:tabs>
          <w:tab w:leader="none" w:pos="512" w:val="left"/>
        </w:tabs>
        <w:numPr>
          <w:ilvl w:val="0"/>
          <w:numId w:val="553"/>
        </w:numPr>
        <w:rPr>
          <w:rFonts w:ascii="Arial" w:cs="Arial" w:eastAsia="Arial" w:hAnsi="Arial"/>
          <w:sz w:val="17"/>
          <w:szCs w:val="17"/>
          <w:color w:val="auto"/>
        </w:rPr>
      </w:pPr>
      <w:r>
        <w:rPr>
          <w:rFonts w:ascii="Arial" w:cs="Arial" w:eastAsia="Arial" w:hAnsi="Arial"/>
          <w:sz w:val="17"/>
          <w:szCs w:val="17"/>
          <w:color w:val="auto"/>
        </w:rPr>
        <w:t>For the avoidance of doubt, none of the restrictions set forth in this Agreement shall apply to: (i) any shares of Parent Class A Stock purchased by the undersigned in the open market or in any public or private capital raising transaction of Parent or otherwise, including, without limitation, any shares of Parent Class A Stock issued pursuant to the Subscription Agreements or otherwise to any shares of Parent Class A Stock (or other securities of Parent) other than the Lock-Up Shares; or (ii) the inclusion of any Lock-Up Shares (but not the subsequent sale or transfer of such Lock-Up Shares) as part of any resale shelf registration statement filed pursuant to the A&amp;R Registration Rights Agreement. For the avoidance of any doubt, the parties hereto acknowledge and agree that the undersigned shall retain all of its rights as a stockholder of Parent during the Lock-up Period, including, without limitation, the right to vote, and to receive any dividends and distributions in respect of, the Lock-Up Shares.</w:t>
      </w:r>
    </w:p>
    <w:p>
      <w:pPr>
        <w:spacing w:after="0" w:line="123" w:lineRule="exact"/>
        <w:rPr>
          <w:rFonts w:ascii="Arial" w:cs="Arial" w:eastAsia="Arial" w:hAnsi="Arial"/>
          <w:sz w:val="17"/>
          <w:szCs w:val="17"/>
          <w:color w:val="auto"/>
        </w:rPr>
      </w:pPr>
    </w:p>
    <w:p>
      <w:pPr>
        <w:ind w:firstLine="332"/>
        <w:spacing w:after="0" w:line="277" w:lineRule="auto"/>
        <w:tabs>
          <w:tab w:leader="none" w:pos="507"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undersigned hereby authorizes Parent during the Lock-Up Period to cause its transfer agent for the Lock-up Shares to decline to transfer, and to note stop transfer restrictions on the stock register and other records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240"/>
          </w:cols>
          <w:pgMar w:left="320" w:top="1418" w:right="339" w:bottom="1440" w:gutter="0" w:footer="0" w:header="0"/>
        </w:sectPr>
      </w:pPr>
    </w:p>
    <w:bookmarkStart w:id="672" w:name="page673"/>
    <w:bookmarkEnd w:id="672"/>
    <w:p>
      <w:pPr>
        <w:jc w:val="both"/>
        <w:spacing w:after="0" w:line="259" w:lineRule="auto"/>
        <w:rPr>
          <w:sz w:val="20"/>
          <w:szCs w:val="20"/>
          <w:color w:val="auto"/>
        </w:rPr>
      </w:pPr>
      <w:r>
        <w:rPr>
          <w:rFonts w:ascii="Arial" w:cs="Arial" w:eastAsia="Arial" w:hAnsi="Arial"/>
          <w:sz w:val="18"/>
          <w:szCs w:val="18"/>
          <w:color w:val="auto"/>
        </w:rPr>
        <w:t>to, the Lock-up Shares for which the undersigned is the record holder and, in the case of Lock-up Shares for which the undersigned is the beneficial holder but not the record holder, agrees during the Lock-Up Period to cause the record holder to cause the relevant transfer agent to decline to transfer, and to note stop transfer restrictions on the stock register and other records relating to, such Lock-up Shares, if such transfer would constitute a violation or breach of this Agreement.</w:t>
      </w:r>
    </w:p>
    <w:p>
      <w:pPr>
        <w:spacing w:after="0" w:line="133" w:lineRule="exact"/>
        <w:rPr>
          <w:sz w:val="20"/>
          <w:szCs w:val="20"/>
          <w:color w:val="auto"/>
        </w:rPr>
      </w:pPr>
    </w:p>
    <w:p>
      <w:pPr>
        <w:jc w:val="both"/>
        <w:ind w:firstLine="332"/>
        <w:spacing w:after="0" w:line="287" w:lineRule="auto"/>
        <w:tabs>
          <w:tab w:leader="none" w:pos="513" w:val="left"/>
        </w:tabs>
        <w:numPr>
          <w:ilvl w:val="0"/>
          <w:numId w:val="554"/>
        </w:numPr>
        <w:rPr>
          <w:rFonts w:ascii="Arial" w:cs="Arial" w:eastAsia="Arial" w:hAnsi="Arial"/>
          <w:sz w:val="16"/>
          <w:szCs w:val="16"/>
          <w:color w:val="auto"/>
        </w:rPr>
      </w:pPr>
      <w:r>
        <w:rPr>
          <w:rFonts w:ascii="Arial" w:cs="Arial" w:eastAsia="Arial" w:hAnsi="Arial"/>
          <w:sz w:val="16"/>
          <w:szCs w:val="16"/>
          <w:color w:val="auto"/>
        </w:rPr>
        <w:t>Notwithstanding the foregoing, the undersigned may sell or otherwise transfer Lock-up Shares during the undersigned’s lifetime or on death (or, if the undersigned is not a natural person, during its existence) (a) if the undersigned is not a natural person, to its managers, partners, members or other direct or indirect equity holders or to any of its other Affiliates or any subsidiary, employee, officer, director, investment fund controlled or managed by the undersigned or its Affiliates, or commonly controlled or managed investment fund, (b) to the immediate family members (including spouses, significant others, lineal descendants, brothers and sisters) of the undersigned, (c) to a family trust, foundation or partnership established for the exclusive benefit of the undersigned, its equity holders or any of their respective immediate family members, or (d) to a charitable foundation controlled by the undersigned, its Affiliates, partners, members or other direct or indirect equityholders or any of their respective immediate family members; provided, however, that in each such case, any such sale or transfer shall be conditioned upon entry by such transferees into a written agreement, addressed to Parent, agreeing to be bound by these transfer restrictions and the other terms and conditions of this Agreement; and provided, further,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117" w:lineRule="exact"/>
        <w:rPr>
          <w:rFonts w:ascii="Arial" w:cs="Arial" w:eastAsia="Arial" w:hAnsi="Arial"/>
          <w:sz w:val="16"/>
          <w:szCs w:val="16"/>
          <w:color w:val="auto"/>
        </w:rPr>
      </w:pPr>
    </w:p>
    <w:p>
      <w:pPr>
        <w:jc w:val="both"/>
        <w:ind w:firstLine="332"/>
        <w:spacing w:after="0" w:line="263" w:lineRule="auto"/>
        <w:tabs>
          <w:tab w:leader="none" w:pos="53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assigns of the undersigned from and after the Closing Date.</w:t>
      </w:r>
    </w:p>
    <w:p>
      <w:pPr>
        <w:spacing w:after="0" w:line="129" w:lineRule="exact"/>
        <w:rPr>
          <w:rFonts w:ascii="Arial" w:cs="Arial" w:eastAsia="Arial" w:hAnsi="Arial"/>
          <w:sz w:val="18"/>
          <w:szCs w:val="18"/>
          <w:color w:val="auto"/>
        </w:rPr>
      </w:pPr>
    </w:p>
    <w:p>
      <w:pPr>
        <w:jc w:val="both"/>
        <w:ind w:firstLine="332"/>
        <w:spacing w:after="0" w:line="268" w:lineRule="auto"/>
        <w:tabs>
          <w:tab w:leader="none" w:pos="516" w:val="left"/>
        </w:tabs>
        <w:numPr>
          <w:ilvl w:val="0"/>
          <w:numId w:val="554"/>
        </w:numPr>
        <w:rPr>
          <w:rFonts w:ascii="Arial" w:cs="Arial" w:eastAsia="Arial" w:hAnsi="Arial"/>
          <w:sz w:val="17"/>
          <w:szCs w:val="17"/>
          <w:color w:val="auto"/>
        </w:rPr>
      </w:pPr>
      <w:r>
        <w:rPr>
          <w:rFonts w:ascii="Arial" w:cs="Arial" w:eastAsia="Arial" w:hAnsi="Arial"/>
          <w:sz w:val="17"/>
          <w:szCs w:val="17"/>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 Parent hereby represents, warrants, covenants and agrees that (i) the Sponsor and each of the stockholders of the Company holding more than 1% of the Company’s outstanding capital stock has, or substantially contemporaneously with the execution and delivery hereof shall have, executed and delivered a Lock-Up Agreement substantially identical hereto, except that the lock-up period applicable to the Sponsor is a period of one year from the Closing Date and (ii) if any such Lock-Up Agreement or the restrictions contained therein is amended, modified or waived in a manner favorable to such stockholder and that would be favorable to the undersigned (including, without limitation, to shorten the lock-up period or to provide additional exceptions to the lock-up restrictions), this Agreement shall be contemporaneously amended in the same manner and Parent shall provide prompt notice thereof to the undersigned, or (iii) if any such stockholder is released from any or all of the lock-up restrictions under its Lock-Up Agreement, the undersigned will be similarly and contemporaneously released from the lock-up restrictions hereunder (which, for the avoidance, of doubt will include a release of the same percentage of the undersigned’s Lock-up Shares) and Parent shall provide prompt notice thereof to the undersigned.</w:t>
      </w:r>
    </w:p>
    <w:p>
      <w:pPr>
        <w:spacing w:after="0" w:line="132" w:lineRule="exact"/>
        <w:rPr>
          <w:rFonts w:ascii="Arial" w:cs="Arial" w:eastAsia="Arial" w:hAnsi="Arial"/>
          <w:sz w:val="17"/>
          <w:szCs w:val="17"/>
          <w:color w:val="auto"/>
        </w:rPr>
      </w:pPr>
    </w:p>
    <w:p>
      <w:pPr>
        <w:jc w:val="both"/>
        <w:ind w:firstLine="332"/>
        <w:spacing w:after="0" w:line="286" w:lineRule="auto"/>
        <w:tabs>
          <w:tab w:leader="none" w:pos="52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No party hereto may assign either this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Agreement shall be binding on the undersigned and its successors and assigns.</w:t>
      </w:r>
    </w:p>
    <w:p>
      <w:pPr>
        <w:spacing w:after="0" w:line="111" w:lineRule="exact"/>
        <w:rPr>
          <w:rFonts w:ascii="Arial" w:cs="Arial" w:eastAsia="Arial" w:hAnsi="Arial"/>
          <w:sz w:val="17"/>
          <w:szCs w:val="17"/>
          <w:color w:val="auto"/>
        </w:rPr>
      </w:pPr>
    </w:p>
    <w:p>
      <w:pPr>
        <w:ind w:firstLine="332"/>
        <w:spacing w:after="0" w:line="277" w:lineRule="auto"/>
        <w:tabs>
          <w:tab w:leader="none" w:pos="511"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This Agreement is to be governed by, and construed and enforced in accordance with, the internal laws of the State of Delaware, without regard to its rules of conflict of laws.</w:t>
      </w:r>
    </w:p>
    <w:p>
      <w:pPr>
        <w:spacing w:after="0" w:line="116" w:lineRule="exact"/>
        <w:rPr>
          <w:rFonts w:ascii="Arial" w:cs="Arial" w:eastAsia="Arial" w:hAnsi="Arial"/>
          <w:sz w:val="18"/>
          <w:szCs w:val="18"/>
          <w:color w:val="auto"/>
        </w:rPr>
      </w:pPr>
    </w:p>
    <w:p>
      <w:pPr>
        <w:ind w:right="20" w:firstLine="332"/>
        <w:spacing w:after="0" w:line="277" w:lineRule="auto"/>
        <w:tabs>
          <w:tab w:leader="none" w:pos="54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TO THE EXTENT NOT PROHIBITED BY APPLICABLE LAW WHICH CANNOT BE WAIVED, EACH OF THE PARTIES HEREBY WAIVES, AND AGREES TO CAUSE EACH OF HIS, HER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240"/>
          </w:cols>
          <w:pgMar w:left="320" w:top="1422" w:right="339" w:bottom="1440" w:gutter="0" w:footer="0" w:header="0"/>
        </w:sectPr>
      </w:pPr>
    </w:p>
    <w:bookmarkStart w:id="673" w:name="page674"/>
    <w:bookmarkEnd w:id="673"/>
    <w:p>
      <w:pPr>
        <w:jc w:val="both"/>
        <w:spacing w:after="0" w:line="254" w:lineRule="auto"/>
        <w:rPr>
          <w:sz w:val="20"/>
          <w:szCs w:val="20"/>
          <w:color w:val="auto"/>
        </w:rPr>
      </w:pPr>
      <w:r>
        <w:rPr>
          <w:rFonts w:ascii="Arial" w:cs="Arial" w:eastAsia="Arial" w:hAnsi="Arial"/>
          <w:sz w:val="18"/>
          <w:szCs w:val="18"/>
          <w:color w:val="auto"/>
        </w:rPr>
        <w:t>TO WAIVE, AND COVENANTS THAT NEITHER IT NOR ANY OF HIS, HER OR ITS AFFILIATES WILL ASSERT (WHETHER AS PLAINTIFF, DEFENDANT OR OTHERWISE) ANY RIGHT TO TRIAL BY JURY IN ANY FORUM IN RESPECT OF ANY ACTION ARISING OUT OF OR BASED UPON THIS AGREEMENT OR THE SUBJECT MATTER HEREOF, IN EACH CASE WHETHER NOW EXISTING OR HEREAFTER ARISING. EACH PARTY ACKNOWLEDGES THAT SUCH PARTY HAS BEEN INFORMED BY THE OTHER PARTIES THAT THIS PARAGRAPH 9 CONSTITUTES A MATERIAL INDUCEMENT UPON WHICH THE PARTIES ARE RELYING AND WILL RELY IN ENTERING INTO THIS AGREEMENT AND ANY OTHER AGREEMENTS RELATING HERETO OR CONTEMPLATED HEREBY. ANY PARTY MAY FILE AN ORIGINAL COUNTERPART OR A COPY OF THIS PARAGRAPH 9 WITH ANY COURT AS WRITTEN EVIDENCE OF THE CONSENT OF THE PARTIES TO THE WAIVER OF THE RIGHT TO TRIAL BY JURY.</w:t>
      </w:r>
    </w:p>
    <w:p>
      <w:pPr>
        <w:spacing w:after="0" w:line="138" w:lineRule="exact"/>
        <w:rPr>
          <w:sz w:val="20"/>
          <w:szCs w:val="20"/>
          <w:color w:val="auto"/>
        </w:rPr>
      </w:pPr>
    </w:p>
    <w:p>
      <w:pPr>
        <w:jc w:val="both"/>
        <w:ind w:firstLine="332"/>
        <w:spacing w:after="0" w:line="279" w:lineRule="auto"/>
        <w:tabs>
          <w:tab w:leader="none" w:pos="594" w:val="left"/>
        </w:tabs>
        <w:numPr>
          <w:ilvl w:val="0"/>
          <w:numId w:val="555"/>
        </w:numPr>
        <w:rPr>
          <w:rFonts w:ascii="Arial" w:cs="Arial" w:eastAsia="Arial" w:hAnsi="Arial"/>
          <w:sz w:val="17"/>
          <w:szCs w:val="17"/>
          <w:color w:val="auto"/>
        </w:rPr>
      </w:pPr>
      <w:r>
        <w:rPr>
          <w:rFonts w:ascii="Arial" w:cs="Arial" w:eastAsia="Arial" w:hAnsi="Arial"/>
          <w:sz w:val="17"/>
          <w:szCs w:val="17"/>
          <w:color w:val="auto"/>
        </w:rPr>
        <w:t>Any term or provision of this Agreement that is found to be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found to be so broad as to be unenforceable, the provision will be interpreted to be only so broad as is enforceable.</w:t>
      </w:r>
    </w:p>
    <w:p>
      <w:pPr>
        <w:spacing w:after="0" w:line="117" w:lineRule="exact"/>
        <w:rPr>
          <w:rFonts w:ascii="Arial" w:cs="Arial" w:eastAsia="Arial" w:hAnsi="Arial"/>
          <w:sz w:val="17"/>
          <w:szCs w:val="17"/>
          <w:color w:val="auto"/>
        </w:rPr>
      </w:pPr>
    </w:p>
    <w:p>
      <w:pPr>
        <w:jc w:val="both"/>
        <w:ind w:firstLine="332"/>
        <w:spacing w:after="0" w:line="279" w:lineRule="auto"/>
        <w:tabs>
          <w:tab w:leader="none" w:pos="598" w:val="left"/>
        </w:tabs>
        <w:numPr>
          <w:ilvl w:val="0"/>
          <w:numId w:val="555"/>
        </w:numPr>
        <w:rPr>
          <w:rFonts w:ascii="Arial" w:cs="Arial" w:eastAsia="Arial" w:hAnsi="Arial"/>
          <w:sz w:val="17"/>
          <w:szCs w:val="17"/>
          <w:color w:val="auto"/>
        </w:rPr>
      </w:pPr>
      <w:r>
        <w:rPr>
          <w:rFonts w:ascii="Arial" w:cs="Arial" w:eastAsia="Arial" w:hAnsi="Arial"/>
          <w:sz w:val="17"/>
          <w:szCs w:val="17"/>
          <w:color w:val="auto"/>
        </w:rPr>
        <w:t>This Agreement may be executed in two or more counterparts, each of which will be deemed an original but all of which will constitute but one instrument. This Agreement is effective upon delivery of one executed counterpart from each party to the other party. The signatures of all of the parties need not appear on the same counterpart. The delivery of signed counterparts by email which includes a copy of the sending party’s signature(s) (including by “.pdf” format) or by electronic transmission is as effective as signing and delivering the counterpart in person.</w:t>
      </w:r>
    </w:p>
    <w:p>
      <w:pPr>
        <w:spacing w:after="0" w:line="117" w:lineRule="exact"/>
        <w:rPr>
          <w:rFonts w:ascii="Arial" w:cs="Arial" w:eastAsia="Arial" w:hAnsi="Arial"/>
          <w:sz w:val="17"/>
          <w:szCs w:val="17"/>
          <w:color w:val="auto"/>
        </w:rPr>
      </w:pPr>
    </w:p>
    <w:p>
      <w:pPr>
        <w:jc w:val="both"/>
        <w:ind w:firstLine="332"/>
        <w:spacing w:after="0" w:line="257" w:lineRule="auto"/>
        <w:tabs>
          <w:tab w:leader="none" w:pos="597"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or email transmission to the address or email address (as applicable) set forth below such party’s name on the signature page hereto. Each such notice, consent or request will be effective if given by (a) email, when sent, with no mail undeliverable or other rejection notice, or (b) any other means specified this paragraph 12, then upon delivery or refusal of delivery at the address specified in this paragraph 12.</w:t>
      </w:r>
    </w:p>
    <w:p>
      <w:pPr>
        <w:spacing w:after="0" w:line="133" w:lineRule="exact"/>
        <w:rPr>
          <w:rFonts w:ascii="Arial" w:cs="Arial" w:eastAsia="Arial" w:hAnsi="Arial"/>
          <w:sz w:val="18"/>
          <w:szCs w:val="18"/>
          <w:color w:val="auto"/>
        </w:rPr>
      </w:pPr>
    </w:p>
    <w:p>
      <w:pPr>
        <w:ind w:firstLine="332"/>
        <w:spacing w:after="0" w:line="277" w:lineRule="auto"/>
        <w:tabs>
          <w:tab w:leader="none" w:pos="619"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This Agreement shall become effective on the Closing Date. This Agreement and the obligations of each party hereunder shall automatically terminate upon any termination of the Transaction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240"/>
          </w:cols>
          <w:pgMar w:left="320" w:top="1422" w:right="339" w:bottom="1440" w:gutter="0" w:footer="0" w:header="0"/>
        </w:sectPr>
      </w:pPr>
    </w:p>
    <w:bookmarkStart w:id="674" w:name="page675"/>
    <w:bookmarkEnd w:id="674"/>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374650</wp:posOffset>
            </wp:positionV>
            <wp:extent cx="2588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8889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203200</wp:posOffset>
            </wp:positionV>
            <wp:extent cx="2588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PARENT</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8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4080" w:type="dxa"/>
            <w:vAlign w:val="bottom"/>
          </w:tcPr>
          <w:p>
            <w:pPr>
              <w:ind w:left="20"/>
              <w:spacing w:after="0"/>
              <w:rPr>
                <w:sz w:val="20"/>
                <w:szCs w:val="20"/>
                <w:color w:val="auto"/>
              </w:rPr>
            </w:pPr>
            <w:r>
              <w:rPr>
                <w:rFonts w:ascii="Arial" w:cs="Arial" w:eastAsia="Arial" w:hAnsi="Arial"/>
                <w:sz w:val="18"/>
                <w:szCs w:val="18"/>
                <w:color w:val="auto"/>
              </w:rPr>
              <w:t>667 Madison Avenue</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New York, NY 10065</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667 Madison Avenue</w:t>
            </w:r>
          </w:p>
        </w:tc>
        <w:tc>
          <w:tcPr>
            <w:tcW w:w="0" w:type="dxa"/>
            <w:vAlign w:val="bottom"/>
          </w:tcPr>
          <w:p>
            <w:pPr>
              <w:spacing w:after="0"/>
              <w:rPr>
                <w:sz w:val="1"/>
                <w:szCs w:val="1"/>
                <w:color w:val="auto"/>
              </w:rPr>
            </w:pPr>
          </w:p>
        </w:tc>
      </w:tr>
      <w:tr>
        <w:trPr>
          <w:trHeight w:val="27"/>
        </w:trPr>
        <w:tc>
          <w:tcPr>
            <w:tcW w:w="106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6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240"/>
          </w:cols>
          <w:pgMar w:left="320" w:top="1440" w:right="339" w:bottom="1440" w:gutter="0" w:footer="0" w:header="0"/>
        </w:sectPr>
      </w:pPr>
    </w:p>
    <w:bookmarkStart w:id="675" w:name="page676"/>
    <w:bookmarkEnd w:id="675"/>
    <w:p>
      <w:pPr>
        <w:jc w:val="center"/>
        <w:spacing w:after="0"/>
        <w:rPr>
          <w:sz w:val="20"/>
          <w:szCs w:val="20"/>
          <w:color w:val="auto"/>
        </w:rPr>
      </w:pPr>
      <w:r>
        <w:rPr>
          <w:rFonts w:ascii="Arial" w:cs="Arial" w:eastAsia="Arial" w:hAnsi="Arial"/>
          <w:sz w:val="18"/>
          <w:szCs w:val="18"/>
          <w:b w:val="1"/>
          <w:bCs w:val="1"/>
          <w:color w:val="auto"/>
        </w:rPr>
        <w:t>ANNEX 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 SUPPORT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Sponsor Support Agreement (this “</w:t>
      </w:r>
      <w:r>
        <w:rPr>
          <w:rFonts w:ascii="Arial" w:cs="Arial" w:eastAsia="Arial" w:hAnsi="Arial"/>
          <w:sz w:val="18"/>
          <w:szCs w:val="18"/>
          <w:u w:val="single" w:color="auto"/>
          <w:color w:val="auto"/>
        </w:rPr>
        <w:t>Sponsor Agreement</w:t>
      </w:r>
      <w:r>
        <w:rPr>
          <w:rFonts w:ascii="Arial" w:cs="Arial" w:eastAsia="Arial" w:hAnsi="Arial"/>
          <w:sz w:val="18"/>
          <w:szCs w:val="18"/>
          <w:color w:val="auto"/>
        </w:rPr>
        <w:t>”) is dated as of February 9, 2021, by and among CMLS Holdings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CM Life Sciences,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respective meanings ascribed to such terms in the Merger Agreement (as defined below).</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WHEREAS, as of the date hereof, Sponsor is the holder of record and the “beneficial owner” (within the meaning of Rule 13d-3 under the Exchange Act) of 9,987,500 shares of Parent Class B Stock and 6,466,667 Private Placement Warrants (collectively, the “</w:t>
      </w:r>
      <w:r>
        <w:rPr>
          <w:rFonts w:ascii="Arial" w:cs="Arial" w:eastAsia="Arial" w:hAnsi="Arial"/>
          <w:sz w:val="17"/>
          <w:szCs w:val="17"/>
          <w:u w:val="single" w:color="auto"/>
          <w:color w:val="auto"/>
        </w:rPr>
        <w:t>Subject Securities</w:t>
      </w:r>
      <w:r>
        <w:rPr>
          <w:rFonts w:ascii="Arial" w:cs="Arial" w:eastAsia="Arial" w:hAnsi="Arial"/>
          <w:sz w:val="17"/>
          <w:szCs w:val="17"/>
          <w:color w:val="auto"/>
        </w:rPr>
        <w:t>”);</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contemporaneously with the execution and delivery of this Sponsor Agreement, Parent, S-IV Sub, Inc., a Delaware corporation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the Company have entered into an Agreement and Plan of Merger (as amended or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dated as of February 9, 2021, pursuant to which, among other transactions, Merger Sub is to merge with and into the Company, with the Company continuing on as the surviving entity and a wholly owned subsidiary of Parent, on the terms and conditions set forth therein; and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as an inducement to Parent and the Company to enter into the Merger Agreement and to consummate the transactions contemplated therein, the parties hereto desire to agree to certain matters as set forth herein.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contained herein, and intending to be legally bound hereby, the parties hereto hereby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 SUPPORT AGREEMENT; COVENANTS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Binding Effect of Merger Agreement</w:t>
      </w:r>
      <w:r>
        <w:rPr>
          <w:rFonts w:ascii="Arial" w:cs="Arial" w:eastAsia="Arial" w:hAnsi="Arial"/>
          <w:sz w:val="18"/>
          <w:szCs w:val="18"/>
          <w:color w:val="auto"/>
        </w:rPr>
        <w:t xml:space="preserve">. Sponsor hereby acknowledges that it has read the Merger Agreement and this Sponsor Agreement and has had the opportunity to consult with its tax and legal advisors. The following sections of the Merger Agreement shall be incorporated into this Sponsor Agreement, </w:t>
      </w:r>
      <w:r>
        <w:rPr>
          <w:rFonts w:ascii="Arial" w:cs="Arial" w:eastAsia="Arial" w:hAnsi="Arial"/>
          <w:sz w:val="18"/>
          <w:szCs w:val="18"/>
          <w:i w:val="1"/>
          <w:iCs w:val="1"/>
          <w:color w:val="auto"/>
        </w:rPr>
        <w:t>mutatis mutanis</w:t>
      </w:r>
      <w:r>
        <w:rPr>
          <w:rFonts w:ascii="Arial" w:cs="Arial" w:eastAsia="Arial" w:hAnsi="Arial"/>
          <w:sz w:val="18"/>
          <w:szCs w:val="18"/>
          <w:color w:val="auto"/>
        </w:rPr>
        <w:t>: Sections 7.10 (</w:t>
      </w:r>
      <w:r>
        <w:rPr>
          <w:rFonts w:ascii="Arial" w:cs="Arial" w:eastAsia="Arial" w:hAnsi="Arial"/>
          <w:sz w:val="18"/>
          <w:szCs w:val="18"/>
          <w:i w:val="1"/>
          <w:iCs w:val="1"/>
          <w:color w:val="auto"/>
        </w:rPr>
        <w:t>No Solicitation</w:t>
      </w:r>
      <w:r>
        <w:rPr>
          <w:rFonts w:ascii="Arial" w:cs="Arial" w:eastAsia="Arial" w:hAnsi="Arial"/>
          <w:sz w:val="18"/>
          <w:szCs w:val="18"/>
          <w:color w:val="auto"/>
        </w:rPr>
        <w:t>) and 7.3(b) (</w:t>
      </w:r>
      <w:r>
        <w:rPr>
          <w:rFonts w:ascii="Arial" w:cs="Arial" w:eastAsia="Arial" w:hAnsi="Arial"/>
          <w:sz w:val="18"/>
          <w:szCs w:val="18"/>
          <w:i w:val="1"/>
          <w:iCs w:val="1"/>
          <w:color w:val="auto"/>
        </w:rPr>
        <w:t>Other Filings; Press Release</w:t>
      </w:r>
      <w:r>
        <w:rPr>
          <w:rFonts w:ascii="Arial" w:cs="Arial" w:eastAsia="Arial" w:hAnsi="Arial"/>
          <w:sz w:val="18"/>
          <w:szCs w:val="18"/>
          <w:color w:val="auto"/>
        </w:rPr>
        <w:t>) (including any relevant definitions contained in any such Sections), and Sponsor hereby agrees to be bound by and comply with such sections as though Sponsor was an original signatory to the Merger Agreement with respect to such sections.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Transfer</w:t>
      </w:r>
      <w:r>
        <w:rPr>
          <w:rFonts w:ascii="Arial" w:cs="Arial" w:eastAsia="Arial" w:hAnsi="Arial"/>
          <w:sz w:val="16"/>
          <w:szCs w:val="16"/>
          <w:color w:val="auto"/>
        </w:rPr>
        <w:t>. During the period commencing on the date hereof and ending on the earliest of: (a) the Effective Time; (b) such date and time as the Merger Agreement shall be terminated in accordance with Section 9.1 (</w:t>
      </w:r>
      <w:r>
        <w:rPr>
          <w:rFonts w:ascii="Arial" w:cs="Arial" w:eastAsia="Arial" w:hAnsi="Arial"/>
          <w:sz w:val="16"/>
          <w:szCs w:val="16"/>
          <w:i w:val="1"/>
          <w:iCs w:val="1"/>
          <w:color w:val="auto"/>
        </w:rPr>
        <w:t>Termination</w:t>
      </w:r>
      <w:r>
        <w:rPr>
          <w:rFonts w:ascii="Arial" w:cs="Arial" w:eastAsia="Arial" w:hAnsi="Arial"/>
          <w:sz w:val="16"/>
          <w:szCs w:val="16"/>
          <w:color w:val="auto"/>
        </w:rPr>
        <w:t>) thereof (the earlier of (a) and (b),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and</w:t>
      </w:r>
    </w:p>
    <w:p>
      <w:pPr>
        <w:jc w:val="both"/>
        <w:ind w:firstLine="8"/>
        <w:spacing w:after="0" w:line="252" w:lineRule="auto"/>
        <w:tabs>
          <w:tab w:leader="none" w:pos="24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liquidation of Parent, Sponsor shall not, without the prior written consent of the Company, (i) sell, offer to sell, contract or agree to sell, hypothecate, pledge, grant any option to purchase or otherwise dispose of or agree to dispose of, directly or indirectly, file (or participate in the filing of) a registration statement with the SEC (other than the Proxy Statement or the registration statement of the Parent) or establish or increase a put equivalent position or liquidate or decrease a call equivalent position within the meaning of Section 16 of the Exchange Act, with respect to any Sponsor’s Subject Securities (unless the transferee agrees to be bound by this Sponsor Agreement), (ii) enter into any swap or other arrangement that transfers to another, in whole or in part, any of the economic consequences of ownership of any Sponsor’s Subject Securities or (iii) publicly announce any intention to effect any transaction specified in clause (i) or (ii).</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New Shares</w:t>
      </w:r>
      <w:r>
        <w:rPr>
          <w:rFonts w:ascii="Arial" w:cs="Arial" w:eastAsia="Arial" w:hAnsi="Arial"/>
          <w:sz w:val="16"/>
          <w:szCs w:val="16"/>
          <w:color w:val="auto"/>
        </w:rPr>
        <w:t>. In the event that (a) any Parent Shares, Parent Warrants or other equity securities of Parent are issued to Sponsor after the date of this Sponsor Agreement pursuant to any stock dividend, stock split, recapitalization, reclassification, combination or exchange of Parent Shares or Parent Warrants of, on or affecting Parent Shares or Parent Warrants owned by Sponsor or otherwise, (b) a Sponsor purchases or otherwise acquires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240"/>
          </w:cols>
          <w:pgMar w:left="320" w:top="1418" w:right="339" w:bottom="1440" w:gutter="0" w:footer="0" w:header="0"/>
        </w:sectPr>
      </w:pPr>
    </w:p>
    <w:bookmarkStart w:id="676" w:name="page677"/>
    <w:bookmarkEnd w:id="676"/>
    <w:p>
      <w:pPr>
        <w:jc w:val="both"/>
        <w:spacing w:after="0" w:line="257" w:lineRule="auto"/>
        <w:rPr>
          <w:sz w:val="20"/>
          <w:szCs w:val="20"/>
          <w:color w:val="auto"/>
        </w:rPr>
      </w:pPr>
      <w:r>
        <w:rPr>
          <w:rFonts w:ascii="Arial" w:cs="Arial" w:eastAsia="Arial" w:hAnsi="Arial"/>
          <w:sz w:val="18"/>
          <w:szCs w:val="18"/>
          <w:color w:val="auto"/>
        </w:rPr>
        <w:t>“beneficial ownership” (within the meaning of Rule 13d-3 under the Exchange Act) of any Parent Shares, Parent Warrants or other equity securities of Parent after the date of this Sponsor Agreement, or (c) a Sponsor acquires the right to vote or share in the voting of any Parent Shares, Parent Warrants or other equity securities of Parent after the date of this Sponsor Agreement (such Parent Shares, Parent Warrants or other equity securities of Parent, collectively the “</w:t>
      </w:r>
      <w:r>
        <w:rPr>
          <w:rFonts w:ascii="Arial" w:cs="Arial" w:eastAsia="Arial" w:hAnsi="Arial"/>
          <w:sz w:val="18"/>
          <w:szCs w:val="18"/>
          <w:u w:val="single" w:color="auto"/>
          <w:color w:val="auto"/>
        </w:rPr>
        <w:t>New Securities</w:t>
      </w:r>
      <w:r>
        <w:rPr>
          <w:rFonts w:ascii="Arial" w:cs="Arial" w:eastAsia="Arial" w:hAnsi="Arial"/>
          <w:sz w:val="18"/>
          <w:szCs w:val="18"/>
          <w:color w:val="auto"/>
        </w:rPr>
        <w:t>”), then such New Securities acquired or purchased by Sponsor shall be subject to the terms of this Sponsor Agreement to the same extent as if they constituted Sponsor’s Subject Securities as of the date hereof.</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At or prior to the Closing, Sponsor shall deliver to Parent and the Company a duly executed copy of that certain A&amp;R Registration Rights Agreement, by and among, Parent, the Company and the Company Stockholders or their respective affiliates, as applicable, in substantially the form attached as Exhibit E to the Merger Agreement.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Sponsor Agreements</w:t>
      </w:r>
      <w:r>
        <w:rPr>
          <w:rFonts w:ascii="Arial" w:cs="Arial" w:eastAsia="Arial" w:hAnsi="Arial"/>
          <w:sz w:val="18"/>
          <w:szCs w:val="18"/>
          <w:color w:val="auto"/>
        </w:rPr>
        <w:t>.</w:t>
      </w:r>
    </w:p>
    <w:p>
      <w:pPr>
        <w:spacing w:after="0" w:line="171" w:lineRule="exact"/>
        <w:rPr>
          <w:sz w:val="20"/>
          <w:szCs w:val="20"/>
          <w:color w:val="auto"/>
        </w:rPr>
      </w:pPr>
    </w:p>
    <w:p>
      <w:pPr>
        <w:jc w:val="both"/>
        <w:ind w:firstLine="1628"/>
        <w:spacing w:after="0" w:line="279" w:lineRule="auto"/>
        <w:tabs>
          <w:tab w:leader="none" w:pos="1941" w:val="left"/>
        </w:tabs>
        <w:numPr>
          <w:ilvl w:val="0"/>
          <w:numId w:val="557"/>
        </w:numPr>
        <w:rPr>
          <w:rFonts w:ascii="Arial" w:cs="Arial" w:eastAsia="Arial" w:hAnsi="Arial"/>
          <w:sz w:val="17"/>
          <w:szCs w:val="17"/>
          <w:color w:val="auto"/>
        </w:rPr>
      </w:pPr>
      <w:r>
        <w:rPr>
          <w:rFonts w:ascii="Arial" w:cs="Arial" w:eastAsia="Arial" w:hAnsi="Arial"/>
          <w:sz w:val="17"/>
          <w:szCs w:val="17"/>
          <w:color w:val="auto"/>
        </w:rPr>
        <w:t>At any meeting of the shareholders of Parent, however called, or at any adjournment thereof, or in any other circumstance in which the vote, consent or other approval of the shareholders of Parent is sought, Sponsor shall (i) appear at each such meeting or otherwise cause all of Sponsor’s Subject Securities to be counted as present thereat for purposes of calculating a quorum and (ii) vote (or cause to be voted), or execute and deliver a written consent (or cause a written consent to be executed and delivered) covering, all of the Sponsor’s Subject Securities:</w:t>
      </w:r>
    </w:p>
    <w:p>
      <w:pPr>
        <w:spacing w:after="0" w:line="117" w:lineRule="exact"/>
        <w:rPr>
          <w:rFonts w:ascii="Arial" w:cs="Arial" w:eastAsia="Arial" w:hAnsi="Arial"/>
          <w:sz w:val="17"/>
          <w:szCs w:val="17"/>
          <w:color w:val="auto"/>
        </w:rPr>
      </w:pPr>
    </w:p>
    <w:p>
      <w:pPr>
        <w:ind w:left="2280" w:hanging="328"/>
        <w:spacing w:after="0"/>
        <w:tabs>
          <w:tab w:leader="none" w:pos="228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in favor of each of the Parent Stockholder Matters;</w:t>
      </w:r>
    </w:p>
    <w:p>
      <w:pPr>
        <w:spacing w:after="0" w:line="171" w:lineRule="exact"/>
        <w:rPr>
          <w:rFonts w:ascii="Arial" w:cs="Arial" w:eastAsia="Arial" w:hAnsi="Arial"/>
          <w:sz w:val="18"/>
          <w:szCs w:val="18"/>
          <w:color w:val="auto"/>
        </w:rPr>
      </w:pPr>
    </w:p>
    <w:p>
      <w:pPr>
        <w:jc w:val="both"/>
        <w:ind w:left="2280" w:hanging="328"/>
        <w:spacing w:after="0" w:line="279" w:lineRule="auto"/>
        <w:tabs>
          <w:tab w:leader="none" w:pos="2270" w:val="left"/>
        </w:tabs>
        <w:numPr>
          <w:ilvl w:val="1"/>
          <w:numId w:val="557"/>
        </w:numPr>
        <w:rPr>
          <w:rFonts w:ascii="Arial" w:cs="Arial" w:eastAsia="Arial" w:hAnsi="Arial"/>
          <w:sz w:val="17"/>
          <w:szCs w:val="17"/>
          <w:color w:val="auto"/>
        </w:rPr>
      </w:pPr>
      <w:r>
        <w:rPr>
          <w:rFonts w:ascii="Arial" w:cs="Arial" w:eastAsia="Arial" w:hAnsi="Arial"/>
          <w:sz w:val="17"/>
          <w:szCs w:val="17"/>
          <w:color w:val="auto"/>
        </w:rPr>
        <w:t>against any business combination, merger agreement or merger (other than the Merger Agreement, the Merger and proposed Transactions), consolidation, combination, sale of substantial assets, reorganization, recapitalization, dissolution, liquidation or winding up of or by Parent, including any proposal for any of the foregoing (other than the Parent Stockholder Matters), regardless of whether there has been a Change in Recommendation;</w:t>
      </w:r>
    </w:p>
    <w:p>
      <w:pPr>
        <w:spacing w:after="0" w:line="117" w:lineRule="exact"/>
        <w:rPr>
          <w:rFonts w:ascii="Arial" w:cs="Arial" w:eastAsia="Arial" w:hAnsi="Arial"/>
          <w:sz w:val="17"/>
          <w:szCs w:val="17"/>
          <w:color w:val="auto"/>
        </w:rPr>
      </w:pPr>
    </w:p>
    <w:p>
      <w:pPr>
        <w:ind w:left="2280" w:hanging="328"/>
        <w:spacing w:after="0" w:line="277" w:lineRule="auto"/>
        <w:tabs>
          <w:tab w:leader="none" w:pos="228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against any proposal that would result in a change in the business, management or Board of Directors of Parent (other than in connection with the Parent Stockholder Matters as contemplated by the Merger Agreement); and</w:t>
      </w:r>
    </w:p>
    <w:p>
      <w:pPr>
        <w:spacing w:after="0" w:line="116" w:lineRule="exact"/>
        <w:rPr>
          <w:rFonts w:ascii="Arial" w:cs="Arial" w:eastAsia="Arial" w:hAnsi="Arial"/>
          <w:sz w:val="18"/>
          <w:szCs w:val="18"/>
          <w:color w:val="auto"/>
        </w:rPr>
      </w:pPr>
    </w:p>
    <w:p>
      <w:pPr>
        <w:jc w:val="both"/>
        <w:ind w:left="2280" w:hanging="328"/>
        <w:spacing w:after="0" w:line="275" w:lineRule="auto"/>
        <w:tabs>
          <w:tab w:leader="none" w:pos="2270" w:val="left"/>
        </w:tabs>
        <w:numPr>
          <w:ilvl w:val="1"/>
          <w:numId w:val="557"/>
        </w:numPr>
        <w:rPr>
          <w:rFonts w:ascii="Arial" w:cs="Arial" w:eastAsia="Arial" w:hAnsi="Arial"/>
          <w:sz w:val="17"/>
          <w:szCs w:val="17"/>
          <w:color w:val="auto"/>
        </w:rPr>
      </w:pPr>
      <w:r>
        <w:rPr>
          <w:rFonts w:ascii="Arial" w:cs="Arial" w:eastAsia="Arial" w:hAnsi="Arial"/>
          <w:sz w:val="17"/>
          <w:szCs w:val="17"/>
          <w:color w:val="auto"/>
        </w:rPr>
        <w:t>against any proposal, action or agreement that would (A) impede, frustrate, prevent or nullify any provision of this Agreement, the Merger Agreement or Merger, (B) result in a breach in any respect of any covenant, representation, warranty or any other obligation or agreement of Parent or the Merger Sub under the Merger Agreement, (C) result in any of the conditions set forth in Article VIII of the Merger Agreement not being fulfilled or (D) change in any manner the dividend policy or capitalization of, including the voting or other rights of any class of capital stock of, Parent.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Sponsor hereby agrees that it shall not commit or agree to take any action inconsistent with the foregoing.</w:t>
      </w:r>
    </w:p>
    <w:p>
      <w:pPr>
        <w:spacing w:after="0" w:line="171" w:lineRule="exact"/>
        <w:rPr>
          <w:sz w:val="20"/>
          <w:szCs w:val="20"/>
          <w:color w:val="auto"/>
        </w:rPr>
      </w:pPr>
    </w:p>
    <w:p>
      <w:pPr>
        <w:ind w:firstLine="1628"/>
        <w:spacing w:after="0" w:line="342" w:lineRule="auto"/>
        <w:tabs>
          <w:tab w:leader="none" w:pos="1938" w:val="left"/>
        </w:tabs>
        <w:numPr>
          <w:ilvl w:val="0"/>
          <w:numId w:val="558"/>
        </w:numPr>
        <w:rPr>
          <w:rFonts w:ascii="Arial" w:cs="Arial" w:eastAsia="Arial" w:hAnsi="Arial"/>
          <w:sz w:val="16"/>
          <w:szCs w:val="16"/>
          <w:color w:val="auto"/>
        </w:rPr>
      </w:pPr>
      <w:r>
        <w:rPr>
          <w:rFonts w:ascii="Arial" w:cs="Arial" w:eastAsia="Arial" w:hAnsi="Arial"/>
          <w:sz w:val="16"/>
          <w:szCs w:val="16"/>
          <w:color w:val="auto"/>
        </w:rPr>
        <w:t>Sponsor shall comply with, and fully perform all of its obligations, covenants and agreements set forth in, the Insider Letter (as defined below), including the obligations of Sponsor therein to not redeem any Parent Shares owned by Sponsor in connection with the Transactions.</w:t>
      </w:r>
    </w:p>
    <w:p>
      <w:pPr>
        <w:spacing w:after="0" w:line="69" w:lineRule="exact"/>
        <w:rPr>
          <w:rFonts w:ascii="Arial" w:cs="Arial" w:eastAsia="Arial" w:hAnsi="Arial"/>
          <w:sz w:val="16"/>
          <w:szCs w:val="16"/>
          <w:color w:val="auto"/>
        </w:rPr>
      </w:pPr>
    </w:p>
    <w:p>
      <w:pPr>
        <w:jc w:val="both"/>
        <w:ind w:firstLine="1628"/>
        <w:spacing w:after="0" w:line="263" w:lineRule="auto"/>
        <w:tabs>
          <w:tab w:leader="none" w:pos="1941" w:val="left"/>
        </w:tabs>
        <w:numPr>
          <w:ilvl w:val="0"/>
          <w:numId w:val="558"/>
        </w:numPr>
        <w:rPr>
          <w:rFonts w:ascii="Arial" w:cs="Arial" w:eastAsia="Arial" w:hAnsi="Arial"/>
          <w:sz w:val="18"/>
          <w:szCs w:val="18"/>
          <w:color w:val="auto"/>
        </w:rPr>
      </w:pPr>
      <w:r>
        <w:rPr>
          <w:rFonts w:ascii="Arial" w:cs="Arial" w:eastAsia="Arial" w:hAnsi="Arial"/>
          <w:sz w:val="18"/>
          <w:szCs w:val="18"/>
          <w:color w:val="auto"/>
        </w:rPr>
        <w:t>During the period commencing on the date hereof and ending at the Expiration Time, without the prior written consent of the Company, Sponsor shall not, without the consent of the Company (not to be unreasonably withheld, conditioned or delayed), modify or amend any Contract listed on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240"/>
          </w:cols>
          <w:pgMar w:left="320" w:top="1422" w:right="339" w:bottom="1440" w:gutter="0" w:footer="0" w:header="0"/>
        </w:sectPr>
      </w:pPr>
    </w:p>
    <w:bookmarkStart w:id="677" w:name="page678"/>
    <w:bookmarkEnd w:id="677"/>
    <w:p>
      <w:pPr>
        <w:jc w:val="both"/>
        <w:ind w:firstLine="324"/>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Sponsor shall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 Inconsistent Agreement</w:t>
      </w:r>
      <w:r>
        <w:rPr>
          <w:rFonts w:ascii="Arial" w:cs="Arial" w:eastAsia="Arial" w:hAnsi="Arial"/>
          <w:sz w:val="18"/>
          <w:szCs w:val="18"/>
          <w:color w:val="auto"/>
        </w:rPr>
        <w:t>. Sponsor hereby represents and covenants that it has not entered into, and shall not enter into, any agreement that would restrict, limit or interfere with the performance of its obligations hereunder.</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 Amendment to the Inside Letter</w:t>
      </w:r>
      <w:r>
        <w:rPr>
          <w:rFonts w:ascii="Arial" w:cs="Arial" w:eastAsia="Arial" w:hAnsi="Arial"/>
          <w:sz w:val="18"/>
          <w:szCs w:val="18"/>
          <w:color w:val="auto"/>
        </w:rPr>
        <w:t>. Neither Sponsor nor Parent shall amend, terminate or otherwise modify that certain letter agreement, dated as of September 1, 2020, by and among the Parent, Sponsor and certain of the Parent’s current and former officers and directors (the “</w:t>
      </w:r>
      <w:r>
        <w:rPr>
          <w:rFonts w:ascii="Arial" w:cs="Arial" w:eastAsia="Arial" w:hAnsi="Arial"/>
          <w:sz w:val="18"/>
          <w:szCs w:val="18"/>
          <w:u w:val="single" w:color="auto"/>
          <w:color w:val="auto"/>
        </w:rPr>
        <w:t>Inside Letter</w:t>
      </w:r>
      <w:r>
        <w:rPr>
          <w:rFonts w:ascii="Arial" w:cs="Arial" w:eastAsia="Arial" w:hAnsi="Arial"/>
          <w:sz w:val="18"/>
          <w:szCs w:val="18"/>
          <w:color w:val="auto"/>
        </w:rPr>
        <w:t>” and each party thereto a “</w:t>
      </w:r>
      <w:r>
        <w:rPr>
          <w:rFonts w:ascii="Arial" w:cs="Arial" w:eastAsia="Arial" w:hAnsi="Arial"/>
          <w:sz w:val="18"/>
          <w:szCs w:val="18"/>
          <w:u w:val="single" w:color="auto"/>
          <w:color w:val="auto"/>
        </w:rPr>
        <w:t>Founder Holder</w:t>
      </w:r>
      <w:r>
        <w:rPr>
          <w:rFonts w:ascii="Arial" w:cs="Arial" w:eastAsia="Arial" w:hAnsi="Arial"/>
          <w:sz w:val="18"/>
          <w:szCs w:val="18"/>
          <w:color w:val="auto"/>
        </w:rPr>
        <w:t>”) without the Company’s prior written consent.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Sponsor shall, and shall cause each Founder Holder to, irrevocably and unconditionally waive (the “</w:t>
      </w:r>
      <w:r>
        <w:rPr>
          <w:rFonts w:ascii="Arial" w:cs="Arial" w:eastAsia="Arial" w:hAnsi="Arial"/>
          <w:sz w:val="18"/>
          <w:szCs w:val="18"/>
          <w:u w:val="single" w:color="auto"/>
          <w:color w:val="auto"/>
        </w:rPr>
        <w:t>Waiver</w:t>
      </w:r>
      <w:r>
        <w:rPr>
          <w:rFonts w:ascii="Arial" w:cs="Arial" w:eastAsia="Arial" w:hAnsi="Arial"/>
          <w:sz w:val="18"/>
          <w:szCs w:val="18"/>
          <w:color w:val="auto"/>
        </w:rPr>
        <w:t>”) any and all rights, title and interest Sponsor or such Founder Holder has or will have under Article 4.3(b) of the Parent Charter to receive excess shares upon conversion of the shares of Parent Class A Stock in connection with the Merger or the Transactions.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of Sponsor</w:t>
      </w:r>
      <w:r>
        <w:rPr>
          <w:rFonts w:ascii="Arial" w:cs="Arial" w:eastAsia="Arial" w:hAnsi="Arial"/>
          <w:sz w:val="16"/>
          <w:szCs w:val="16"/>
          <w:color w:val="auto"/>
        </w:rPr>
        <w:t>. Sponsor represents and warrants as of the date hereof to Parent and the Company as follows:</w:t>
      </w:r>
    </w:p>
    <w:p>
      <w:pPr>
        <w:spacing w:after="0" w:line="194" w:lineRule="exact"/>
        <w:rPr>
          <w:sz w:val="20"/>
          <w:szCs w:val="20"/>
          <w:color w:val="auto"/>
        </w:rPr>
      </w:pPr>
    </w:p>
    <w:p>
      <w:pPr>
        <w:jc w:val="both"/>
        <w:ind w:firstLine="1628"/>
        <w:spacing w:after="0" w:line="289" w:lineRule="auto"/>
        <w:tabs>
          <w:tab w:leader="none" w:pos="1941" w:val="left"/>
        </w:tabs>
        <w:numPr>
          <w:ilvl w:val="0"/>
          <w:numId w:val="559"/>
        </w:numPr>
        <w:rPr>
          <w:rFonts w:ascii="Arial" w:cs="Arial" w:eastAsia="Arial" w:hAnsi="Arial"/>
          <w:sz w:val="16"/>
          <w:szCs w:val="16"/>
          <w:color w:val="auto"/>
        </w:rPr>
      </w:pPr>
      <w:r>
        <w:rPr>
          <w:rFonts w:ascii="Arial" w:cs="Arial" w:eastAsia="Arial" w:hAnsi="Arial"/>
          <w:sz w:val="16"/>
          <w:szCs w:val="16"/>
          <w:color w:val="auto"/>
        </w:rPr>
        <w:t>Organization; Due Authorization. Sponsor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its corporate limited liability company or organizational powers and has been duly authorized by all necessary corporate, limited liability company or organizational actions on the part of Sponsor. This Sponsor Agreement has been duly executed and delivered by Sponsor and, assuming due authorization, execution and delivery by the other parties to this Sponsor Agreement, this Sponsor Agreement constitutes a legally valid and binding obligation of Sponsor, enforceable against Sponsor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Sponsor.</w:t>
      </w:r>
    </w:p>
    <w:p>
      <w:pPr>
        <w:spacing w:after="0" w:line="112" w:lineRule="exact"/>
        <w:rPr>
          <w:rFonts w:ascii="Arial" w:cs="Arial" w:eastAsia="Arial" w:hAnsi="Arial"/>
          <w:sz w:val="16"/>
          <w:szCs w:val="16"/>
          <w:color w:val="auto"/>
        </w:rPr>
      </w:pPr>
    </w:p>
    <w:p>
      <w:pPr>
        <w:jc w:val="both"/>
        <w:ind w:firstLine="1628"/>
        <w:spacing w:after="0" w:line="253" w:lineRule="auto"/>
        <w:tabs>
          <w:tab w:leader="none" w:pos="1938" w:val="left"/>
        </w:tabs>
        <w:numPr>
          <w:ilvl w:val="0"/>
          <w:numId w:val="559"/>
        </w:numPr>
        <w:rPr>
          <w:rFonts w:ascii="Arial" w:cs="Arial" w:eastAsia="Arial" w:hAnsi="Arial"/>
          <w:sz w:val="18"/>
          <w:szCs w:val="18"/>
          <w:color w:val="auto"/>
        </w:rPr>
      </w:pPr>
      <w:r>
        <w:rPr>
          <w:rFonts w:ascii="Arial" w:cs="Arial" w:eastAsia="Arial" w:hAnsi="Arial"/>
          <w:sz w:val="18"/>
          <w:szCs w:val="18"/>
          <w:color w:val="auto"/>
        </w:rPr>
        <w:t>Ownership. Sponsor is the record and “beneficial owner” (within the meaning of Rule 13d-3 under the Exchange Act) of, and has good title to, Sponsor’s Subject Securities, and there exist no Liens or any other limitation or restriction (including any restriction on the right to vote, sell or otherwise dispose of such Subject Securities (other than transfer restrictions under the Securities Act)) affecting any such Subject Securities, other than Liens or any other limitation or restriction pursuant to (i) this Sponsor Agreement, (ii) the Parent Organizational Documents, (iii) the Merger Agreement, (iv) the Insider Letter and (v) any applicable securities laws. Sponsor’s Subject Securities are the only equity securities in Parent owned of record or beneficially by Sponsor on the date of this Sponsor Agreement, and none of Sponsor’s Subject Securities are subject to any proxy, voting trust or other agreement or arrangement with respect to the voting of such Subject Securities, except as provided hereunder and under the Insider Letter, Merger Agreement and organizational documents of Sponsor. Other than the warrants of Parent held by Sponsor, Sponsor does not hold or own any rights to acquire (directly or indirectly) any equity securities of Parent or any equity securities convertible into, or which can be exchanged for, equity securities of Parent.</w:t>
      </w:r>
    </w:p>
    <w:p>
      <w:pPr>
        <w:spacing w:after="0" w:line="140" w:lineRule="exact"/>
        <w:rPr>
          <w:rFonts w:ascii="Arial" w:cs="Arial" w:eastAsia="Arial" w:hAnsi="Arial"/>
          <w:sz w:val="18"/>
          <w:szCs w:val="18"/>
          <w:color w:val="auto"/>
        </w:rPr>
      </w:pPr>
    </w:p>
    <w:p>
      <w:pPr>
        <w:jc w:val="both"/>
        <w:ind w:right="20" w:firstLine="1628"/>
        <w:spacing w:after="0" w:line="311" w:lineRule="auto"/>
        <w:tabs>
          <w:tab w:leader="none" w:pos="1941" w:val="left"/>
        </w:tabs>
        <w:numPr>
          <w:ilvl w:val="0"/>
          <w:numId w:val="559"/>
        </w:numPr>
        <w:rPr>
          <w:rFonts w:ascii="Arial" w:cs="Arial" w:eastAsia="Arial" w:hAnsi="Arial"/>
          <w:sz w:val="16"/>
          <w:szCs w:val="16"/>
          <w:color w:val="auto"/>
        </w:rPr>
      </w:pPr>
      <w:r>
        <w:rPr>
          <w:rFonts w:ascii="Arial" w:cs="Arial" w:eastAsia="Arial" w:hAnsi="Arial"/>
          <w:sz w:val="16"/>
          <w:szCs w:val="16"/>
          <w:color w:val="auto"/>
        </w:rPr>
        <w:t>No Conflicts. The execution and delivery of this Sponsor Agreement by Sponsor does not, and the performance by Sponsor of his, her or its obligations hereunder will not, (i) conflict with or result in a violation of the organizational documents of Sponsor or (ii) require any consent or approval that has not been given or other action that has not been taken by any Person (including under any Contract binding upon Sponsor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240"/>
          </w:cols>
          <w:pgMar w:left="320" w:top="1422" w:right="339" w:bottom="1440" w:gutter="0" w:footer="0" w:header="0"/>
        </w:sectPr>
      </w:pPr>
    </w:p>
    <w:bookmarkStart w:id="678" w:name="page679"/>
    <w:bookmarkEnd w:id="678"/>
    <w:p>
      <w:pPr>
        <w:spacing w:after="0" w:line="277" w:lineRule="auto"/>
        <w:rPr>
          <w:sz w:val="20"/>
          <w:szCs w:val="20"/>
          <w:color w:val="auto"/>
        </w:rPr>
      </w:pPr>
      <w:r>
        <w:rPr>
          <w:rFonts w:ascii="Arial" w:cs="Arial" w:eastAsia="Arial" w:hAnsi="Arial"/>
          <w:sz w:val="18"/>
          <w:szCs w:val="18"/>
          <w:color w:val="auto"/>
        </w:rPr>
        <w:t>Sponsor’s Subject Securities), in each case, to the extent such consent, approval or other action would prevent, enjoin or materially delay the performance by Sponsor of its obligations under this Sponsor Agreement.</w:t>
      </w:r>
    </w:p>
    <w:p>
      <w:pPr>
        <w:spacing w:after="0" w:line="116" w:lineRule="exact"/>
        <w:rPr>
          <w:sz w:val="20"/>
          <w:szCs w:val="20"/>
          <w:color w:val="auto"/>
        </w:rPr>
      </w:pPr>
    </w:p>
    <w:p>
      <w:pPr>
        <w:jc w:val="both"/>
        <w:ind w:firstLine="1628"/>
        <w:spacing w:after="0" w:line="286" w:lineRule="auto"/>
        <w:tabs>
          <w:tab w:leader="none" w:pos="1938" w:val="left"/>
        </w:tabs>
        <w:numPr>
          <w:ilvl w:val="0"/>
          <w:numId w:val="560"/>
        </w:numPr>
        <w:rPr>
          <w:rFonts w:ascii="Arial" w:cs="Arial" w:eastAsia="Arial" w:hAnsi="Arial"/>
          <w:sz w:val="17"/>
          <w:szCs w:val="17"/>
          <w:color w:val="auto"/>
        </w:rPr>
      </w:pPr>
      <w:r>
        <w:rPr>
          <w:rFonts w:ascii="Arial" w:cs="Arial" w:eastAsia="Arial" w:hAnsi="Arial"/>
          <w:sz w:val="17"/>
          <w:szCs w:val="17"/>
          <w:color w:val="auto"/>
        </w:rPr>
        <w:t>Litigation. There are no Legal Proceedings pending against Sponsor, or to the knowledge of Sponsor threatened against Sponsor, before (or, in the case of threatened Legal Proceedings, that would be before) any arbitrator or any Governmental Entity, which in any manner challenges or seeks to prevent, enjoin or materially delay the performance by Sponsor of its obligations under this Sponsor Agreement.</w:t>
      </w:r>
    </w:p>
    <w:p>
      <w:pPr>
        <w:spacing w:after="0" w:line="111" w:lineRule="exact"/>
        <w:rPr>
          <w:rFonts w:ascii="Arial" w:cs="Arial" w:eastAsia="Arial" w:hAnsi="Arial"/>
          <w:sz w:val="17"/>
          <w:szCs w:val="17"/>
          <w:color w:val="auto"/>
        </w:rPr>
      </w:pPr>
    </w:p>
    <w:p>
      <w:pPr>
        <w:jc w:val="both"/>
        <w:ind w:firstLine="1628"/>
        <w:spacing w:after="0" w:line="263" w:lineRule="auto"/>
        <w:tabs>
          <w:tab w:leader="none" w:pos="1941" w:val="left"/>
        </w:tabs>
        <w:numPr>
          <w:ilvl w:val="0"/>
          <w:numId w:val="560"/>
        </w:numPr>
        <w:rPr>
          <w:rFonts w:ascii="Arial" w:cs="Arial" w:eastAsia="Arial" w:hAnsi="Arial"/>
          <w:sz w:val="18"/>
          <w:szCs w:val="18"/>
          <w:color w:val="auto"/>
        </w:rPr>
      </w:pPr>
      <w:r>
        <w:rPr>
          <w:rFonts w:ascii="Arial" w:cs="Arial" w:eastAsia="Arial" w:hAnsi="Arial"/>
          <w:sz w:val="18"/>
          <w:szCs w:val="18"/>
          <w:color w:val="auto"/>
        </w:rPr>
        <w:t>Brokerage Fees. Except as described on Section 5.21 of the Parent Disclosure Letter, no broker, finder, investment banker or other Person is entitled to any brokerage fee, finders’ fee or other commission in connection with the transactions contemplated by the Merger Agreement based upon arrangements made by Sponsor, for which Parent or any of its Affiliates may become liable.</w:t>
      </w:r>
    </w:p>
    <w:p>
      <w:pPr>
        <w:spacing w:after="0" w:line="129" w:lineRule="exact"/>
        <w:rPr>
          <w:rFonts w:ascii="Arial" w:cs="Arial" w:eastAsia="Arial" w:hAnsi="Arial"/>
          <w:sz w:val="18"/>
          <w:szCs w:val="18"/>
          <w:color w:val="auto"/>
        </w:rPr>
      </w:pPr>
    </w:p>
    <w:p>
      <w:pPr>
        <w:jc w:val="both"/>
        <w:ind w:firstLine="1628"/>
        <w:spacing w:after="0" w:line="286" w:lineRule="auto"/>
        <w:tabs>
          <w:tab w:leader="none" w:pos="1935" w:val="left"/>
        </w:tabs>
        <w:numPr>
          <w:ilvl w:val="0"/>
          <w:numId w:val="560"/>
        </w:numPr>
        <w:rPr>
          <w:rFonts w:ascii="Arial" w:cs="Arial" w:eastAsia="Arial" w:hAnsi="Arial"/>
          <w:sz w:val="17"/>
          <w:szCs w:val="17"/>
          <w:color w:val="auto"/>
        </w:rPr>
      </w:pPr>
      <w:r>
        <w:rPr>
          <w:rFonts w:ascii="Arial" w:cs="Arial" w:eastAsia="Arial" w:hAnsi="Arial"/>
          <w:sz w:val="17"/>
          <w:szCs w:val="17"/>
          <w:color w:val="auto"/>
        </w:rPr>
        <w:t>Affiliate Arrangements. Except as set forth on Schedule II hereto or otherwise disclosed in Parent’s Form S-1 Registration Statement filed with the SEC, neither Sponsor nor any of the present or former directors, officers, employees, stockholders or Affiliates of Sponsor (or an immediate family member of any of the foregoing) is party to, or has any rights with respect to or arising from, any Contract with Parent.</w:t>
      </w:r>
    </w:p>
    <w:p>
      <w:pPr>
        <w:spacing w:after="0" w:line="111" w:lineRule="exact"/>
        <w:rPr>
          <w:rFonts w:ascii="Arial" w:cs="Arial" w:eastAsia="Arial" w:hAnsi="Arial"/>
          <w:sz w:val="17"/>
          <w:szCs w:val="17"/>
          <w:color w:val="auto"/>
        </w:rPr>
      </w:pPr>
    </w:p>
    <w:p>
      <w:pPr>
        <w:ind w:firstLine="1628"/>
        <w:spacing w:after="0" w:line="277" w:lineRule="auto"/>
        <w:tabs>
          <w:tab w:leader="none" w:pos="1938"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Acknowledgment. Sponsor understands and acknowledges that each of Parent and the Company is entering into the Merger Agreement in reliance upon Sponsor’s execution and delivery of this Sponsor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Sponsor Agreement and all of its provisions (except for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of this Sponsor Agreement) shall terminate and be of no further force or effect upon the earliest of: (a) the Expiration Time, (b) the liquidation of Parent and (c) the written agreement of the Sponsor, Parent,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provided, however, that the termination of this Sponsor Agreement shall not relieve any party hereto from liability arising in respect of any breach of this Sponsor Agreement prior to such termination.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Sponsor Agreement.</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Responsibility for Parent Related Parties</w:t>
      </w:r>
      <w:r>
        <w:rPr>
          <w:rFonts w:ascii="Arial" w:cs="Arial" w:eastAsia="Arial" w:hAnsi="Arial"/>
          <w:sz w:val="18"/>
          <w:szCs w:val="18"/>
          <w:color w:val="auto"/>
        </w:rPr>
        <w:t>. Notwithstanding anything in this Sponsor Agreement to the contrary, (i) Sponsor shall not be responsible for the actions of Parent, the board of directors of Parent (or any committee thereof), or any officers, directors, employees or professional advisors of Parent, in each case acting in their capacity as such (collectively, the “Parent Related Parties”) and (ii) Sponsor makes no representations or warranties with respect to the actions of any of the Parent Related Parties.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Sponsor Agreement, and all claims or causes of action (whether in contract or tort) that may be based upon, arise out of or relate to this Sponsor Agreement or the negotiation, execution or performance of this Sponsor Agreement (including any claim or cause of action based upon, arising out of or related to any representation or warranty made in or in connection with this Sponsor Agreement) will be governed by and construed in accordance with the internal Laws of the State of Delaware applicable to agreements executed and performed entirely within such State.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CONSENT TO JURISDICTION AND SERVICE OF PROCESS; WAIVER OF JURY TRIAL</w:t>
      </w:r>
      <w:r>
        <w:rPr>
          <w:rFonts w:ascii="Arial" w:cs="Arial" w:eastAsia="Arial" w:hAnsi="Arial"/>
          <w:sz w:val="18"/>
          <w:szCs w:val="18"/>
          <w:color w:val="auto"/>
        </w:rPr>
        <w:t>.</w:t>
      </w:r>
    </w:p>
    <w:p>
      <w:pPr>
        <w:spacing w:after="0" w:line="171" w:lineRule="exact"/>
        <w:rPr>
          <w:sz w:val="20"/>
          <w:szCs w:val="20"/>
          <w:color w:val="auto"/>
        </w:rPr>
      </w:pPr>
    </w:p>
    <w:p>
      <w:pPr>
        <w:jc w:val="both"/>
        <w:ind w:firstLine="1628"/>
        <w:spacing w:after="0" w:line="259" w:lineRule="auto"/>
        <w:tabs>
          <w:tab w:leader="none" w:pos="194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PARTIES TO THIS SPONSOR AGREEMENT SUBMIT TO THE EXCLUSIVE JURISDICTION OF THE COURT OF CHANCERY OF THE STATE OF DELAWARE (OR, TO THE EXTENT SUCH COURT DOES NOT HAVE SUBJECT MATTER JURISDICTION, THE SUPERIOR COURT OF THE STATE OF DELAWARE) IN RESPECT OF THE INTERPRETATION AND ENFORCEMENT OF THE PROVISIONS OF THIS SPONSOR AGREEMENT AND ANY RELATED AGREEMENT, CERTIFICATE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240"/>
          </w:cols>
          <w:pgMar w:left="320" w:top="1422" w:right="339" w:bottom="1440" w:gutter="0" w:footer="0" w:header="0"/>
        </w:sectPr>
      </w:pPr>
    </w:p>
    <w:bookmarkStart w:id="679" w:name="page680"/>
    <w:bookmarkEnd w:id="679"/>
    <w:p>
      <w:pPr>
        <w:jc w:val="both"/>
        <w:spacing w:after="0" w:line="253" w:lineRule="auto"/>
        <w:rPr>
          <w:sz w:val="20"/>
          <w:szCs w:val="20"/>
          <w:color w:val="auto"/>
        </w:rPr>
      </w:pPr>
      <w:r>
        <w:rPr>
          <w:rFonts w:ascii="Arial" w:cs="Arial" w:eastAsia="Arial" w:hAnsi="Arial"/>
          <w:sz w:val="18"/>
          <w:szCs w:val="18"/>
          <w:color w:val="auto"/>
        </w:rPr>
        <w:t>OTHER DOCUMENT DELIVERED IN CONNECTION HEREWITH AND BY THIS SPONSOR AGREEMENT WAIVE, AND AGREE NOT TO ASSERT, ANY DEFENSE IN ANY ACTION FOR THE INTERPRETATION OR ENFORCEMENT OF THIS SPONSOR AGREEMENT AND ANY RELATED AGREEMENT, CERTIFICATE OR OTHER DOCUMENT DELIVERED IN CONNECTION HEREWITH, THAT THEY ARE NOT SUBJECT THERETO OR THAT SUCH ACTION MAY NOT BE BROUGHT OR IS NOT MAINTAINABLE IN SUCH COURTS OR THAT THIS SPONSOR AGREEMENT MAY NOT BE ENFORCED IN OR BY SUCH COURTS OR THAT THEIR PROPERTY IS EXEMPT OR IMMUNE FROM EXECUTION, THAT THE ACTION IS BROUGHT IN AN INCONVENIENT FORUM, OR THAT THE VENUE OF THE ACTION IS IMPROPER. SERVICE OF PROCESS WITH RESPECT THERETO MAY BE MADE UPON ANY PARTY TO THIS SPONSOR AGREEMENT BY MAILING A COPY THEREOF BY REGISTERED OR CERTIFIED MAIL, POSTAGE PREPAID, TO SUCH PARTY AT ITS ADDRESS AS PROVIDED IN SECTION 3.8.</w:t>
      </w:r>
    </w:p>
    <w:p>
      <w:pPr>
        <w:spacing w:after="0" w:line="142" w:lineRule="exact"/>
        <w:rPr>
          <w:sz w:val="20"/>
          <w:szCs w:val="20"/>
          <w:color w:val="auto"/>
        </w:rPr>
      </w:pPr>
    </w:p>
    <w:p>
      <w:pPr>
        <w:jc w:val="both"/>
        <w:ind w:firstLine="1628"/>
        <w:spacing w:after="0" w:line="269" w:lineRule="auto"/>
        <w:tabs>
          <w:tab w:leader="none" w:pos="1938" w:val="left"/>
        </w:tabs>
        <w:numPr>
          <w:ilvl w:val="0"/>
          <w:numId w:val="562"/>
        </w:numPr>
        <w:rPr>
          <w:rFonts w:ascii="Arial" w:cs="Arial" w:eastAsia="Arial" w:hAnsi="Arial"/>
          <w:sz w:val="17"/>
          <w:szCs w:val="17"/>
          <w:color w:val="auto"/>
        </w:rPr>
      </w:pPr>
      <w:r>
        <w:rPr>
          <w:rFonts w:ascii="Arial" w:cs="Arial" w:eastAsia="Arial" w:hAnsi="Arial"/>
          <w:sz w:val="17"/>
          <w:szCs w:val="17"/>
          <w:color w:val="auto"/>
        </w:rPr>
        <w:t>WAIVER OF TRIAL BY JURY. EACH PARTY HERETO HEREBY ACKNOWLEDGES AND AGREES THAT ANY CONTROVERSY WHICH MAY ARISE UNDER THIS SPONSOR AGREEMENT IS LIKELY TO INVOLVE COMPLICATED AND DIFFICULT ISSUES, AND THEREFORE EACH SUCH PARTY HEREBY IRREVOCABLY AND UNCONDITIONALLY WAIVES ANY RIGHT SUCH PARTY MAY HAVE TO A TRIAL BY JURY IN RESPECT OF ANY LITIGATION DIRECTLY OR INDIRECTLY ARISING OUT OF OR RELATING TO THIS SPONSOR AGREEMENT OR THE TRANSACTIONS CONTEMPLATED BY THIS SPONSOR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SPONSOR AGREEMENT BY, AMONG OTHER THINGS, THE MUTUAL WAIVERS AND CERTIFICATIONS IN THIS SECTION 3.8.</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Assignment</w:t>
      </w:r>
      <w:r>
        <w:rPr>
          <w:rFonts w:ascii="Arial" w:cs="Arial" w:eastAsia="Arial" w:hAnsi="Arial"/>
          <w:sz w:val="18"/>
          <w:szCs w:val="18"/>
          <w:color w:val="auto"/>
        </w:rPr>
        <w:t>.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enforce specifically the terms and provisions of this Sponsor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Amendment</w:t>
      </w:r>
      <w:r>
        <w:rPr>
          <w:rFonts w:ascii="Arial" w:cs="Arial" w:eastAsia="Arial" w:hAnsi="Arial"/>
          <w:sz w:val="18"/>
          <w:szCs w:val="18"/>
          <w:color w:val="auto"/>
        </w:rPr>
        <w:t>. This Sponsor Agreement may not be amended, changed, supplemented, waived or otherwise modified or terminated, except upon the execution and delivery of a written agreement executed by Sponsor, Parent and the Company.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30" w:lineRule="exact"/>
        <w:rPr>
          <w:sz w:val="20"/>
          <w:szCs w:val="20"/>
          <w:color w:val="auto"/>
        </w:rPr>
      </w:pPr>
    </w:p>
    <w:p>
      <w:pPr>
        <w:jc w:val="both"/>
        <w:ind w:right="20" w:firstLine="324"/>
        <w:spacing w:after="0" w:line="317"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(a) on the date established by the sender as having been delivered personally; (b) one (1) Business Day after being sent by a nationally recognized overnight courier guaranteeing overnight delivery; (c) on the date delivered, if delivered by email, with confirmation of transmission; or (d) on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after the date mailed,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240"/>
          </w:cols>
          <w:pgMar w:left="320" w:top="1422" w:right="339"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color w:val="auto"/>
        </w:rPr>
        <w:t>certified or registered mail, return receipt requested, postage prepaid. Such communications, to be valid, must be addressed as follows:</w:t>
      </w:r>
    </w:p>
    <w:p>
      <w:pPr>
        <w:spacing w:after="0" w:line="2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Parent or Sponsor:</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667 Madison Avenue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10065</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Eli Casdin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eli@casdincapital.com</w:t>
      </w:r>
    </w:p>
    <w:p>
      <w:pPr>
        <w:spacing w:after="0" w:line="2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1221 Avenue of the Americas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10020-1095</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Joel L. Rubinstein</w:t>
      </w:r>
    </w:p>
    <w:p>
      <w:pPr>
        <w:ind w:left="2080"/>
        <w:spacing w:after="0"/>
        <w:rPr>
          <w:sz w:val="20"/>
          <w:szCs w:val="20"/>
          <w:color w:val="auto"/>
        </w:rPr>
      </w:pPr>
      <w:r>
        <w:rPr>
          <w:rFonts w:ascii="Arial" w:cs="Arial" w:eastAsia="Arial" w:hAnsi="Arial"/>
          <w:sz w:val="18"/>
          <w:szCs w:val="18"/>
          <w:color w:val="auto"/>
        </w:rPr>
        <w:t>Matthew Kautz</w:t>
      </w:r>
    </w:p>
    <w:p>
      <w:pPr>
        <w:jc w:val="center"/>
        <w:ind w:right="5820"/>
        <w:spacing w:after="0" w:line="229" w:lineRule="auto"/>
        <w:rPr>
          <w:sz w:val="20"/>
          <w:szCs w:val="20"/>
          <w:color w:val="auto"/>
        </w:rPr>
      </w:pPr>
      <w:r>
        <w:rPr>
          <w:rFonts w:ascii="Arial" w:cs="Arial" w:eastAsia="Arial" w:hAnsi="Arial"/>
          <w:sz w:val="18"/>
          <w:szCs w:val="18"/>
          <w:color w:val="auto"/>
        </w:rPr>
        <w:t>Email: joel.rubinstein@whitecase.com</w:t>
      </w:r>
    </w:p>
    <w:p>
      <w:pPr>
        <w:spacing w:after="0" w:line="1" w:lineRule="exact"/>
        <w:rPr>
          <w:sz w:val="20"/>
          <w:szCs w:val="20"/>
          <w:color w:val="auto"/>
        </w:rPr>
      </w:pPr>
    </w:p>
    <w:p>
      <w:pPr>
        <w:jc w:val="center"/>
        <w:ind w:right="5860"/>
        <w:spacing w:after="0"/>
        <w:rPr>
          <w:sz w:val="20"/>
          <w:szCs w:val="20"/>
          <w:color w:val="auto"/>
        </w:rPr>
      </w:pPr>
      <w:r>
        <w:rPr>
          <w:rFonts w:ascii="Arial" w:cs="Arial" w:eastAsia="Arial" w:hAnsi="Arial"/>
          <w:sz w:val="18"/>
          <w:szCs w:val="18"/>
          <w:color w:val="auto"/>
        </w:rPr>
        <w:t>mkautz@whitecase.com</w:t>
      </w:r>
    </w:p>
    <w:p>
      <w:pPr>
        <w:spacing w:after="0" w:line="29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Company: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333 Ludlow Street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Stamford, Connecticut 06902 Attention: General Counsel</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legal@sema4.com</w:t>
      </w:r>
    </w:p>
    <w:p>
      <w:pPr>
        <w:spacing w:after="0" w:line="2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(which shall not constitute notice) to:</w:t>
      </w:r>
    </w:p>
    <w:p>
      <w:pPr>
        <w:spacing w:after="0" w:line="29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10010</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Ethan Skerry, Robert A. Freedman and David K. Michaels</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eskerry@fenwick.com</w:t>
      </w:r>
    </w:p>
    <w:p>
      <w:pPr>
        <w:ind w:left="1860"/>
        <w:spacing w:after="0" w:line="203" w:lineRule="auto"/>
        <w:rPr>
          <w:sz w:val="20"/>
          <w:szCs w:val="20"/>
          <w:color w:val="auto"/>
        </w:rPr>
      </w:pPr>
      <w:r>
        <w:rPr>
          <w:rFonts w:ascii="Arial" w:cs="Arial" w:eastAsia="Arial" w:hAnsi="Arial"/>
          <w:sz w:val="18"/>
          <w:szCs w:val="18"/>
          <w:color w:val="auto"/>
        </w:rPr>
        <w:t>rfreedman@fenwick.com</w:t>
      </w:r>
    </w:p>
    <w:p>
      <w:pPr>
        <w:ind w:left="1860"/>
        <w:spacing w:after="0"/>
        <w:rPr>
          <w:sz w:val="20"/>
          <w:szCs w:val="20"/>
          <w:color w:val="auto"/>
        </w:rPr>
      </w:pPr>
      <w:r>
        <w:rPr>
          <w:rFonts w:ascii="Arial" w:cs="Arial" w:eastAsia="Arial" w:hAnsi="Arial"/>
          <w:sz w:val="18"/>
          <w:szCs w:val="18"/>
          <w:color w:val="auto"/>
        </w:rPr>
        <w:t>dmichaels@fenwick.com</w:t>
      </w:r>
    </w:p>
    <w:p>
      <w:pPr>
        <w:spacing w:after="0" w:line="27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10010</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Ethan Skerry, Robert A. Freedman and David K. Michaels</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eskerry@fenwick.com</w:t>
      </w:r>
    </w:p>
    <w:p>
      <w:pPr>
        <w:ind w:left="1860"/>
        <w:spacing w:after="0" w:line="203" w:lineRule="auto"/>
        <w:rPr>
          <w:sz w:val="20"/>
          <w:szCs w:val="20"/>
          <w:color w:val="auto"/>
        </w:rPr>
      </w:pPr>
      <w:r>
        <w:rPr>
          <w:rFonts w:ascii="Arial" w:cs="Arial" w:eastAsia="Arial" w:hAnsi="Arial"/>
          <w:sz w:val="18"/>
          <w:szCs w:val="18"/>
          <w:color w:val="auto"/>
        </w:rPr>
        <w:t>rfreedman@fenwick.com</w:t>
      </w:r>
    </w:p>
    <w:p>
      <w:pPr>
        <w:ind w:left="1860"/>
        <w:spacing w:after="0"/>
        <w:rPr>
          <w:sz w:val="20"/>
          <w:szCs w:val="20"/>
          <w:color w:val="auto"/>
        </w:rPr>
      </w:pPr>
      <w:r>
        <w:rPr>
          <w:rFonts w:ascii="Arial" w:cs="Arial" w:eastAsia="Arial" w:hAnsi="Arial"/>
          <w:sz w:val="18"/>
          <w:szCs w:val="18"/>
          <w:color w:val="auto"/>
        </w:rPr>
        <w:t>dmichaels@fenwick.com</w:t>
      </w:r>
    </w:p>
    <w:p>
      <w:pPr>
        <w:spacing w:after="0" w:line="25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Sponsor Agreement may be executed in two (2) or more counterparts (any of which may be delivered by electronic transmission), each of which shall constitute an original, and all of which taken together shall constitute one and the same instrument.</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Section 7.7 (</w:t>
      </w:r>
      <w:r>
        <w:rPr>
          <w:rFonts w:ascii="Arial" w:cs="Arial" w:eastAsia="Arial" w:hAnsi="Arial"/>
          <w:sz w:val="18"/>
          <w:szCs w:val="18"/>
          <w:i w:val="1"/>
          <w:iCs w:val="1"/>
          <w:color w:val="auto"/>
        </w:rPr>
        <w:t>No Claim Against Trust Account</w:t>
      </w:r>
      <w:r>
        <w:rPr>
          <w:rFonts w:ascii="Arial" w:cs="Arial" w:eastAsia="Arial" w:hAnsi="Arial"/>
          <w:sz w:val="18"/>
          <w:szCs w:val="18"/>
          <w:color w:val="auto"/>
        </w:rPr>
        <w:t xml:space="preserve">) of the Merger Agreement is hereby incorporated into this Sponsor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240"/>
          </w:cols>
          <w:pgMar w:left="320" w:top="1422" w:right="339" w:bottom="1440" w:gutter="0" w:footer="0" w:header="0"/>
        </w:sectPr>
      </w:pPr>
    </w:p>
    <w:bookmarkStart w:id="681" w:name="page682"/>
    <w:bookmarkEnd w:id="681"/>
    <w:p>
      <w:pPr>
        <w:jc w:val="both"/>
        <w:ind w:firstLine="324"/>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240"/>
          </w:cols>
          <w:pgMar w:left="320" w:top="1422" w:right="339" w:bottom="1440" w:gutter="0" w:footer="0" w:header="0"/>
        </w:sectPr>
      </w:pPr>
    </w:p>
    <w:bookmarkStart w:id="682" w:name="page683"/>
    <w:bookmarkEnd w:id="682"/>
    <w:p>
      <w:pPr>
        <w:ind w:firstLine="324"/>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SPONSOR:</w:t>
      </w:r>
    </w:p>
    <w:p>
      <w:pPr>
        <w:spacing w:after="0" w:line="33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CMLS Holdings LLC</w:t>
      </w:r>
    </w:p>
    <w:p>
      <w:pPr>
        <w:spacing w:after="0" w:line="200" w:lineRule="exact"/>
        <w:rPr>
          <w:sz w:val="20"/>
          <w:szCs w:val="20"/>
          <w:color w:val="auto"/>
        </w:rPr>
      </w:pPr>
    </w:p>
    <w:p>
      <w:pPr>
        <w:spacing w:after="0" w:line="295" w:lineRule="exact"/>
        <w:rPr>
          <w:sz w:val="20"/>
          <w:szCs w:val="20"/>
          <w:color w:val="auto"/>
        </w:rPr>
      </w:pPr>
    </w:p>
    <w:p>
      <w:pPr>
        <w:ind w:left="65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Eli Casdin</w:t>
      </w:r>
    </w:p>
    <w:p>
      <w:pPr>
        <w:spacing w:after="0" w:line="6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240"/>
          </w:cols>
          <w:pgMar w:left="320" w:top="1422" w:right="339" w:bottom="1440" w:gutter="0" w:footer="0" w:header="0"/>
        </w:sectPr>
      </w:pPr>
    </w:p>
    <w:bookmarkStart w:id="683" w:name="page684"/>
    <w:bookmarkEnd w:id="683"/>
    <w:p>
      <w:pPr>
        <w:ind w:firstLine="324"/>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PARENT:</w:t>
      </w:r>
    </w:p>
    <w:p>
      <w:pPr>
        <w:spacing w:after="0" w:line="33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95" w:lineRule="exact"/>
        <w:rPr>
          <w:sz w:val="20"/>
          <w:szCs w:val="20"/>
          <w:color w:val="auto"/>
        </w:rPr>
      </w:pPr>
    </w:p>
    <w:p>
      <w:pPr>
        <w:ind w:left="65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Eli Casdin</w:t>
      </w:r>
    </w:p>
    <w:p>
      <w:pPr>
        <w:spacing w:after="0" w:line="6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H-9</w:t>
      </w:r>
    </w:p>
    <w:p>
      <w:pPr>
        <w:sectPr>
          <w:pgSz w:w="11900" w:h="16838" w:orient="portrait"/>
          <w:cols w:equalWidth="0" w:num="1">
            <w:col w:w="11240"/>
          </w:cols>
          <w:pgMar w:left="320" w:top="1422" w:right="339" w:bottom="1440" w:gutter="0" w:footer="0" w:header="0"/>
        </w:sectPr>
      </w:pPr>
    </w:p>
    <w:bookmarkStart w:id="684" w:name="page685"/>
    <w:bookmarkEnd w:id="684"/>
    <w:p>
      <w:pPr>
        <w:ind w:firstLine="324"/>
        <w:spacing w:after="0" w:line="277" w:lineRule="auto"/>
        <w:rPr>
          <w:sz w:val="20"/>
          <w:szCs w:val="20"/>
          <w:color w:val="auto"/>
        </w:rPr>
      </w:pPr>
      <w:r>
        <w:rPr>
          <w:rFonts w:ascii="Arial" w:cs="Arial" w:eastAsia="Arial" w:hAnsi="Arial"/>
          <w:sz w:val="18"/>
          <w:szCs w:val="18"/>
          <w:color w:val="auto"/>
        </w:rPr>
        <w:t>IN WITNESS WHEREOF, Sponsor, Parent, and the Company have each caused this Sponsor Support Agreement to be duly executed as of the date first written above.</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COMPANY:</w:t>
      </w:r>
    </w:p>
    <w:p>
      <w:pPr>
        <w:spacing w:after="0" w:line="33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Mount Sinai Genomics, Inc.</w:t>
      </w:r>
    </w:p>
    <w:p>
      <w:pPr>
        <w:spacing w:after="0" w:line="200" w:lineRule="exact"/>
        <w:rPr>
          <w:sz w:val="20"/>
          <w:szCs w:val="20"/>
          <w:color w:val="auto"/>
        </w:rPr>
      </w:pPr>
    </w:p>
    <w:p>
      <w:pPr>
        <w:spacing w:after="0" w:line="295" w:lineRule="exact"/>
        <w:rPr>
          <w:sz w:val="20"/>
          <w:szCs w:val="20"/>
          <w:color w:val="auto"/>
        </w:rPr>
      </w:pPr>
    </w:p>
    <w:p>
      <w:pPr>
        <w:ind w:left="65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Dr. Eric Schadt</w:t>
      </w:r>
    </w:p>
    <w:p>
      <w:pPr>
        <w:spacing w:after="0" w:line="6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11240"/>
          </w:cols>
          <w:pgMar w:left="320" w:top="1422" w:right="339" w:bottom="1440" w:gutter="0" w:footer="0" w:header="0"/>
        </w:sectPr>
      </w:pPr>
    </w:p>
    <w:bookmarkStart w:id="685" w:name="page686"/>
    <w:bookmarkEnd w:id="685"/>
    <w:p>
      <w:pPr>
        <w:jc w:val="center"/>
        <w:ind w:right="312"/>
        <w:spacing w:after="0"/>
        <w:rPr>
          <w:sz w:val="20"/>
          <w:szCs w:val="20"/>
          <w:color w:val="auto"/>
        </w:rPr>
      </w:pPr>
      <w:r>
        <w:rPr>
          <w:rFonts w:ascii="Arial" w:cs="Arial" w:eastAsia="Arial" w:hAnsi="Arial"/>
          <w:sz w:val="18"/>
          <w:szCs w:val="18"/>
          <w:b w:val="1"/>
          <w:bCs w:val="1"/>
          <w:u w:val="single" w:color="auto"/>
          <w:color w:val="auto"/>
        </w:rPr>
        <w:t>Schedule I</w:t>
      </w:r>
    </w:p>
    <w:p>
      <w:pPr>
        <w:spacing w:after="0" w:line="175" w:lineRule="exact"/>
        <w:rPr>
          <w:sz w:val="20"/>
          <w:szCs w:val="20"/>
          <w:color w:val="auto"/>
        </w:rPr>
      </w:pPr>
    </w:p>
    <w:p>
      <w:pPr>
        <w:ind w:left="328" w:hanging="328"/>
        <w:spacing w:after="0" w:line="277" w:lineRule="auto"/>
        <w:tabs>
          <w:tab w:leader="none" w:pos="32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Warrant Agreement, dated September 1, 2020, by and between CM Life Sciences, Inc. and Continental Stock Transfer &amp; Trust Company, as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0908"/>
          </w:cols>
          <w:pgMar w:left="652" w:top="1418" w:right="339" w:bottom="1440" w:gutter="0" w:footer="0" w:header="0"/>
        </w:sectPr>
      </w:pPr>
    </w:p>
    <w:bookmarkStart w:id="686" w:name="page687"/>
    <w:bookmarkEnd w:id="686"/>
    <w:p>
      <w:pPr>
        <w:jc w:val="center"/>
        <w:ind w:right="312"/>
        <w:spacing w:after="0"/>
        <w:rPr>
          <w:sz w:val="20"/>
          <w:szCs w:val="20"/>
          <w:color w:val="auto"/>
        </w:rPr>
      </w:pPr>
      <w:r>
        <w:rPr>
          <w:rFonts w:ascii="Arial" w:cs="Arial" w:eastAsia="Arial" w:hAnsi="Arial"/>
          <w:sz w:val="18"/>
          <w:szCs w:val="18"/>
          <w:b w:val="1"/>
          <w:bCs w:val="1"/>
          <w:u w:val="single" w:color="auto"/>
          <w:color w:val="auto"/>
        </w:rPr>
        <w:t>Schedule II</w:t>
      </w:r>
    </w:p>
    <w:p>
      <w:pPr>
        <w:spacing w:after="0" w:line="175" w:lineRule="exact"/>
        <w:rPr>
          <w:sz w:val="20"/>
          <w:szCs w:val="20"/>
          <w:color w:val="auto"/>
        </w:rPr>
      </w:pPr>
    </w:p>
    <w:p>
      <w:pPr>
        <w:ind w:left="328" w:hanging="328"/>
        <w:spacing w:after="0" w:line="277" w:lineRule="auto"/>
        <w:tabs>
          <w:tab w:leader="none" w:pos="32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Arrangement pursuant to which Keith Meister and Eli Casdin paid $12,500 each to White &amp; Case in connection with the initial formation matters on behalf of CM Life Sciences, Inc.</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Purchase Agreements with advised clients of Corvex Mangement LP and Casdin Capital LLC who agree to purchase Class A common shares under the Forward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0908"/>
          </w:cols>
          <w:pgMar w:left="652" w:top="1418" w:right="339" w:bottom="1440" w:gutter="0" w:footer="0" w:header="0"/>
        </w:sectPr>
      </w:pPr>
    </w:p>
    <w:bookmarkStart w:id="687" w:name="page688"/>
    <w:bookmarkEnd w:id="687"/>
    <w:p>
      <w:pPr>
        <w:jc w:val="center"/>
        <w:spacing w:after="0"/>
        <w:rPr>
          <w:sz w:val="20"/>
          <w:szCs w:val="20"/>
          <w:color w:val="auto"/>
        </w:rPr>
      </w:pPr>
      <w:r>
        <w:rPr>
          <w:rFonts w:ascii="Arial" w:cs="Arial" w:eastAsia="Arial" w:hAnsi="Arial"/>
          <w:sz w:val="16"/>
          <w:szCs w:val="16"/>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66040</wp:posOffset>
            </wp:positionV>
            <wp:extent cx="5486400" cy="7140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0" cy="7140575"/>
                    </a:xfrm>
                    <a:prstGeom prst="rect">
                      <a:avLst/>
                    </a:prstGeom>
                    <a:noFill/>
                  </pic:spPr>
                </pic:pic>
              </a:graphicData>
            </a:graphic>
          </wp:anchor>
        </w:drawing>
      </w:r>
    </w:p>
    <w:p>
      <w:pPr>
        <w:sectPr>
          <w:pgSz w:w="11900" w:h="16838" w:orient="portrait"/>
          <w:cols w:equalWidth="0" w:num="1">
            <w:col w:w="9019"/>
          </w:cols>
          <w:pgMar w:left="1440" w:top="1094" w:right="1440" w:bottom="1440" w:gutter="0" w:footer="0" w:header="0"/>
        </w:sectPr>
      </w:pPr>
    </w:p>
    <w:bookmarkStart w:id="688" w:name="page689"/>
    <w:bookmarkEnd w:id="688"/>
    <w:p>
      <w:pPr>
        <w:jc w:val="center"/>
        <w:spacing w:after="0"/>
        <w:rPr>
          <w:sz w:val="20"/>
          <w:szCs w:val="20"/>
          <w:color w:val="auto"/>
        </w:rPr>
      </w:pPr>
      <w:r>
        <w:rPr>
          <w:rFonts w:ascii="Arial" w:cs="Arial" w:eastAsia="Arial" w:hAnsi="Arial"/>
          <w:sz w:val="16"/>
          <w:szCs w:val="16"/>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134620</wp:posOffset>
            </wp:positionV>
            <wp:extent cx="5486400" cy="7037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6400" cy="7037705"/>
                    </a:xfrm>
                    <a:prstGeom prst="rect">
                      <a:avLst/>
                    </a:prstGeom>
                    <a:noFill/>
                  </pic:spPr>
                </pic:pic>
              </a:graphicData>
            </a:graphic>
          </wp:anchor>
        </w:drawing>
      </w:r>
    </w:p>
    <w:sectPr>
      <w:pgSz w:w="11900" w:h="16838" w:orient="portrait"/>
      <w:cols w:equalWidth="0" w:num="1">
        <w:col w:w="9019"/>
      </w:cols>
      <w:pgMar w:left="1440" w:top="10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FB218"/>
    <w:multiLevelType w:val="hybridMultilevel"/>
    <w:lvl w:ilvl="0">
      <w:lvlJc w:val="left"/>
      <w:lvlText w:val="☐"/>
      <w:numFmt w:val="bullet"/>
      <w:start w:val="1"/>
    </w:lvl>
  </w:abstractNum>
  <w:abstractNum w:abstractNumId="1">
    <w:nsid w:val="680EA5D1"/>
    <w:multiLevelType w:val="hybridMultilevel"/>
    <w:lvl w:ilvl="0">
      <w:lvlJc w:val="left"/>
      <w:lvlText w:val="☒"/>
      <w:numFmt w:val="bullet"/>
      <w:start w:val="1"/>
    </w:lvl>
  </w:abstractNum>
  <w:abstractNum w:abstractNumId="2">
    <w:nsid w:val="4A9554FE"/>
    <w:multiLevelType w:val="hybridMultilevel"/>
    <w:lvl w:ilvl="0">
      <w:lvlJc w:val="left"/>
      <w:lvlText w:val="☐"/>
      <w:numFmt w:val="bullet"/>
      <w:start w:val="1"/>
    </w:lvl>
  </w:abstractNum>
  <w:abstractNum w:abstractNumId="3">
    <w:nsid w:val="392EDBE4"/>
    <w:multiLevelType w:val="hybridMultilevel"/>
    <w:lvl w:ilvl="0">
      <w:lvlJc w:val="left"/>
      <w:lvlText w:val="(%1)"/>
      <w:numFmt w:val="decimal"/>
      <w:start w:val="1"/>
    </w:lvl>
  </w:abstractNum>
  <w:abstractNum w:abstractNumId="4">
    <w:nsid w:val="3D1A2DD9"/>
    <w:multiLevelType w:val="hybridMultilevel"/>
    <w:lvl w:ilvl="0">
      <w:lvlJc w:val="left"/>
      <w:lvlText w:val="☒"/>
      <w:numFmt w:val="bullet"/>
      <w:start w:val="1"/>
    </w:lvl>
  </w:abstractNum>
  <w:abstractNum w:abstractNumId="5">
    <w:nsid w:val="7F618FCD"/>
    <w:multiLevelType w:val="hybridMultilevel"/>
    <w:lvl w:ilvl="0">
      <w:lvlJc w:val="left"/>
      <w:lvlText w:val="☐"/>
      <w:numFmt w:val="bullet"/>
      <w:start w:val="1"/>
    </w:lvl>
  </w:abstractNum>
  <w:abstractNum w:abstractNumId="6">
    <w:nsid w:val="7843E45"/>
    <w:multiLevelType w:val="hybridMultilevel"/>
    <w:lvl w:ilvl="0">
      <w:lvlJc w:val="left"/>
      <w:lvlText w:val="(%1)"/>
      <w:numFmt w:val="decimal"/>
      <w:start w:val="1"/>
    </w:lvl>
  </w:abstractNum>
  <w:abstractNum w:abstractNumId="7">
    <w:nsid w:val="9815DA3"/>
    <w:multiLevelType w:val="hybridMultilevel"/>
    <w:lvl w:ilvl="0">
      <w:lvlJc w:val="left"/>
      <w:lvlText w:val="%1."/>
      <w:numFmt w:val="decimal"/>
      <w:start w:val="1"/>
    </w:lvl>
  </w:abstractNum>
  <w:abstractNum w:abstractNumId="8">
    <w:nsid w:val="5204A191"/>
    <w:multiLevelType w:val="hybridMultilevel"/>
    <w:lvl w:ilvl="0">
      <w:lvlJc w:val="left"/>
      <w:lvlText w:val="%1."/>
      <w:numFmt w:val="decimal"/>
      <w:start w:val="1"/>
    </w:lvl>
  </w:abstractNum>
  <w:abstractNum w:abstractNumId="9">
    <w:nsid w:val="4C73A9C6"/>
    <w:multiLevelType w:val="hybridMultilevel"/>
    <w:lvl w:ilvl="0">
      <w:lvlJc w:val="left"/>
      <w:lvlText w:val="%1."/>
      <w:numFmt w:val="decimal"/>
      <w:start w:val="8"/>
    </w:lvl>
  </w:abstractNum>
  <w:abstractNum w:abstractNumId="10">
    <w:nsid w:val="1C7E3C01"/>
    <w:multiLevelType w:val="hybridMultilevel"/>
    <w:lvl w:ilvl="0">
      <w:lvlJc w:val="left"/>
      <w:lvlText w:val="•"/>
      <w:numFmt w:val="bullet"/>
      <w:start w:val="1"/>
    </w:lvl>
  </w:abstractNum>
  <w:abstractNum w:abstractNumId="11">
    <w:nsid w:val="1C2201FF"/>
    <w:multiLevelType w:val="hybridMultilevel"/>
    <w:lvl w:ilvl="0">
      <w:lvlJc w:val="left"/>
      <w:lvlText w:val="•"/>
      <w:numFmt w:val="bullet"/>
      <w:start w:val="1"/>
    </w:lvl>
  </w:abstractNum>
  <w:abstractNum w:abstractNumId="12">
    <w:nsid w:val="50ABCEC9"/>
    <w:multiLevelType w:val="hybridMultilevel"/>
    <w:lvl w:ilvl="0">
      <w:lvlJc w:val="left"/>
      <w:lvlText w:val="•"/>
      <w:numFmt w:val="bullet"/>
      <w:start w:val="1"/>
    </w:lvl>
  </w:abstractNum>
  <w:abstractNum w:abstractNumId="13">
    <w:nsid w:val="7635AA2A"/>
    <w:multiLevelType w:val="hybridMultilevel"/>
    <w:lvl w:ilvl="0">
      <w:lvlJc w:val="left"/>
      <w:lvlText w:val="•"/>
      <w:numFmt w:val="bullet"/>
      <w:start w:val="1"/>
    </w:lvl>
  </w:abstractNum>
  <w:abstractNum w:abstractNumId="14">
    <w:nsid w:val="5E74C4D9"/>
    <w:multiLevelType w:val="hybridMultilevel"/>
    <w:lvl w:ilvl="0">
      <w:lvlJc w:val="left"/>
      <w:lvlText w:val="•"/>
      <w:numFmt w:val="bullet"/>
      <w:start w:val="1"/>
    </w:lvl>
    <w:lvl w:ilvl="1">
      <w:lvlJc w:val="left"/>
      <w:lvlText w:val="•"/>
      <w:numFmt w:val="bullet"/>
      <w:start w:val="1"/>
    </w:lvl>
  </w:abstractNum>
  <w:abstractNum w:abstractNumId="15">
    <w:nsid w:val="3B3EBE15"/>
    <w:multiLevelType w:val="hybridMultilevel"/>
    <w:lvl w:ilvl="0">
      <w:lvlJc w:val="left"/>
      <w:lvlText w:val="•"/>
      <w:numFmt w:val="bullet"/>
      <w:start w:val="1"/>
    </w:lvl>
  </w:abstractNum>
  <w:abstractNum w:abstractNumId="16">
    <w:nsid w:val="3822CB01"/>
    <w:multiLevelType w:val="hybridMultilevel"/>
    <w:lvl w:ilvl="0">
      <w:lvlJc w:val="left"/>
      <w:lvlText w:val="(%1)"/>
      <w:numFmt w:val="lowerLetter"/>
      <w:start w:val="2"/>
    </w:lvl>
  </w:abstractNum>
  <w:abstractNum w:abstractNumId="17">
    <w:nsid w:val="6CE00443"/>
    <w:multiLevelType w:val="hybridMultilevel"/>
    <w:lvl w:ilvl="0">
      <w:lvlJc w:val="left"/>
      <w:lvlText w:val="%1:"/>
      <w:numFmt w:val="upperLetter"/>
      <w:start w:val="1"/>
    </w:lvl>
  </w:abstractNum>
  <w:abstractNum w:abstractNumId="18">
    <w:nsid w:val="79F0D62F"/>
    <w:multiLevelType w:val="hybridMultilevel"/>
    <w:lvl w:ilvl="0">
      <w:lvlJc w:val="left"/>
      <w:lvlText w:val="%1:"/>
      <w:numFmt w:val="upperLetter"/>
      <w:start w:val="1"/>
    </w:lvl>
  </w:abstractNum>
  <w:abstractNum w:abstractNumId="19">
    <w:nsid w:val="7975E8EE"/>
    <w:multiLevelType w:val="hybridMultilevel"/>
    <w:lvl w:ilvl="0">
      <w:lvlJc w:val="left"/>
      <w:lvlText w:val="•"/>
      <w:numFmt w:val="bullet"/>
      <w:start w:val="1"/>
    </w:lvl>
  </w:abstractNum>
  <w:abstractNum w:abstractNumId="20">
    <w:nsid w:val="73154115"/>
    <w:multiLevelType w:val="hybridMultilevel"/>
    <w:lvl w:ilvl="0">
      <w:lvlJc w:val="left"/>
      <w:lvlText w:val="•"/>
      <w:numFmt w:val="bullet"/>
      <w:start w:val="1"/>
    </w:lvl>
  </w:abstractNum>
  <w:abstractNum w:abstractNumId="21">
    <w:nsid w:val="622D8102"/>
    <w:multiLevelType w:val="hybridMultilevel"/>
    <w:lvl w:ilvl="0">
      <w:lvlJc w:val="left"/>
      <w:lvlText w:val="%1:"/>
      <w:numFmt w:val="upperLetter"/>
      <w:start w:val="1"/>
    </w:lvl>
    <w:lvl w:ilvl="1">
      <w:lvlJc w:val="left"/>
      <w:lvlText w:val="%2."/>
      <w:numFmt w:val="decimal"/>
      <w:start w:val="1"/>
    </w:lvl>
  </w:abstractNum>
  <w:abstractNum w:abstractNumId="22">
    <w:nsid w:val="2AB26587"/>
    <w:multiLevelType w:val="hybridMultilevel"/>
    <w:lvl w:ilvl="0">
      <w:lvlJc w:val="left"/>
      <w:lvlText w:val="%1:"/>
      <w:numFmt w:val="upperLetter"/>
      <w:start w:val="1"/>
    </w:lvl>
  </w:abstractNum>
  <w:abstractNum w:abstractNumId="23">
    <w:nsid w:val="44B3FA61"/>
    <w:multiLevelType w:val="hybridMultilevel"/>
    <w:lvl w:ilvl="0">
      <w:lvlJc w:val="left"/>
      <w:lvlText w:val="%1:"/>
      <w:numFmt w:val="upperLetter"/>
      <w:start w:val="1"/>
    </w:lvl>
  </w:abstractNum>
  <w:abstractNum w:abstractNumId="24">
    <w:nsid w:val="1C0CA67C"/>
    <w:multiLevelType w:val="hybridMultilevel"/>
    <w:lvl w:ilvl="0">
      <w:lvlJc w:val="left"/>
      <w:lvlText w:val="%1:"/>
      <w:numFmt w:val="upperLetter"/>
      <w:start w:val="1"/>
    </w:lvl>
  </w:abstractNum>
  <w:abstractNum w:abstractNumId="25">
    <w:nsid w:val="3D206613"/>
    <w:multiLevelType w:val="hybridMultilevel"/>
    <w:lvl w:ilvl="0">
      <w:lvlJc w:val="left"/>
      <w:lvlText w:val="%1:"/>
      <w:numFmt w:val="upperLetter"/>
      <w:start w:val="1"/>
    </w:lvl>
  </w:abstractNum>
  <w:abstractNum w:abstractNumId="26">
    <w:nsid w:val="7993B662"/>
    <w:multiLevelType w:val="hybridMultilevel"/>
    <w:lvl w:ilvl="0">
      <w:lvlJc w:val="left"/>
      <w:lvlText w:val="%1:"/>
      <w:numFmt w:val="upperLetter"/>
      <w:start w:val="1"/>
    </w:lvl>
  </w:abstractNum>
  <w:abstractNum w:abstractNumId="27">
    <w:nsid w:val="3BAB699E"/>
    <w:multiLevelType w:val="hybridMultilevel"/>
    <w:lvl w:ilvl="0">
      <w:lvlJc w:val="left"/>
      <w:lvlText w:val="%1:"/>
      <w:numFmt w:val="upperLetter"/>
      <w:start w:val="1"/>
    </w:lvl>
  </w:abstractNum>
  <w:abstractNum w:abstractNumId="28">
    <w:nsid w:val="71315369"/>
    <w:multiLevelType w:val="hybridMultilevel"/>
    <w:lvl w:ilvl="0">
      <w:lvlJc w:val="left"/>
      <w:lvlText w:val="%1:"/>
      <w:numFmt w:val="upperLetter"/>
      <w:start w:val="1"/>
    </w:lvl>
  </w:abstractNum>
  <w:abstractNum w:abstractNumId="29">
    <w:nsid w:val="7BCFBAFC"/>
    <w:multiLevelType w:val="hybridMultilevel"/>
    <w:lvl w:ilvl="0">
      <w:lvlJc w:val="left"/>
      <w:lvlText w:val="%1:"/>
      <w:numFmt w:val="upperLetter"/>
      <w:start w:val="1"/>
    </w:lvl>
  </w:abstractNum>
  <w:abstractNum w:abstractNumId="30">
    <w:nsid w:val="17859F72"/>
    <w:multiLevelType w:val="hybridMultilevel"/>
    <w:lvl w:ilvl="0">
      <w:lvlJc w:val="left"/>
      <w:lvlText w:val="%1:"/>
      <w:numFmt w:val="upperLetter"/>
      <w:start w:val="17"/>
    </w:lvl>
  </w:abstractNum>
  <w:abstractNum w:abstractNumId="31">
    <w:nsid w:val="3AA10581"/>
    <w:multiLevelType w:val="hybridMultilevel"/>
    <w:lvl w:ilvl="0">
      <w:lvlJc w:val="left"/>
      <w:lvlText w:val="%1:"/>
      <w:numFmt w:val="upperLetter"/>
      <w:start w:val="1"/>
    </w:lvl>
  </w:abstractNum>
  <w:abstractNum w:abstractNumId="32">
    <w:nsid w:val="63DE60CD"/>
    <w:multiLevelType w:val="hybridMultilevel"/>
    <w:lvl w:ilvl="0">
      <w:lvlJc w:val="left"/>
      <w:lvlText w:val="%1:"/>
      <w:numFmt w:val="upperLetter"/>
      <w:start w:val="1"/>
    </w:lvl>
  </w:abstractNum>
  <w:abstractNum w:abstractNumId="33">
    <w:nsid w:val="621AF471"/>
    <w:multiLevelType w:val="hybridMultilevel"/>
    <w:lvl w:ilvl="0">
      <w:lvlJc w:val="left"/>
      <w:lvlText w:val="%1:"/>
      <w:numFmt w:val="upperLetter"/>
      <w:start w:val="1"/>
    </w:lvl>
  </w:abstractNum>
  <w:abstractNum w:abstractNumId="34">
    <w:nsid w:val="73CFE165"/>
    <w:multiLevelType w:val="hybridMultilevel"/>
    <w:lvl w:ilvl="0">
      <w:lvlJc w:val="left"/>
      <w:lvlText w:val="%1:"/>
      <w:numFmt w:val="upperLetter"/>
      <w:start w:val="17"/>
    </w:lvl>
  </w:abstractNum>
  <w:abstractNum w:abstractNumId="35">
    <w:nsid w:val="20F88EA6"/>
    <w:multiLevelType w:val="hybridMultilevel"/>
    <w:lvl w:ilvl="0">
      <w:lvlJc w:val="left"/>
      <w:lvlText w:val="%1:"/>
      <w:numFmt w:val="upperLetter"/>
      <w:start w:val="1"/>
    </w:lvl>
  </w:abstractNum>
  <w:abstractNum w:abstractNumId="36">
    <w:nsid w:val="617C843E"/>
    <w:multiLevelType w:val="hybridMultilevel"/>
    <w:lvl w:ilvl="0">
      <w:lvlJc w:val="left"/>
      <w:lvlText w:val="%1:"/>
      <w:numFmt w:val="upperLetter"/>
      <w:start w:val="1"/>
    </w:lvl>
  </w:abstractNum>
  <w:abstractNum w:abstractNumId="37">
    <w:nsid w:val="7B541FAB"/>
    <w:multiLevelType w:val="hybridMultilevel"/>
    <w:lvl w:ilvl="0">
      <w:lvlJc w:val="left"/>
      <w:lvlText w:val="%1:"/>
      <w:numFmt w:val="upperLetter"/>
      <w:start w:val="1"/>
    </w:lvl>
  </w:abstractNum>
  <w:abstractNum w:abstractNumId="38">
    <w:nsid w:val="2A79EC49"/>
    <w:multiLevelType w:val="hybridMultilevel"/>
    <w:lvl w:ilvl="0">
      <w:lvlJc w:val="left"/>
      <w:lvlText w:val="%1:"/>
      <w:numFmt w:val="upperLetter"/>
      <w:start w:val="1"/>
    </w:lvl>
  </w:abstractNum>
  <w:abstractNum w:abstractNumId="39">
    <w:nsid w:val="338125CF"/>
    <w:multiLevelType w:val="hybridMultilevel"/>
    <w:lvl w:ilvl="0">
      <w:lvlJc w:val="left"/>
      <w:lvlText w:val="%1:"/>
      <w:numFmt w:val="upperLetter"/>
      <w:start w:val="1"/>
    </w:lvl>
  </w:abstractNum>
  <w:abstractNum w:abstractNumId="40">
    <w:nsid w:val="47C7C971"/>
    <w:multiLevelType w:val="hybridMultilevel"/>
    <w:lvl w:ilvl="0">
      <w:lvlJc w:val="left"/>
      <w:lvlText w:val="%1:"/>
      <w:numFmt w:val="upperLetter"/>
      <w:start w:val="1"/>
    </w:lvl>
  </w:abstractNum>
  <w:abstractNum w:abstractNumId="41">
    <w:nsid w:val="46F8284B"/>
    <w:multiLevelType w:val="hybridMultilevel"/>
    <w:lvl w:ilvl="0">
      <w:lvlJc w:val="left"/>
      <w:lvlText w:val="%1:"/>
      <w:numFmt w:val="upperLetter"/>
      <w:start w:val="1"/>
    </w:lvl>
  </w:abstractNum>
  <w:abstractNum w:abstractNumId="42">
    <w:nsid w:val="4FA327CE"/>
    <w:multiLevelType w:val="hybridMultilevel"/>
    <w:lvl w:ilvl="0">
      <w:lvlJc w:val="left"/>
      <w:lvlText w:val="%1:"/>
      <w:numFmt w:val="upperLetter"/>
      <w:start w:val="1"/>
    </w:lvl>
  </w:abstractNum>
  <w:abstractNum w:abstractNumId="43">
    <w:nsid w:val="1873983A"/>
    <w:multiLevelType w:val="hybridMultilevel"/>
    <w:lvl w:ilvl="0">
      <w:lvlJc w:val="left"/>
      <w:lvlText w:val="%1:"/>
      <w:numFmt w:val="upperLetter"/>
      <w:start w:val="1"/>
    </w:lvl>
  </w:abstractNum>
  <w:abstractNum w:abstractNumId="44">
    <w:nsid w:val="3D2DD275"/>
    <w:multiLevelType w:val="hybridMultilevel"/>
    <w:lvl w:ilvl="0">
      <w:lvlJc w:val="left"/>
      <w:lvlText w:val="%1:"/>
      <w:numFmt w:val="upperLetter"/>
      <w:start w:val="1"/>
    </w:lvl>
  </w:abstractNum>
  <w:abstractNum w:abstractNumId="45">
    <w:nsid w:val="2E17ECA7"/>
    <w:multiLevelType w:val="hybridMultilevel"/>
    <w:lvl w:ilvl="0">
      <w:lvlJc w:val="left"/>
      <w:lvlText w:val="%1:"/>
      <w:numFmt w:val="upperLetter"/>
      <w:start w:val="1"/>
    </w:lvl>
  </w:abstractNum>
  <w:abstractNum w:abstractNumId="46">
    <w:nsid w:val="53B2564F"/>
    <w:multiLevelType w:val="hybridMultilevel"/>
    <w:lvl w:ilvl="0">
      <w:lvlJc w:val="left"/>
      <w:lvlText w:val="%1:"/>
      <w:numFmt w:val="upperLetter"/>
      <w:start w:val="1"/>
    </w:lvl>
  </w:abstractNum>
  <w:abstractNum w:abstractNumId="47">
    <w:nsid w:val="75509D76"/>
    <w:multiLevelType w:val="hybridMultilevel"/>
    <w:lvl w:ilvl="0">
      <w:lvlJc w:val="left"/>
      <w:lvlText w:val="%1:"/>
      <w:numFmt w:val="upperLetter"/>
      <w:start w:val="1"/>
    </w:lvl>
  </w:abstractNum>
  <w:abstractNum w:abstractNumId="48">
    <w:nsid w:val="1AF7F0EA"/>
    <w:multiLevelType w:val="hybridMultilevel"/>
    <w:lvl w:ilvl="0">
      <w:lvlJc w:val="left"/>
      <w:lvlText w:val="%1:"/>
      <w:numFmt w:val="upperLetter"/>
      <w:start w:val="17"/>
    </w:lvl>
  </w:abstractNum>
  <w:abstractNum w:abstractNumId="49">
    <w:nsid w:val="4DA32C7E"/>
    <w:multiLevelType w:val="hybridMultilevel"/>
    <w:lvl w:ilvl="0">
      <w:lvlJc w:val="left"/>
      <w:lvlText w:val="%1:"/>
      <w:numFmt w:val="upperLetter"/>
      <w:start w:val="1"/>
    </w:lvl>
  </w:abstractNum>
  <w:abstractNum w:abstractNumId="50">
    <w:nsid w:val="6EC68664"/>
    <w:multiLevelType w:val="hybridMultilevel"/>
    <w:lvl w:ilvl="0">
      <w:lvlJc w:val="left"/>
      <w:lvlText w:val="%1:"/>
      <w:numFmt w:val="upperLetter"/>
      <w:start w:val="1"/>
    </w:lvl>
  </w:abstractNum>
  <w:abstractNum w:abstractNumId="51">
    <w:nsid w:val="E0D31FF"/>
    <w:multiLevelType w:val="hybridMultilevel"/>
    <w:lvl w:ilvl="0">
      <w:lvlJc w:val="left"/>
      <w:lvlText w:val="•"/>
      <w:numFmt w:val="bullet"/>
      <w:start w:val="1"/>
    </w:lvl>
    <w:lvl w:ilvl="1">
      <w:lvlJc w:val="left"/>
      <w:lvlText w:val="•"/>
      <w:numFmt w:val="bullet"/>
      <w:start w:val="1"/>
    </w:lvl>
  </w:abstractNum>
  <w:abstractNum w:abstractNumId="52">
    <w:nsid w:val="2FD0AD81"/>
    <w:multiLevelType w:val="hybridMultilevel"/>
    <w:lvl w:ilvl="0">
      <w:lvlJc w:val="left"/>
      <w:lvlText w:val="%1:"/>
      <w:numFmt w:val="upperLetter"/>
      <w:start w:val="1"/>
    </w:lvl>
  </w:abstractNum>
  <w:abstractNum w:abstractNumId="53">
    <w:nsid w:val="1978EBEB"/>
    <w:multiLevelType w:val="hybridMultilevel"/>
    <w:lvl w:ilvl="0">
      <w:lvlJc w:val="left"/>
      <w:lvlText w:val="%1:"/>
      <w:numFmt w:val="upperLetter"/>
      <w:start w:val="1"/>
    </w:lvl>
  </w:abstractNum>
  <w:abstractNum w:abstractNumId="54">
    <w:nsid w:val="52C12C61"/>
    <w:multiLevelType w:val="hybridMultilevel"/>
    <w:lvl w:ilvl="0">
      <w:lvlJc w:val="left"/>
      <w:lvlText w:val="%1:"/>
      <w:numFmt w:val="upperLetter"/>
      <w:start w:val="1"/>
    </w:lvl>
  </w:abstractNum>
  <w:abstractNum w:abstractNumId="55">
    <w:nsid w:val="4BDD53FD"/>
    <w:multiLevelType w:val="hybridMultilevel"/>
    <w:lvl w:ilvl="0">
      <w:lvlJc w:val="left"/>
      <w:lvlText w:val="%1:"/>
      <w:numFmt w:val="upperLetter"/>
      <w:start w:val="1"/>
    </w:lvl>
  </w:abstractNum>
  <w:abstractNum w:abstractNumId="56">
    <w:nsid w:val="569951FE"/>
    <w:multiLevelType w:val="hybridMultilevel"/>
    <w:lvl w:ilvl="0">
      <w:lvlJc w:val="left"/>
      <w:lvlText w:val="%1:"/>
      <w:numFmt w:val="upperLetter"/>
      <w:start w:val="1"/>
    </w:lvl>
  </w:abstractNum>
  <w:abstractNum w:abstractNumId="57">
    <w:nsid w:val="4C54E2C3"/>
    <w:multiLevelType w:val="hybridMultilevel"/>
    <w:lvl w:ilvl="0">
      <w:lvlJc w:val="left"/>
      <w:lvlText w:val="%1:"/>
      <w:numFmt w:val="upperLetter"/>
      <w:start w:val="1"/>
    </w:lvl>
  </w:abstractNum>
  <w:abstractNum w:abstractNumId="58">
    <w:nsid w:val="788BD9B"/>
    <w:multiLevelType w:val="hybridMultilevel"/>
    <w:lvl w:ilvl="0">
      <w:lvlJc w:val="left"/>
      <w:lvlText w:val="%1:"/>
      <w:numFmt w:val="upperLetter"/>
      <w:start w:val="1"/>
    </w:lvl>
  </w:abstractNum>
  <w:abstractNum w:abstractNumId="59">
    <w:nsid w:val="47CAA567"/>
    <w:multiLevelType w:val="hybridMultilevel"/>
    <w:lvl w:ilvl="0">
      <w:lvlJc w:val="left"/>
      <w:lvlText w:val="•"/>
      <w:numFmt w:val="bullet"/>
      <w:start w:val="1"/>
    </w:lvl>
  </w:abstractNum>
  <w:abstractNum w:abstractNumId="60">
    <w:nsid w:val="48249DBF"/>
    <w:multiLevelType w:val="hybridMultilevel"/>
    <w:lvl w:ilvl="0">
      <w:lvlJc w:val="left"/>
      <w:lvlText w:val="%1:"/>
      <w:numFmt w:val="upperLetter"/>
      <w:start w:val="1"/>
    </w:lvl>
  </w:abstractNum>
  <w:abstractNum w:abstractNumId="61">
    <w:nsid w:val="1F0E5D0D"/>
    <w:multiLevelType w:val="hybridMultilevel"/>
    <w:lvl w:ilvl="0">
      <w:lvlJc w:val="left"/>
      <w:lvlText w:val="%1:"/>
      <w:numFmt w:val="upperLetter"/>
      <w:start w:val="1"/>
    </w:lvl>
  </w:abstractNum>
  <w:abstractNum w:abstractNumId="62">
    <w:nsid w:val="26BAAE9"/>
    <w:multiLevelType w:val="hybridMultilevel"/>
    <w:lvl w:ilvl="0">
      <w:lvlJc w:val="left"/>
      <w:lvlText w:val="%1:"/>
      <w:numFmt w:val="upperLetter"/>
      <w:start w:val="1"/>
    </w:lvl>
  </w:abstractNum>
  <w:abstractNum w:abstractNumId="63">
    <w:nsid w:val="2C02FE8C"/>
    <w:multiLevelType w:val="hybridMultilevel"/>
    <w:lvl w:ilvl="0">
      <w:lvlJc w:val="left"/>
      <w:lvlText w:val="•"/>
      <w:numFmt w:val="bullet"/>
      <w:start w:val="1"/>
    </w:lvl>
  </w:abstractNum>
  <w:abstractNum w:abstractNumId="64">
    <w:nsid w:val="129517E"/>
    <w:multiLevelType w:val="hybridMultilevel"/>
    <w:lvl w:ilvl="0">
      <w:lvlJc w:val="left"/>
      <w:lvlText w:val="•"/>
      <w:numFmt w:val="bullet"/>
      <w:start w:val="1"/>
    </w:lvl>
  </w:abstractNum>
  <w:abstractNum w:abstractNumId="65">
    <w:nsid w:val="763B8C4E"/>
    <w:multiLevelType w:val="hybridMultilevel"/>
    <w:lvl w:ilvl="0">
      <w:lvlJc w:val="left"/>
      <w:lvlText w:val="%1:"/>
      <w:numFmt w:val="upperLetter"/>
      <w:start w:val="1"/>
    </w:lvl>
  </w:abstractNum>
  <w:abstractNum w:abstractNumId="66">
    <w:nsid w:val="4CFB8D32"/>
    <w:multiLevelType w:val="hybridMultilevel"/>
    <w:lvl w:ilvl="0">
      <w:lvlJc w:val="left"/>
      <w:lvlText w:val="%1:"/>
      <w:numFmt w:val="upperLetter"/>
      <w:start w:val="1"/>
    </w:lvl>
  </w:abstractNum>
  <w:abstractNum w:abstractNumId="67">
    <w:nsid w:val="62A5D5BD"/>
    <w:multiLevelType w:val="hybridMultilevel"/>
    <w:lvl w:ilvl="0">
      <w:lvlJc w:val="left"/>
      <w:lvlText w:val="%1:"/>
      <w:numFmt w:val="upperLetter"/>
      <w:start w:val="1"/>
    </w:lvl>
  </w:abstractNum>
  <w:abstractNum w:abstractNumId="68">
    <w:nsid w:val="718FABF9"/>
    <w:multiLevelType w:val="hybridMultilevel"/>
    <w:lvl w:ilvl="0">
      <w:lvlJc w:val="left"/>
      <w:lvlText w:val="%1:"/>
      <w:numFmt w:val="upperLetter"/>
      <w:start w:val="1"/>
    </w:lvl>
  </w:abstractNum>
  <w:abstractNum w:abstractNumId="69">
    <w:nsid w:val="7775797C"/>
    <w:multiLevelType w:val="hybridMultilevel"/>
    <w:lvl w:ilvl="0">
      <w:lvlJc w:val="left"/>
      <w:lvlText w:val="%1:"/>
      <w:numFmt w:val="upperLetter"/>
      <w:start w:val="1"/>
    </w:lvl>
  </w:abstractNum>
  <w:abstractNum w:abstractNumId="70">
    <w:nsid w:val="1626FB8C"/>
    <w:multiLevelType w:val="hybridMultilevel"/>
    <w:lvl w:ilvl="0">
      <w:lvlJc w:val="left"/>
      <w:lvlText w:val="%1:"/>
      <w:numFmt w:val="upperLetter"/>
      <w:start w:val="1"/>
    </w:lvl>
  </w:abstractNum>
  <w:abstractNum w:abstractNumId="71">
    <w:nsid w:val="3957756A"/>
    <w:multiLevelType w:val="hybridMultilevel"/>
    <w:lvl w:ilvl="0">
      <w:lvlJc w:val="left"/>
      <w:lvlText w:val="%1:"/>
      <w:numFmt w:val="upperLetter"/>
      <w:start w:val="1"/>
    </w:lvl>
  </w:abstractNum>
  <w:abstractNum w:abstractNumId="72">
    <w:nsid w:val="3E6DA1C7"/>
    <w:multiLevelType w:val="hybridMultilevel"/>
    <w:lvl w:ilvl="0">
      <w:lvlJc w:val="left"/>
      <w:lvlText w:val="%1:"/>
      <w:numFmt w:val="upperLetter"/>
      <w:start w:val="1"/>
    </w:lvl>
  </w:abstractNum>
  <w:abstractNum w:abstractNumId="73">
    <w:nsid w:val="65CA235B"/>
    <w:multiLevelType w:val="hybridMultilevel"/>
    <w:lvl w:ilvl="0">
      <w:lvlJc w:val="left"/>
      <w:lvlText w:val="%1:"/>
      <w:numFmt w:val="upperLetter"/>
      <w:start w:val="1"/>
    </w:lvl>
  </w:abstractNum>
  <w:abstractNum w:abstractNumId="74">
    <w:nsid w:val="51CB0DA4"/>
    <w:multiLevelType w:val="hybridMultilevel"/>
    <w:lvl w:ilvl="0">
      <w:lvlJc w:val="left"/>
      <w:lvlText w:val="%1:"/>
      <w:numFmt w:val="upperLetter"/>
      <w:start w:val="1"/>
    </w:lvl>
  </w:abstractNum>
  <w:abstractNum w:abstractNumId="75">
    <w:nsid w:val="7B9B743C"/>
    <w:multiLevelType w:val="hybridMultilevel"/>
    <w:lvl w:ilvl="0">
      <w:lvlJc w:val="left"/>
      <w:lvlText w:val="%1:"/>
      <w:numFmt w:val="upperLetter"/>
      <w:start w:val="1"/>
    </w:lvl>
  </w:abstractNum>
  <w:abstractNum w:abstractNumId="76">
    <w:nsid w:val="13E21002"/>
    <w:multiLevelType w:val="hybridMultilevel"/>
    <w:lvl w:ilvl="0">
      <w:lvlJc w:val="left"/>
      <w:lvlText w:val="%1:"/>
      <w:numFmt w:val="upperLetter"/>
      <w:start w:val="1"/>
    </w:lvl>
  </w:abstractNum>
  <w:abstractNum w:abstractNumId="77">
    <w:nsid w:val="257D63F4"/>
    <w:multiLevelType w:val="hybridMultilevel"/>
    <w:lvl w:ilvl="0">
      <w:lvlJc w:val="left"/>
      <w:lvlText w:val="%1:"/>
      <w:numFmt w:val="upperLetter"/>
      <w:start w:val="1"/>
    </w:lvl>
  </w:abstractNum>
  <w:abstractNum w:abstractNumId="78">
    <w:nsid w:val="70EC11B2"/>
    <w:multiLevelType w:val="hybridMultilevel"/>
    <w:lvl w:ilvl="0">
      <w:lvlJc w:val="left"/>
      <w:lvlText w:val="(%1)"/>
      <w:numFmt w:val="lowerRoman"/>
      <w:start w:val="1"/>
    </w:lvl>
  </w:abstractNum>
  <w:abstractNum w:abstractNumId="79">
    <w:nsid w:val="2EDA00ED"/>
    <w:multiLevelType w:val="hybridMultilevel"/>
    <w:lvl w:ilvl="0">
      <w:lvlJc w:val="left"/>
      <w:lvlText w:val="•"/>
      <w:numFmt w:val="bullet"/>
      <w:start w:val="1"/>
    </w:lvl>
  </w:abstractNum>
  <w:abstractNum w:abstractNumId="80">
    <w:nsid w:val="73209072"/>
    <w:multiLevelType w:val="hybridMultilevel"/>
    <w:lvl w:ilvl="0">
      <w:lvlJc w:val="left"/>
      <w:lvlText w:val="•"/>
      <w:numFmt w:val="bullet"/>
      <w:start w:val="1"/>
    </w:lvl>
  </w:abstractNum>
  <w:abstractNum w:abstractNumId="81">
    <w:nsid w:val="5FB29816"/>
    <w:multiLevelType w:val="hybridMultilevel"/>
    <w:lvl w:ilvl="0">
      <w:lvlJc w:val="left"/>
      <w:lvlText w:val="•"/>
      <w:numFmt w:val="bullet"/>
      <w:start w:val="1"/>
    </w:lvl>
  </w:abstractNum>
  <w:abstractNum w:abstractNumId="82">
    <w:nsid w:val="3CE732EC"/>
    <w:multiLevelType w:val="hybridMultilevel"/>
    <w:lvl w:ilvl="0">
      <w:lvlJc w:val="left"/>
      <w:lvlText w:val="•"/>
      <w:numFmt w:val="bullet"/>
      <w:start w:val="1"/>
    </w:lvl>
  </w:abstractNum>
  <w:abstractNum w:abstractNumId="83">
    <w:nsid w:val="22F13DF3"/>
    <w:multiLevelType w:val="hybridMultilevel"/>
    <w:lvl w:ilvl="0">
      <w:lvlJc w:val="left"/>
      <w:lvlText w:val="•"/>
      <w:numFmt w:val="bullet"/>
      <w:start w:val="1"/>
    </w:lvl>
  </w:abstractNum>
  <w:abstractNum w:abstractNumId="84">
    <w:nsid w:val="792B8401"/>
    <w:multiLevelType w:val="hybridMultilevel"/>
    <w:lvl w:ilvl="0">
      <w:lvlJc w:val="left"/>
      <w:lvlText w:val="•"/>
      <w:numFmt w:val="bullet"/>
      <w:start w:val="1"/>
    </w:lvl>
  </w:abstractNum>
  <w:abstractNum w:abstractNumId="85">
    <w:nsid w:val="FA85F4D"/>
    <w:multiLevelType w:val="hybridMultilevel"/>
    <w:lvl w:ilvl="0">
      <w:lvlJc w:val="left"/>
      <w:lvlText w:val="•"/>
      <w:numFmt w:val="bullet"/>
      <w:start w:val="1"/>
    </w:lvl>
  </w:abstractNum>
  <w:abstractNum w:abstractNumId="86">
    <w:nsid w:val="6ECE91F0"/>
    <w:multiLevelType w:val="hybridMultilevel"/>
    <w:lvl w:ilvl="0">
      <w:lvlJc w:val="left"/>
      <w:lvlText w:val="•"/>
      <w:numFmt w:val="bullet"/>
      <w:start w:val="1"/>
    </w:lvl>
  </w:abstractNum>
  <w:abstractNum w:abstractNumId="87">
    <w:nsid w:val="4FC4D600"/>
    <w:multiLevelType w:val="hybridMultilevel"/>
    <w:lvl w:ilvl="0">
      <w:lvlJc w:val="left"/>
      <w:lvlText w:val="•"/>
      <w:numFmt w:val="bullet"/>
      <w:start w:val="1"/>
    </w:lvl>
  </w:abstractNum>
  <w:abstractNum w:abstractNumId="88">
    <w:nsid w:val="5BFD4210"/>
    <w:multiLevelType w:val="hybridMultilevel"/>
    <w:lvl w:ilvl="0">
      <w:lvlJc w:val="left"/>
      <w:lvlText w:val="•"/>
      <w:numFmt w:val="bullet"/>
      <w:start w:val="1"/>
    </w:lvl>
  </w:abstractNum>
  <w:abstractNum w:abstractNumId="89">
    <w:nsid w:val="76574F8B"/>
    <w:multiLevelType w:val="hybridMultilevel"/>
    <w:lvl w:ilvl="0">
      <w:lvlJc w:val="left"/>
      <w:lvlText w:val="•"/>
      <w:numFmt w:val="bullet"/>
      <w:start w:val="1"/>
    </w:lvl>
  </w:abstractNum>
  <w:abstractNum w:abstractNumId="90">
    <w:nsid w:val="178F7B67"/>
    <w:multiLevelType w:val="hybridMultilevel"/>
    <w:lvl w:ilvl="0">
      <w:lvlJc w:val="left"/>
      <w:lvlText w:val="•"/>
      <w:numFmt w:val="bullet"/>
      <w:start w:val="1"/>
    </w:lvl>
  </w:abstractNum>
  <w:abstractNum w:abstractNumId="91">
    <w:nsid w:val="2421DFCF"/>
    <w:multiLevelType w:val="hybridMultilevel"/>
    <w:lvl w:ilvl="0">
      <w:lvlJc w:val="left"/>
      <w:lvlText w:val="(%1)"/>
      <w:numFmt w:val="decimal"/>
      <w:start w:val="1"/>
    </w:lvl>
  </w:abstractNum>
  <w:abstractNum w:abstractNumId="92">
    <w:nsid w:val="1565AC99"/>
    <w:multiLevelType w:val="hybridMultilevel"/>
    <w:lvl w:ilvl="0">
      <w:lvlJc w:val="left"/>
      <w:lvlText w:val="•"/>
      <w:numFmt w:val="bullet"/>
      <w:start w:val="1"/>
    </w:lvl>
  </w:abstractNum>
  <w:abstractNum w:abstractNumId="93">
    <w:nsid w:val="19FB2650"/>
    <w:multiLevelType w:val="hybridMultilevel"/>
    <w:lvl w:ilvl="0">
      <w:lvlJc w:val="left"/>
      <w:lvlText w:val="•"/>
      <w:numFmt w:val="bullet"/>
      <w:start w:val="1"/>
    </w:lvl>
    <w:lvl w:ilvl="1">
      <w:lvlJc w:val="left"/>
      <w:lvlText w:val="◦"/>
      <w:numFmt w:val="bullet"/>
      <w:start w:val="1"/>
    </w:lvl>
  </w:abstractNum>
  <w:abstractNum w:abstractNumId="94">
    <w:nsid w:val="5024DE5B"/>
    <w:multiLevelType w:val="hybridMultilevel"/>
    <w:lvl w:ilvl="0">
      <w:lvlJc w:val="left"/>
      <w:lvlText w:val="•"/>
      <w:numFmt w:val="bullet"/>
      <w:start w:val="1"/>
    </w:lvl>
  </w:abstractNum>
  <w:abstractNum w:abstractNumId="95">
    <w:nsid w:val="168EFE17"/>
    <w:multiLevelType w:val="hybridMultilevel"/>
    <w:lvl w:ilvl="0">
      <w:lvlJc w:val="left"/>
      <w:lvlText w:val="•"/>
      <w:numFmt w:val="bullet"/>
      <w:start w:val="1"/>
    </w:lvl>
  </w:abstractNum>
  <w:abstractNum w:abstractNumId="96">
    <w:nsid w:val="1036B29F"/>
    <w:multiLevelType w:val="hybridMultilevel"/>
    <w:lvl w:ilvl="0">
      <w:lvlJc w:val="left"/>
      <w:lvlText w:val="•"/>
      <w:numFmt w:val="bullet"/>
      <w:start w:val="1"/>
    </w:lvl>
  </w:abstractNum>
  <w:abstractNum w:abstractNumId="97">
    <w:nsid w:val="1D206B8E"/>
    <w:multiLevelType w:val="hybridMultilevel"/>
    <w:lvl w:ilvl="0">
      <w:lvlJc w:val="left"/>
      <w:lvlText w:val="•"/>
      <w:numFmt w:val="bullet"/>
      <w:start w:val="1"/>
    </w:lvl>
  </w:abstractNum>
  <w:abstractNum w:abstractNumId="98">
    <w:nsid w:val="7934D3D4"/>
    <w:multiLevelType w:val="hybridMultilevel"/>
    <w:lvl w:ilvl="0">
      <w:lvlJc w:val="left"/>
      <w:lvlText w:val="•"/>
      <w:numFmt w:val="bullet"/>
      <w:start w:val="1"/>
    </w:lvl>
  </w:abstractNum>
  <w:abstractNum w:abstractNumId="99">
    <w:nsid w:val="1C65E98"/>
    <w:multiLevelType w:val="hybridMultilevel"/>
    <w:lvl w:ilvl="0">
      <w:lvlJc w:val="left"/>
      <w:lvlText w:val="•"/>
      <w:numFmt w:val="bullet"/>
      <w:start w:val="1"/>
    </w:lvl>
  </w:abstractNum>
  <w:abstractNum w:abstractNumId="100">
    <w:nsid w:val="1495E50A"/>
    <w:multiLevelType w:val="hybridMultilevel"/>
    <w:lvl w:ilvl="0">
      <w:lvlJc w:val="left"/>
      <w:lvlText w:val="•"/>
      <w:numFmt w:val="bullet"/>
      <w:start w:val="1"/>
    </w:lvl>
  </w:abstractNum>
  <w:abstractNum w:abstractNumId="101">
    <w:nsid w:val="F5BCF61"/>
    <w:multiLevelType w:val="hybridMultilevel"/>
    <w:lvl w:ilvl="0">
      <w:lvlJc w:val="left"/>
      <w:lvlText w:val="•"/>
      <w:numFmt w:val="bullet"/>
      <w:start w:val="1"/>
    </w:lvl>
  </w:abstractNum>
  <w:abstractNum w:abstractNumId="102">
    <w:nsid w:val="3B1DD403"/>
    <w:multiLevelType w:val="hybridMultilevel"/>
    <w:lvl w:ilvl="0">
      <w:lvlJc w:val="left"/>
      <w:lvlText w:val="•"/>
      <w:numFmt w:val="bullet"/>
      <w:start w:val="1"/>
    </w:lvl>
  </w:abstractNum>
  <w:abstractNum w:abstractNumId="103">
    <w:nsid w:val="530386D1"/>
    <w:multiLevelType w:val="hybridMultilevel"/>
    <w:lvl w:ilvl="0">
      <w:lvlJc w:val="left"/>
      <w:lvlText w:val="•"/>
      <w:numFmt w:val="bullet"/>
      <w:start w:val="1"/>
    </w:lvl>
  </w:abstractNum>
  <w:abstractNum w:abstractNumId="104">
    <w:nsid w:val="7525F2BC"/>
    <w:multiLevelType w:val="hybridMultilevel"/>
    <w:lvl w:ilvl="0">
      <w:lvlJc w:val="left"/>
      <w:lvlText w:val="•"/>
      <w:numFmt w:val="bullet"/>
      <w:start w:val="1"/>
    </w:lvl>
  </w:abstractNum>
  <w:abstractNum w:abstractNumId="105">
    <w:nsid w:val="CE8E1A7"/>
    <w:multiLevelType w:val="hybridMultilevel"/>
    <w:lvl w:ilvl="0">
      <w:lvlJc w:val="left"/>
      <w:lvlText w:val="•"/>
      <w:numFmt w:val="bullet"/>
      <w:start w:val="1"/>
    </w:lvl>
  </w:abstractNum>
  <w:abstractNum w:abstractNumId="106">
    <w:nsid w:val="4E9EFB0D"/>
    <w:multiLevelType w:val="hybridMultilevel"/>
    <w:lvl w:ilvl="0">
      <w:lvlJc w:val="left"/>
      <w:lvlText w:val="•"/>
      <w:numFmt w:val="bullet"/>
      <w:start w:val="1"/>
    </w:lvl>
  </w:abstractNum>
  <w:abstractNum w:abstractNumId="107">
    <w:nsid w:val="90802BE"/>
    <w:multiLevelType w:val="hybridMultilevel"/>
    <w:lvl w:ilvl="0">
      <w:lvlJc w:val="left"/>
      <w:lvlText w:val="•"/>
      <w:numFmt w:val="bullet"/>
      <w:start w:val="1"/>
    </w:lvl>
  </w:abstractNum>
  <w:abstractNum w:abstractNumId="108">
    <w:nsid w:val="3266459B"/>
    <w:multiLevelType w:val="hybridMultilevel"/>
    <w:lvl w:ilvl="0">
      <w:lvlJc w:val="left"/>
      <w:lvlText w:val="•"/>
      <w:numFmt w:val="bullet"/>
      <w:start w:val="1"/>
    </w:lvl>
  </w:abstractNum>
  <w:abstractNum w:abstractNumId="109">
    <w:nsid w:val="3F8B0CBF"/>
    <w:multiLevelType w:val="hybridMultilevel"/>
    <w:lvl w:ilvl="0">
      <w:lvlJc w:val="left"/>
      <w:lvlText w:val="•"/>
      <w:numFmt w:val="bullet"/>
      <w:start w:val="1"/>
    </w:lvl>
  </w:abstractNum>
  <w:abstractNum w:abstractNumId="110">
    <w:nsid w:val="37E203AB"/>
    <w:multiLevelType w:val="hybridMultilevel"/>
    <w:lvl w:ilvl="0">
      <w:lvlJc w:val="left"/>
      <w:lvlText w:val="•"/>
      <w:numFmt w:val="bullet"/>
      <w:start w:val="1"/>
    </w:lvl>
  </w:abstractNum>
  <w:abstractNum w:abstractNumId="111">
    <w:nsid w:val="2586D60E"/>
    <w:multiLevelType w:val="hybridMultilevel"/>
    <w:lvl w:ilvl="0">
      <w:lvlJc w:val="left"/>
      <w:lvlText w:val="•"/>
      <w:numFmt w:val="bullet"/>
      <w:start w:val="1"/>
    </w:lvl>
  </w:abstractNum>
  <w:abstractNum w:abstractNumId="112">
    <w:nsid w:val="1F3DA4D5"/>
    <w:multiLevelType w:val="hybridMultilevel"/>
    <w:lvl w:ilvl="0">
      <w:lvlJc w:val="left"/>
      <w:lvlText w:val="•"/>
      <w:numFmt w:val="bullet"/>
      <w:start w:val="1"/>
    </w:lvl>
  </w:abstractNum>
  <w:abstractNum w:abstractNumId="113">
    <w:nsid w:val="74C93698"/>
    <w:multiLevelType w:val="hybridMultilevel"/>
    <w:lvl w:ilvl="0">
      <w:lvlJc w:val="left"/>
      <w:lvlText w:val="•"/>
      <w:numFmt w:val="bullet"/>
      <w:start w:val="1"/>
    </w:lvl>
  </w:abstractNum>
  <w:abstractNum w:abstractNumId="114">
    <w:nsid w:val="48781401"/>
    <w:multiLevelType w:val="hybridMultilevel"/>
    <w:lvl w:ilvl="0">
      <w:lvlJc w:val="left"/>
      <w:lvlText w:val="•"/>
      <w:numFmt w:val="bullet"/>
      <w:start w:val="1"/>
    </w:lvl>
  </w:abstractNum>
  <w:abstractNum w:abstractNumId="115">
    <w:nsid w:val="186928D6"/>
    <w:multiLevelType w:val="hybridMultilevel"/>
    <w:lvl w:ilvl="0">
      <w:lvlJc w:val="left"/>
      <w:lvlText w:val="•"/>
      <w:numFmt w:val="bullet"/>
      <w:start w:val="1"/>
    </w:lvl>
  </w:abstractNum>
  <w:abstractNum w:abstractNumId="116">
    <w:nsid w:val="47195E5"/>
    <w:multiLevelType w:val="hybridMultilevel"/>
    <w:lvl w:ilvl="0">
      <w:lvlJc w:val="left"/>
      <w:lvlText w:val="•"/>
      <w:numFmt w:val="bullet"/>
      <w:start w:val="1"/>
    </w:lvl>
  </w:abstractNum>
  <w:abstractNum w:abstractNumId="117">
    <w:nsid w:val="3746A5F2"/>
    <w:multiLevelType w:val="hybridMultilevel"/>
    <w:lvl w:ilvl="0">
      <w:lvlJc w:val="left"/>
      <w:lvlText w:val="•"/>
      <w:numFmt w:val="bullet"/>
      <w:start w:val="1"/>
    </w:lvl>
  </w:abstractNum>
  <w:abstractNum w:abstractNumId="118">
    <w:nsid w:val="682DFED6"/>
    <w:multiLevelType w:val="hybridMultilevel"/>
    <w:lvl w:ilvl="0">
      <w:lvlJc w:val="left"/>
      <w:lvlText w:val="•"/>
      <w:numFmt w:val="bullet"/>
      <w:start w:val="1"/>
    </w:lvl>
  </w:abstractNum>
  <w:abstractNum w:abstractNumId="119">
    <w:nsid w:val="606ED7F6"/>
    <w:multiLevelType w:val="hybridMultilevel"/>
    <w:lvl w:ilvl="0">
      <w:lvlJc w:val="left"/>
      <w:lvlText w:val="•"/>
      <w:numFmt w:val="bullet"/>
      <w:start w:val="1"/>
    </w:lvl>
  </w:abstractNum>
  <w:abstractNum w:abstractNumId="120">
    <w:nsid w:val="2D9DF57D"/>
    <w:multiLevelType w:val="hybridMultilevel"/>
    <w:lvl w:ilvl="0">
      <w:lvlJc w:val="left"/>
      <w:lvlText w:val="•"/>
      <w:numFmt w:val="bullet"/>
      <w:start w:val="1"/>
    </w:lvl>
  </w:abstractNum>
  <w:abstractNum w:abstractNumId="121">
    <w:nsid w:val="7FBD7A3E"/>
    <w:multiLevelType w:val="hybridMultilevel"/>
    <w:lvl w:ilvl="0">
      <w:lvlJc w:val="left"/>
      <w:lvlText w:val="•"/>
      <w:numFmt w:val="bullet"/>
      <w:start w:val="1"/>
    </w:lvl>
  </w:abstractNum>
  <w:abstractNum w:abstractNumId="122">
    <w:nsid w:val="490B7C5"/>
    <w:multiLevelType w:val="hybridMultilevel"/>
    <w:lvl w:ilvl="0">
      <w:lvlJc w:val="left"/>
      <w:lvlText w:val="%1."/>
      <w:numFmt w:val="decimal"/>
      <w:start w:val="1"/>
    </w:lvl>
  </w:abstractNum>
  <w:abstractNum w:abstractNumId="123">
    <w:nsid w:val="4303A216"/>
    <w:multiLevelType w:val="hybridMultilevel"/>
    <w:lvl w:ilvl="0">
      <w:lvlJc w:val="left"/>
      <w:lvlText w:val="%1."/>
      <w:numFmt w:val="decimal"/>
      <w:start w:val="2"/>
    </w:lvl>
  </w:abstractNum>
  <w:abstractNum w:abstractNumId="124">
    <w:nsid w:val="19B8A08E"/>
    <w:multiLevelType w:val="hybridMultilevel"/>
    <w:lvl w:ilvl="0">
      <w:lvlJc w:val="left"/>
      <w:lvlText w:val="•"/>
      <w:numFmt w:val="bullet"/>
      <w:start w:val="1"/>
    </w:lvl>
  </w:abstractNum>
  <w:abstractNum w:abstractNumId="125">
    <w:nsid w:val="54B59621"/>
    <w:multiLevelType w:val="hybridMultilevel"/>
    <w:lvl w:ilvl="0">
      <w:lvlJc w:val="left"/>
      <w:lvlText w:val="•"/>
      <w:numFmt w:val="bullet"/>
      <w:start w:val="1"/>
    </w:lvl>
  </w:abstractNum>
  <w:abstractNum w:abstractNumId="126">
    <w:nsid w:val="5992A02E"/>
    <w:multiLevelType w:val="hybridMultilevel"/>
    <w:lvl w:ilvl="0">
      <w:lvlJc w:val="left"/>
      <w:lvlText w:val="%1."/>
      <w:numFmt w:val="decimal"/>
      <w:start w:val="3"/>
    </w:lvl>
  </w:abstractNum>
  <w:abstractNum w:abstractNumId="127">
    <w:nsid w:val="29EF532D"/>
    <w:multiLevelType w:val="hybridMultilevel"/>
    <w:lvl w:ilvl="0">
      <w:lvlJc w:val="left"/>
      <w:lvlText w:val="•"/>
      <w:numFmt w:val="bullet"/>
      <w:start w:val="1"/>
    </w:lvl>
  </w:abstractNum>
  <w:abstractNum w:abstractNumId="128">
    <w:nsid w:val="71D601AF"/>
    <w:multiLevelType w:val="hybridMultilevel"/>
    <w:lvl w:ilvl="0">
      <w:lvlJc w:val="left"/>
      <w:lvlText w:val="%1."/>
      <w:numFmt w:val="decimal"/>
      <w:start w:val="3"/>
    </w:lvl>
    <w:lvl w:ilvl="1">
      <w:lvlJc w:val="left"/>
      <w:lvlText w:val="•"/>
      <w:numFmt w:val="bullet"/>
      <w:start w:val="1"/>
    </w:lvl>
  </w:abstractNum>
  <w:abstractNum w:abstractNumId="129">
    <w:nsid w:val="52C77402"/>
    <w:multiLevelType w:val="hybridMultilevel"/>
    <w:lvl w:ilvl="0">
      <w:lvlJc w:val="left"/>
      <w:lvlText w:val="(%1)"/>
      <w:numFmt w:val="decimal"/>
      <w:start w:val="1"/>
    </w:lvl>
  </w:abstractNum>
  <w:abstractNum w:abstractNumId="130">
    <w:nsid w:val="2BB5B1C6"/>
    <w:multiLevelType w:val="hybridMultilevel"/>
    <w:lvl w:ilvl="0">
      <w:lvlJc w:val="left"/>
      <w:lvlText w:val="%1."/>
      <w:numFmt w:val="decimal"/>
      <w:start w:val="5"/>
    </w:lvl>
  </w:abstractNum>
  <w:abstractNum w:abstractNumId="131">
    <w:nsid w:val="66BE6B9"/>
    <w:multiLevelType w:val="hybridMultilevel"/>
    <w:lvl w:ilvl="0">
      <w:lvlJc w:val="left"/>
      <w:lvlText w:val="(%1)"/>
      <w:numFmt w:val="upperLetter"/>
      <w:start w:val="1"/>
    </w:lvl>
  </w:abstractNum>
  <w:abstractNum w:abstractNumId="132">
    <w:nsid w:val="62234363"/>
    <w:multiLevelType w:val="hybridMultilevel"/>
    <w:lvl w:ilvl="0">
      <w:lvlJc w:val="left"/>
      <w:lvlText w:val="(%1)"/>
      <w:numFmt w:val="lowerLetter"/>
      <w:start w:val="1"/>
    </w:lvl>
  </w:abstractNum>
  <w:abstractNum w:abstractNumId="133">
    <w:nsid w:val="66D385C9"/>
    <w:multiLevelType w:val="hybridMultilevel"/>
    <w:lvl w:ilvl="0">
      <w:lvlJc w:val="left"/>
      <w:lvlText w:val="(%1)"/>
      <w:numFmt w:val="lowerLetter"/>
      <w:start w:val="2"/>
    </w:lvl>
  </w:abstractNum>
  <w:abstractNum w:abstractNumId="134">
    <w:nsid w:val="596F6D8A"/>
    <w:multiLevelType w:val="hybridMultilevel"/>
    <w:lvl w:ilvl="0">
      <w:lvlJc w:val="left"/>
      <w:lvlText w:val="(%1)"/>
      <w:numFmt w:val="lowerRoman"/>
      <w:start w:val="1"/>
    </w:lvl>
  </w:abstractNum>
  <w:abstractNum w:abstractNumId="135">
    <w:nsid w:val="5749361F"/>
    <w:multiLevelType w:val="hybridMultilevel"/>
    <w:lvl w:ilvl="0">
      <w:lvlJc w:val="left"/>
      <w:lvlText w:val="%1."/>
      <w:numFmt w:val="decimal"/>
      <w:start w:val="6"/>
    </w:lvl>
  </w:abstractNum>
  <w:abstractNum w:abstractNumId="136">
    <w:nsid w:val="73BC6770"/>
    <w:multiLevelType w:val="hybridMultilevel"/>
    <w:lvl w:ilvl="0">
      <w:lvlJc w:val="left"/>
      <w:lvlText w:val="(%1)"/>
      <w:numFmt w:val="upperLetter"/>
      <w:start w:val="1"/>
    </w:lvl>
  </w:abstractNum>
  <w:abstractNum w:abstractNumId="137">
    <w:nsid w:val="280E6897"/>
    <w:multiLevelType w:val="hybridMultilevel"/>
    <w:lvl w:ilvl="0">
      <w:lvlJc w:val="left"/>
      <w:lvlText w:val="(%1)"/>
      <w:numFmt w:val="lowerLetter"/>
      <w:start w:val="1"/>
    </w:lvl>
  </w:abstractNum>
  <w:abstractNum w:abstractNumId="138">
    <w:nsid w:val="605138DE"/>
    <w:multiLevelType w:val="hybridMultilevel"/>
    <w:lvl w:ilvl="0">
      <w:lvlJc w:val="left"/>
      <w:lvlText w:val="•"/>
      <w:numFmt w:val="bullet"/>
      <w:start w:val="1"/>
    </w:lvl>
  </w:abstractNum>
  <w:abstractNum w:abstractNumId="139">
    <w:nsid w:val="2622AD0C"/>
    <w:multiLevelType w:val="hybridMultilevel"/>
    <w:lvl w:ilvl="0">
      <w:lvlJc w:val="left"/>
      <w:lvlText w:val="•"/>
      <w:numFmt w:val="bullet"/>
      <w:start w:val="1"/>
    </w:lvl>
  </w:abstractNum>
  <w:abstractNum w:abstractNumId="140">
    <w:nsid w:val="67997556"/>
    <w:multiLevelType w:val="hybridMultilevel"/>
    <w:lvl w:ilvl="0">
      <w:lvlJc w:val="left"/>
      <w:lvlText w:val="•"/>
      <w:numFmt w:val="bullet"/>
      <w:start w:val="1"/>
    </w:lvl>
  </w:abstractNum>
  <w:abstractNum w:abstractNumId="141">
    <w:nsid w:val="18333C89"/>
    <w:multiLevelType w:val="hybridMultilevel"/>
    <w:lvl w:ilvl="0">
      <w:lvlJc w:val="left"/>
      <w:lvlText w:val="•"/>
      <w:numFmt w:val="bullet"/>
      <w:start w:val="1"/>
    </w:lvl>
  </w:abstractNum>
  <w:abstractNum w:abstractNumId="142">
    <w:nsid w:val="4BA9831A"/>
    <w:multiLevelType w:val="hybridMultilevel"/>
    <w:lvl w:ilvl="0">
      <w:lvlJc w:val="left"/>
      <w:lvlText w:val="•"/>
      <w:numFmt w:val="bullet"/>
      <w:start w:val="1"/>
    </w:lvl>
  </w:abstractNum>
  <w:abstractNum w:abstractNumId="143">
    <w:nsid w:val="6D71A2B"/>
    <w:multiLevelType w:val="hybridMultilevel"/>
    <w:lvl w:ilvl="0">
      <w:lvlJc w:val="left"/>
      <w:lvlText w:val="(%1)"/>
      <w:numFmt w:val="lowerLetter"/>
      <w:start w:val="1"/>
    </w:lvl>
  </w:abstractNum>
  <w:abstractNum w:abstractNumId="144">
    <w:nsid w:val="CFC7321"/>
    <w:multiLevelType w:val="hybridMultilevel"/>
    <w:lvl w:ilvl="0">
      <w:lvlJc w:val="left"/>
      <w:lvlText w:val="(%1)"/>
      <w:numFmt w:val="lowerLetter"/>
      <w:start w:val="3"/>
    </w:lvl>
  </w:abstractNum>
  <w:abstractNum w:abstractNumId="145">
    <w:nsid w:val="1421971B"/>
    <w:multiLevelType w:val="hybridMultilevel"/>
    <w:lvl w:ilvl="0">
      <w:lvlJc w:val="left"/>
      <w:lvlText w:val="(%1)"/>
      <w:numFmt w:val="lowerRoman"/>
      <w:start w:val="2"/>
    </w:lvl>
  </w:abstractNum>
  <w:abstractNum w:abstractNumId="146">
    <w:nsid w:val="1F404301"/>
    <w:multiLevelType w:val="hybridMultilevel"/>
    <w:lvl w:ilvl="0">
      <w:lvlJc w:val="left"/>
      <w:lvlText w:val="•"/>
      <w:numFmt w:val="bullet"/>
      <w:start w:val="1"/>
    </w:lvl>
    <w:lvl w:ilvl="1">
      <w:lvlJc w:val="left"/>
      <w:lvlText w:val="(%2)"/>
      <w:numFmt w:val="lowerRoman"/>
      <w:start w:val="5"/>
    </w:lvl>
  </w:abstractNum>
  <w:abstractNum w:abstractNumId="147">
    <w:nsid w:val="116E0907"/>
    <w:multiLevelType w:val="hybridMultilevel"/>
    <w:lvl w:ilvl="0">
      <w:lvlJc w:val="left"/>
      <w:lvlText w:val="•"/>
      <w:numFmt w:val="bullet"/>
      <w:start w:val="1"/>
    </w:lvl>
  </w:abstractNum>
  <w:abstractNum w:abstractNumId="148">
    <w:nsid w:val="4B683D0D"/>
    <w:multiLevelType w:val="hybridMultilevel"/>
    <w:lvl w:ilvl="0">
      <w:lvlJc w:val="left"/>
      <w:lvlText w:val="•"/>
      <w:numFmt w:val="bullet"/>
      <w:start w:val="1"/>
    </w:lvl>
  </w:abstractNum>
  <w:abstractNum w:abstractNumId="149">
    <w:nsid w:val="76E41D8"/>
    <w:multiLevelType w:val="hybridMultilevel"/>
    <w:lvl w:ilvl="0">
      <w:lvlJc w:val="left"/>
      <w:lvlText w:val="•"/>
      <w:numFmt w:val="bullet"/>
      <w:start w:val="1"/>
    </w:lvl>
  </w:abstractNum>
  <w:abstractNum w:abstractNumId="150">
    <w:nsid w:val="71DCE0FD"/>
    <w:multiLevelType w:val="hybridMultilevel"/>
    <w:lvl w:ilvl="0">
      <w:lvlJc w:val="left"/>
      <w:lvlText w:val="•"/>
      <w:numFmt w:val="bullet"/>
      <w:start w:val="1"/>
    </w:lvl>
  </w:abstractNum>
  <w:abstractNum w:abstractNumId="151">
    <w:nsid w:val="7906328B"/>
    <w:multiLevelType w:val="hybridMultilevel"/>
    <w:lvl w:ilvl="0">
      <w:lvlJc w:val="left"/>
      <w:lvlText w:val="(%1)"/>
      <w:numFmt w:val="lowerLetter"/>
      <w:start w:val="3"/>
    </w:lvl>
  </w:abstractNum>
  <w:abstractNum w:abstractNumId="152">
    <w:nsid w:val="72BBC16"/>
    <w:multiLevelType w:val="hybridMultilevel"/>
    <w:lvl w:ilvl="0">
      <w:lvlJc w:val="left"/>
      <w:lvlText w:val="•"/>
      <w:numFmt w:val="bullet"/>
      <w:start w:val="1"/>
    </w:lvl>
  </w:abstractNum>
  <w:abstractNum w:abstractNumId="153">
    <w:nsid w:val="766D98C2"/>
    <w:multiLevelType w:val="hybridMultilevel"/>
    <w:lvl w:ilvl="0">
      <w:lvlJc w:val="left"/>
      <w:lvlText w:val="•"/>
      <w:numFmt w:val="bullet"/>
      <w:start w:val="1"/>
    </w:lvl>
  </w:abstractNum>
  <w:abstractNum w:abstractNumId="154">
    <w:nsid w:val="3C09D4A1"/>
    <w:multiLevelType w:val="hybridMultilevel"/>
    <w:lvl w:ilvl="0">
      <w:lvlJc w:val="left"/>
      <w:lvlText w:val="•"/>
      <w:numFmt w:val="bullet"/>
      <w:start w:val="1"/>
    </w:lvl>
  </w:abstractNum>
  <w:abstractNum w:abstractNumId="155">
    <w:nsid w:val="20E45CA4"/>
    <w:multiLevelType w:val="hybridMultilevel"/>
    <w:lvl w:ilvl="0">
      <w:lvlJc w:val="left"/>
      <w:lvlText w:val="•"/>
      <w:numFmt w:val="bullet"/>
      <w:start w:val="1"/>
    </w:lvl>
  </w:abstractNum>
  <w:abstractNum w:abstractNumId="156">
    <w:nsid w:val="4B232EE3"/>
    <w:multiLevelType w:val="hybridMultilevel"/>
    <w:lvl w:ilvl="0">
      <w:lvlJc w:val="left"/>
      <w:lvlText w:val="•"/>
      <w:numFmt w:val="bullet"/>
      <w:start w:val="1"/>
    </w:lvl>
  </w:abstractNum>
  <w:abstractNum w:abstractNumId="157">
    <w:nsid w:val="159C74CF"/>
    <w:multiLevelType w:val="hybridMultilevel"/>
    <w:lvl w:ilvl="0">
      <w:lvlJc w:val="left"/>
      <w:lvlText w:val="•"/>
      <w:numFmt w:val="bullet"/>
      <w:start w:val="1"/>
    </w:lvl>
  </w:abstractNum>
  <w:abstractNum w:abstractNumId="158">
    <w:nsid w:val="4AD3AFD2"/>
    <w:multiLevelType w:val="hybridMultilevel"/>
    <w:lvl w:ilvl="0">
      <w:lvlJc w:val="left"/>
      <w:lvlText w:val="(%1)"/>
      <w:numFmt w:val="lowerRoman"/>
      <w:start w:val="2"/>
    </w:lvl>
  </w:abstractNum>
  <w:abstractNum w:abstractNumId="159">
    <w:nsid w:val="3CF93092"/>
    <w:multiLevelType w:val="hybridMultilevel"/>
    <w:lvl w:ilvl="0">
      <w:lvlJc w:val="left"/>
      <w:lvlText w:val="•"/>
      <w:numFmt w:val="bullet"/>
      <w:start w:val="1"/>
    </w:lvl>
  </w:abstractNum>
  <w:abstractNum w:abstractNumId="160">
    <w:nsid w:val="6863E8D2"/>
    <w:multiLevelType w:val="hybridMultilevel"/>
    <w:lvl w:ilvl="0">
      <w:lvlJc w:val="left"/>
      <w:lvlText w:val="•"/>
      <w:numFmt w:val="bullet"/>
      <w:start w:val="1"/>
    </w:lvl>
  </w:abstractNum>
  <w:abstractNum w:abstractNumId="161">
    <w:nsid w:val="76896198"/>
    <w:multiLevelType w:val="hybridMultilevel"/>
    <w:lvl w:ilvl="0">
      <w:lvlJc w:val="left"/>
      <w:lvlText w:val="•"/>
      <w:numFmt w:val="bullet"/>
      <w:start w:val="1"/>
    </w:lvl>
  </w:abstractNum>
  <w:abstractNum w:abstractNumId="162">
    <w:nsid w:val="4365174B"/>
    <w:multiLevelType w:val="hybridMultilevel"/>
    <w:lvl w:ilvl="0">
      <w:lvlJc w:val="left"/>
      <w:lvlText w:val="•"/>
      <w:numFmt w:val="bullet"/>
      <w:start w:val="1"/>
    </w:lvl>
  </w:abstractNum>
  <w:abstractNum w:abstractNumId="163">
    <w:nsid w:val="4A872C35"/>
    <w:multiLevelType w:val="hybridMultilevel"/>
    <w:lvl w:ilvl="0">
      <w:lvlJc w:val="left"/>
      <w:lvlText w:val="•"/>
      <w:numFmt w:val="bullet"/>
      <w:start w:val="1"/>
    </w:lvl>
  </w:abstractNum>
  <w:abstractNum w:abstractNumId="164">
    <w:nsid w:val="5D5CE761"/>
    <w:multiLevelType w:val="hybridMultilevel"/>
    <w:lvl w:ilvl="0">
      <w:lvlJc w:val="left"/>
      <w:lvlText w:val="•"/>
      <w:numFmt w:val="bullet"/>
      <w:start w:val="1"/>
    </w:lvl>
  </w:abstractNum>
  <w:abstractNum w:abstractNumId="165">
    <w:nsid w:val="1CD484D5"/>
    <w:multiLevelType w:val="hybridMultilevel"/>
    <w:lvl w:ilvl="0">
      <w:lvlJc w:val="left"/>
      <w:lvlText w:val="•"/>
      <w:numFmt w:val="bullet"/>
      <w:start w:val="1"/>
    </w:lvl>
  </w:abstractNum>
  <w:abstractNum w:abstractNumId="166">
    <w:nsid w:val="21D06255"/>
    <w:multiLevelType w:val="hybridMultilevel"/>
    <w:lvl w:ilvl="0">
      <w:lvlJc w:val="left"/>
      <w:lvlText w:val="•"/>
      <w:numFmt w:val="bullet"/>
      <w:start w:val="1"/>
    </w:lvl>
  </w:abstractNum>
  <w:abstractNum w:abstractNumId="167">
    <w:nsid w:val="51194ED1"/>
    <w:multiLevelType w:val="hybridMultilevel"/>
    <w:lvl w:ilvl="0">
      <w:lvlJc w:val="left"/>
      <w:lvlText w:val="•"/>
      <w:numFmt w:val="bullet"/>
      <w:start w:val="1"/>
    </w:lvl>
  </w:abstractNum>
  <w:abstractNum w:abstractNumId="168">
    <w:nsid w:val="44E2ED6C"/>
    <w:multiLevelType w:val="hybridMultilevel"/>
    <w:lvl w:ilvl="0">
      <w:lvlJc w:val="left"/>
      <w:lvlText w:val="•"/>
      <w:numFmt w:val="bullet"/>
      <w:start w:val="1"/>
    </w:lvl>
  </w:abstractNum>
  <w:abstractNum w:abstractNumId="169">
    <w:nsid w:val="2219B33"/>
    <w:multiLevelType w:val="hybridMultilevel"/>
    <w:lvl w:ilvl="0">
      <w:lvlJc w:val="left"/>
      <w:lvlText w:val="%1."/>
      <w:numFmt w:val="decimal"/>
      <w:start w:val="1"/>
    </w:lvl>
  </w:abstractNum>
  <w:abstractNum w:abstractNumId="170">
    <w:nsid w:val="773BFBDD"/>
    <w:multiLevelType w:val="hybridMultilevel"/>
    <w:lvl w:ilvl="0">
      <w:lvlJc w:val="left"/>
      <w:lvlText w:val="•"/>
      <w:numFmt w:val="bullet"/>
      <w:start w:val="1"/>
    </w:lvl>
  </w:abstractNum>
  <w:abstractNum w:abstractNumId="171">
    <w:nsid w:val="2C7C62C2"/>
    <w:multiLevelType w:val="hybridMultilevel"/>
    <w:lvl w:ilvl="0">
      <w:lvlJc w:val="left"/>
      <w:lvlText w:val="%1."/>
      <w:numFmt w:val="decimal"/>
      <w:start w:val="1"/>
    </w:lvl>
  </w:abstractNum>
  <w:abstractNum w:abstractNumId="172">
    <w:nsid w:val="1A54D7BC"/>
    <w:multiLevelType w:val="hybridMultilevel"/>
    <w:lvl w:ilvl="0">
      <w:lvlJc w:val="left"/>
      <w:lvlText w:val="•"/>
      <w:numFmt w:val="bullet"/>
      <w:start w:val="1"/>
    </w:lvl>
  </w:abstractNum>
  <w:abstractNum w:abstractNumId="173">
    <w:nsid w:val="42E57EF7"/>
    <w:multiLevelType w:val="hybridMultilevel"/>
    <w:lvl w:ilvl="0">
      <w:lvlJc w:val="left"/>
      <w:lvlText w:val="•"/>
      <w:numFmt w:val="bullet"/>
      <w:start w:val="1"/>
    </w:lvl>
  </w:abstractNum>
  <w:abstractNum w:abstractNumId="174">
    <w:nsid w:val="33537CED"/>
    <w:multiLevelType w:val="hybridMultilevel"/>
    <w:lvl w:ilvl="0">
      <w:lvlJc w:val="left"/>
      <w:lvlText w:val="•"/>
      <w:numFmt w:val="bullet"/>
      <w:start w:val="1"/>
    </w:lvl>
  </w:abstractNum>
  <w:abstractNum w:abstractNumId="175">
    <w:nsid w:val="27514ADE"/>
    <w:multiLevelType w:val="hybridMultilevel"/>
    <w:lvl w:ilvl="0">
      <w:lvlJc w:val="left"/>
      <w:lvlText w:val="•"/>
      <w:numFmt w:val="bullet"/>
      <w:start w:val="1"/>
    </w:lvl>
  </w:abstractNum>
  <w:abstractNum w:abstractNumId="176">
    <w:nsid w:val="57071613"/>
    <w:multiLevelType w:val="hybridMultilevel"/>
    <w:lvl w:ilvl="0">
      <w:lvlJc w:val="left"/>
      <w:lvlText w:val="•"/>
      <w:numFmt w:val="bullet"/>
      <w:start w:val="1"/>
    </w:lvl>
  </w:abstractNum>
  <w:abstractNum w:abstractNumId="177">
    <w:nsid w:val="5293BFEF"/>
    <w:multiLevelType w:val="hybridMultilevel"/>
    <w:lvl w:ilvl="0">
      <w:lvlJc w:val="left"/>
      <w:lvlText w:val="(%1)"/>
      <w:numFmt w:val="decimal"/>
      <w:start w:val="1"/>
    </w:lvl>
  </w:abstractNum>
  <w:abstractNum w:abstractNumId="178">
    <w:nsid w:val="38BF53E5"/>
    <w:multiLevelType w:val="hybridMultilevel"/>
    <w:lvl w:ilvl="0">
      <w:lvlJc w:val="left"/>
      <w:lvlText w:val="•"/>
      <w:numFmt w:val="bullet"/>
      <w:start w:val="1"/>
    </w:lvl>
    <w:lvl w:ilvl="1">
      <w:lvlJc w:val="left"/>
      <w:lvlText w:val="◦"/>
      <w:numFmt w:val="bullet"/>
      <w:start w:val="1"/>
    </w:lvl>
  </w:abstractNum>
  <w:abstractNum w:abstractNumId="179">
    <w:nsid w:val="226F5320"/>
    <w:multiLevelType w:val="hybridMultilevel"/>
    <w:lvl w:ilvl="0">
      <w:lvlJc w:val="left"/>
      <w:lvlText w:val="•"/>
      <w:numFmt w:val="bullet"/>
      <w:start w:val="1"/>
    </w:lvl>
  </w:abstractNum>
  <w:abstractNum w:abstractNumId="180">
    <w:nsid w:val="5A0201C7"/>
    <w:multiLevelType w:val="hybridMultilevel"/>
    <w:lvl w:ilvl="0">
      <w:lvlJc w:val="left"/>
      <w:lvlText w:val="•"/>
      <w:numFmt w:val="bullet"/>
      <w:start w:val="1"/>
    </w:lvl>
  </w:abstractNum>
  <w:abstractNum w:abstractNumId="181">
    <w:nsid w:val="2A9C34E2"/>
    <w:multiLevelType w:val="hybridMultilevel"/>
    <w:lvl w:ilvl="0">
      <w:lvlJc w:val="left"/>
      <w:lvlText w:val="(%1)"/>
      <w:numFmt w:val="decimal"/>
      <w:start w:val="1"/>
    </w:lvl>
  </w:abstractNum>
  <w:abstractNum w:abstractNumId="182">
    <w:nsid w:val="1B7585AB"/>
    <w:multiLevelType w:val="hybridMultilevel"/>
    <w:lvl w:ilvl="0">
      <w:lvlJc w:val="left"/>
      <w:lvlText w:val="•"/>
      <w:numFmt w:val="bullet"/>
      <w:start w:val="1"/>
    </w:lvl>
  </w:abstractNum>
  <w:abstractNum w:abstractNumId="183">
    <w:nsid w:val="612DBDDD"/>
    <w:multiLevelType w:val="hybridMultilevel"/>
    <w:lvl w:ilvl="0">
      <w:lvlJc w:val="left"/>
      <w:lvlText w:val="•"/>
      <w:numFmt w:val="bullet"/>
      <w:start w:val="1"/>
    </w:lvl>
  </w:abstractNum>
  <w:abstractNum w:abstractNumId="184">
    <w:nsid w:val="2109CDA4"/>
    <w:multiLevelType w:val="hybridMultilevel"/>
    <w:lvl w:ilvl="0">
      <w:lvlJc w:val="left"/>
      <w:lvlText w:val="•"/>
      <w:numFmt w:val="bullet"/>
      <w:start w:val="1"/>
    </w:lvl>
  </w:abstractNum>
  <w:abstractNum w:abstractNumId="185">
    <w:nsid w:val="577F5A4D"/>
    <w:multiLevelType w:val="hybridMultilevel"/>
    <w:lvl w:ilvl="0">
      <w:lvlJc w:val="left"/>
      <w:lvlText w:val="•"/>
      <w:numFmt w:val="bullet"/>
      <w:start w:val="1"/>
    </w:lvl>
  </w:abstractNum>
  <w:abstractNum w:abstractNumId="186">
    <w:nsid w:val="2121A81"/>
    <w:multiLevelType w:val="hybridMultilevel"/>
    <w:lvl w:ilvl="0">
      <w:lvlJc w:val="left"/>
      <w:lvlText w:val="•"/>
      <w:numFmt w:val="bullet"/>
      <w:start w:val="1"/>
    </w:lvl>
  </w:abstractNum>
  <w:abstractNum w:abstractNumId="187">
    <w:nsid w:val="6C2CFC88"/>
    <w:multiLevelType w:val="hybridMultilevel"/>
    <w:lvl w:ilvl="0">
      <w:lvlJc w:val="left"/>
      <w:lvlText w:val="•"/>
      <w:numFmt w:val="bullet"/>
      <w:start w:val="1"/>
    </w:lvl>
  </w:abstractNum>
  <w:abstractNum w:abstractNumId="188">
    <w:nsid w:val="6D1BCF1C"/>
    <w:multiLevelType w:val="hybridMultilevel"/>
    <w:lvl w:ilvl="0">
      <w:lvlJc w:val="left"/>
      <w:lvlText w:val="•"/>
      <w:numFmt w:val="bullet"/>
      <w:start w:val="1"/>
    </w:lvl>
  </w:abstractNum>
  <w:abstractNum w:abstractNumId="189">
    <w:nsid w:val="4CE5CA53"/>
    <w:multiLevelType w:val="hybridMultilevel"/>
    <w:lvl w:ilvl="0">
      <w:lvlJc w:val="left"/>
      <w:lvlText w:val="•"/>
      <w:numFmt w:val="bullet"/>
      <w:start w:val="1"/>
    </w:lvl>
  </w:abstractNum>
  <w:abstractNum w:abstractNumId="190">
    <w:nsid w:val="29262D1A"/>
    <w:multiLevelType w:val="hybridMultilevel"/>
    <w:lvl w:ilvl="0">
      <w:lvlJc w:val="left"/>
      <w:lvlText w:val="•"/>
      <w:numFmt w:val="bullet"/>
      <w:start w:val="1"/>
    </w:lvl>
  </w:abstractNum>
  <w:abstractNum w:abstractNumId="191">
    <w:nsid w:val="557FB7EE"/>
    <w:multiLevelType w:val="hybridMultilevel"/>
    <w:lvl w:ilvl="0">
      <w:lvlJc w:val="left"/>
      <w:lvlText w:val="•"/>
      <w:numFmt w:val="bullet"/>
      <w:start w:val="1"/>
    </w:lvl>
  </w:abstractNum>
  <w:abstractNum w:abstractNumId="192">
    <w:nsid w:val="436F2BEB"/>
    <w:multiLevelType w:val="hybridMultilevel"/>
    <w:lvl w:ilvl="0">
      <w:lvlJc w:val="left"/>
      <w:lvlText w:val="•"/>
      <w:numFmt w:val="bullet"/>
      <w:start w:val="1"/>
    </w:lvl>
  </w:abstractNum>
  <w:abstractNum w:abstractNumId="193">
    <w:nsid w:val="6C8B4466"/>
    <w:multiLevelType w:val="hybridMultilevel"/>
    <w:lvl w:ilvl="0">
      <w:lvlJc w:val="left"/>
      <w:lvlText w:val="•"/>
      <w:numFmt w:val="bullet"/>
      <w:start w:val="1"/>
    </w:lvl>
  </w:abstractNum>
  <w:abstractNum w:abstractNumId="194">
    <w:nsid w:val="2006E424"/>
    <w:multiLevelType w:val="hybridMultilevel"/>
    <w:lvl w:ilvl="0">
      <w:lvlJc w:val="left"/>
      <w:lvlText w:val="%1."/>
      <w:numFmt w:val="decimal"/>
      <w:start w:val="1"/>
    </w:lvl>
  </w:abstractNum>
  <w:abstractNum w:abstractNumId="195">
    <w:nsid w:val="20CC134C"/>
    <w:multiLevelType w:val="hybridMultilevel"/>
    <w:lvl w:ilvl="0">
      <w:lvlJc w:val="left"/>
      <w:lvlText w:val="%1."/>
      <w:numFmt w:val="decimal"/>
      <w:start w:val="1"/>
    </w:lvl>
  </w:abstractNum>
  <w:abstractNum w:abstractNumId="196">
    <w:nsid w:val="95FC93B"/>
    <w:multiLevelType w:val="hybridMultilevel"/>
    <w:lvl w:ilvl="0">
      <w:lvlJc w:val="left"/>
      <w:lvlText w:val="%1."/>
      <w:numFmt w:val="decimal"/>
      <w:start w:val="1"/>
    </w:lvl>
  </w:abstractNum>
  <w:abstractNum w:abstractNumId="197">
    <w:nsid w:val="41D74679"/>
    <w:multiLevelType w:val="hybridMultilevel"/>
    <w:lvl w:ilvl="0">
      <w:lvlJc w:val="left"/>
      <w:lvlText w:val="%1."/>
      <w:numFmt w:val="decimal"/>
      <w:start w:val="4"/>
    </w:lvl>
  </w:abstractNum>
  <w:abstractNum w:abstractNumId="198">
    <w:nsid w:val="71E5621E"/>
    <w:multiLevelType w:val="hybridMultilevel"/>
    <w:lvl w:ilvl="0">
      <w:lvlJc w:val="left"/>
      <w:lvlText w:val="•"/>
      <w:numFmt w:val="bullet"/>
      <w:start w:val="1"/>
    </w:lvl>
  </w:abstractNum>
  <w:abstractNum w:abstractNumId="199">
    <w:nsid w:val="4E42B6A8"/>
    <w:multiLevelType w:val="hybridMultilevel"/>
    <w:lvl w:ilvl="0">
      <w:lvlJc w:val="left"/>
      <w:lvlText w:val="•"/>
      <w:numFmt w:val="bullet"/>
      <w:start w:val="1"/>
    </w:lvl>
  </w:abstractNum>
  <w:abstractNum w:abstractNumId="200">
    <w:nsid w:val="43F8E1AC"/>
    <w:multiLevelType w:val="hybridMultilevel"/>
    <w:lvl w:ilvl="0">
      <w:lvlJc w:val="left"/>
      <w:lvlText w:val="•"/>
      <w:numFmt w:val="bullet"/>
      <w:start w:val="1"/>
    </w:lvl>
  </w:abstractNum>
  <w:abstractNum w:abstractNumId="201">
    <w:nsid w:val="69215DFB"/>
    <w:multiLevelType w:val="hybridMultilevel"/>
    <w:lvl w:ilvl="0">
      <w:lvlJc w:val="left"/>
      <w:lvlText w:val="•"/>
      <w:numFmt w:val="bullet"/>
      <w:start w:val="1"/>
    </w:lvl>
  </w:abstractNum>
  <w:abstractNum w:abstractNumId="202">
    <w:nsid w:val="7ABF196A"/>
    <w:multiLevelType w:val="hybridMultilevel"/>
    <w:lvl w:ilvl="0">
      <w:lvlJc w:val="left"/>
      <w:lvlText w:val="(%1)"/>
      <w:numFmt w:val="decimal"/>
      <w:start w:val="1"/>
    </w:lvl>
  </w:abstractNum>
  <w:abstractNum w:abstractNumId="203">
    <w:nsid w:val="5E4DB968"/>
    <w:multiLevelType w:val="hybridMultilevel"/>
    <w:lvl w:ilvl="0">
      <w:lvlJc w:val="left"/>
      <w:lvlText w:val="•"/>
      <w:numFmt w:val="bullet"/>
      <w:start w:val="1"/>
    </w:lvl>
  </w:abstractNum>
  <w:abstractNum w:abstractNumId="204">
    <w:nsid w:val="2C06DCF3"/>
    <w:multiLevelType w:val="hybridMultilevel"/>
    <w:lvl w:ilvl="0">
      <w:lvlJc w:val="left"/>
      <w:lvlText w:val="(%1)"/>
      <w:numFmt w:val="decimal"/>
      <w:start w:val="1"/>
    </w:lvl>
  </w:abstractNum>
  <w:abstractNum w:abstractNumId="205">
    <w:nsid w:val="2E129658"/>
    <w:multiLevelType w:val="hybridMultilevel"/>
    <w:lvl w:ilvl="0">
      <w:lvlJc w:val="left"/>
      <w:lvlText w:val="(%1)"/>
      <w:numFmt w:val="decimal"/>
      <w:start w:val="2"/>
    </w:lvl>
  </w:abstractNum>
  <w:abstractNum w:abstractNumId="206">
    <w:nsid w:val="59F0446"/>
    <w:multiLevelType w:val="hybridMultilevel"/>
    <w:lvl w:ilvl="0">
      <w:lvlJc w:val="left"/>
      <w:lvlText w:val="(%1)"/>
      <w:numFmt w:val="lowerLetter"/>
      <w:start w:val="1"/>
    </w:lvl>
    <w:lvl w:ilvl="1">
      <w:lvlJc w:val="left"/>
      <w:lvlText w:val="(%2)"/>
      <w:numFmt w:val="lowerLetter"/>
      <w:start w:val="24"/>
    </w:lvl>
  </w:abstractNum>
  <w:abstractNum w:abstractNumId="207">
    <w:nsid w:val="30DF306"/>
    <w:multiLevelType w:val="hybridMultilevel"/>
    <w:lvl w:ilvl="0">
      <w:lvlJc w:val="left"/>
      <w:lvlText w:val="•"/>
      <w:numFmt w:val="bullet"/>
      <w:start w:val="1"/>
    </w:lvl>
  </w:abstractNum>
  <w:abstractNum w:abstractNumId="208">
    <w:nsid w:val="A65647"/>
    <w:multiLevelType w:val="hybridMultilevel"/>
    <w:lvl w:ilvl="0">
      <w:lvlJc w:val="left"/>
      <w:lvlText w:val="•"/>
      <w:numFmt w:val="bullet"/>
      <w:start w:val="1"/>
    </w:lvl>
  </w:abstractNum>
  <w:abstractNum w:abstractNumId="209">
    <w:nsid w:val="3E5E582B"/>
    <w:multiLevelType w:val="hybridMultilevel"/>
    <w:lvl w:ilvl="0">
      <w:lvlJc w:val="left"/>
      <w:lvlText w:val="•"/>
      <w:numFmt w:val="bullet"/>
      <w:start w:val="1"/>
    </w:lvl>
  </w:abstractNum>
  <w:abstractNum w:abstractNumId="210">
    <w:nsid w:val="257D4626"/>
    <w:multiLevelType w:val="hybridMultilevel"/>
    <w:lvl w:ilvl="0">
      <w:lvlJc w:val="left"/>
      <w:lvlText w:val="•"/>
      <w:numFmt w:val="bullet"/>
      <w:start w:val="1"/>
    </w:lvl>
  </w:abstractNum>
  <w:abstractNum w:abstractNumId="211">
    <w:nsid w:val="5AA8580E"/>
    <w:multiLevelType w:val="hybridMultilevel"/>
    <w:lvl w:ilvl="0">
      <w:lvlJc w:val="left"/>
      <w:lvlText w:val="•"/>
      <w:numFmt w:val="bullet"/>
      <w:start w:val="1"/>
    </w:lvl>
  </w:abstractNum>
  <w:abstractNum w:abstractNumId="212">
    <w:nsid w:val="68FA8D0D"/>
    <w:multiLevelType w:val="hybridMultilevel"/>
    <w:lvl w:ilvl="0">
      <w:lvlJc w:val="left"/>
      <w:lvlText w:val="•"/>
      <w:numFmt w:val="bullet"/>
      <w:start w:val="1"/>
    </w:lvl>
  </w:abstractNum>
  <w:abstractNum w:abstractNumId="213">
    <w:nsid w:val="40F2CBD2"/>
    <w:multiLevelType w:val="hybridMultilevel"/>
    <w:lvl w:ilvl="0">
      <w:lvlJc w:val="left"/>
      <w:lvlText w:val="•"/>
      <w:numFmt w:val="bullet"/>
      <w:start w:val="1"/>
    </w:lvl>
  </w:abstractNum>
  <w:abstractNum w:abstractNumId="214">
    <w:nsid w:val="3BD615EB"/>
    <w:multiLevelType w:val="hybridMultilevel"/>
    <w:lvl w:ilvl="0">
      <w:lvlJc w:val="left"/>
      <w:lvlText w:val="•"/>
      <w:numFmt w:val="bullet"/>
      <w:start w:val="1"/>
    </w:lvl>
  </w:abstractNum>
  <w:abstractNum w:abstractNumId="215">
    <w:nsid w:val="A045AB2"/>
    <w:multiLevelType w:val="hybridMultilevel"/>
    <w:lvl w:ilvl="0">
      <w:lvlJc w:val="left"/>
      <w:lvlText w:val="•"/>
      <w:numFmt w:val="bullet"/>
      <w:start w:val="1"/>
    </w:lvl>
  </w:abstractNum>
  <w:abstractNum w:abstractNumId="216">
    <w:nsid w:val="1872261F"/>
    <w:multiLevelType w:val="hybridMultilevel"/>
    <w:lvl w:ilvl="0">
      <w:lvlJc w:val="left"/>
      <w:lvlText w:val="(%1)"/>
      <w:numFmt w:val="decimal"/>
      <w:start w:val="1"/>
    </w:lvl>
  </w:abstractNum>
  <w:abstractNum w:abstractNumId="217">
    <w:nsid w:val="3DE8306C"/>
    <w:multiLevelType w:val="hybridMultilevel"/>
    <w:lvl w:ilvl="0">
      <w:lvlJc w:val="left"/>
      <w:lvlText w:val="(%1)"/>
      <w:numFmt w:val="decimal"/>
      <w:start w:val="1"/>
    </w:lvl>
  </w:abstractNum>
  <w:abstractNum w:abstractNumId="218">
    <w:nsid w:val="7631573A"/>
    <w:multiLevelType w:val="hybridMultilevel"/>
    <w:lvl w:ilvl="0">
      <w:lvlJc w:val="left"/>
      <w:lvlText w:val="(%1)"/>
      <w:numFmt w:val="decimal"/>
      <w:start w:val="1"/>
    </w:lvl>
  </w:abstractNum>
  <w:abstractNum w:abstractNumId="219">
    <w:nsid w:val="58DF53B"/>
    <w:multiLevelType w:val="hybridMultilevel"/>
    <w:lvl w:ilvl="0">
      <w:lvlJc w:val="left"/>
      <w:lvlText w:val="(%1)"/>
      <w:numFmt w:val="decimal"/>
      <w:start w:val="1"/>
    </w:lvl>
  </w:abstractNum>
  <w:abstractNum w:abstractNumId="220">
    <w:nsid w:val="ACDFAC0"/>
    <w:multiLevelType w:val="hybridMultilevel"/>
    <w:lvl w:ilvl="0">
      <w:lvlJc w:val="left"/>
      <w:lvlText w:val="•"/>
      <w:numFmt w:val="bullet"/>
      <w:start w:val="1"/>
    </w:lvl>
  </w:abstractNum>
  <w:abstractNum w:abstractNumId="221">
    <w:nsid w:val="1F578454"/>
    <w:multiLevelType w:val="hybridMultilevel"/>
    <w:lvl w:ilvl="0">
      <w:lvlJc w:val="left"/>
      <w:lvlText w:val="•"/>
      <w:numFmt w:val="bullet"/>
      <w:start w:val="1"/>
    </w:lvl>
  </w:abstractNum>
  <w:abstractNum w:abstractNumId="222">
    <w:nsid w:val="5B0DAD2A"/>
    <w:multiLevelType w:val="hybridMultilevel"/>
    <w:lvl w:ilvl="0">
      <w:lvlJc w:val="left"/>
      <w:lvlText w:val="•"/>
      <w:numFmt w:val="bullet"/>
      <w:start w:val="1"/>
    </w:lvl>
  </w:abstractNum>
  <w:abstractNum w:abstractNumId="223">
    <w:nsid w:val="4E3D26AB"/>
    <w:multiLevelType w:val="hybridMultilevel"/>
    <w:lvl w:ilvl="0">
      <w:lvlJc w:val="left"/>
      <w:lvlText w:val="•"/>
      <w:numFmt w:val="bullet"/>
      <w:start w:val="1"/>
    </w:lvl>
  </w:abstractNum>
  <w:abstractNum w:abstractNumId="224">
    <w:nsid w:val="BE2C8BA"/>
    <w:multiLevelType w:val="hybridMultilevel"/>
    <w:lvl w:ilvl="0">
      <w:lvlJc w:val="left"/>
      <w:lvlText w:val="•"/>
      <w:numFmt w:val="bullet"/>
      <w:start w:val="1"/>
    </w:lvl>
  </w:abstractNum>
  <w:abstractNum w:abstractNumId="225">
    <w:nsid w:val="7B14914E"/>
    <w:multiLevelType w:val="hybridMultilevel"/>
    <w:lvl w:ilvl="0">
      <w:lvlJc w:val="left"/>
      <w:lvlText w:val="(%1)"/>
      <w:numFmt w:val="decimal"/>
      <w:start w:val="1"/>
    </w:lvl>
  </w:abstractNum>
  <w:abstractNum w:abstractNumId="226">
    <w:nsid w:val="6F0939F8"/>
    <w:multiLevelType w:val="hybridMultilevel"/>
    <w:lvl w:ilvl="0">
      <w:lvlJc w:val="left"/>
      <w:lvlText w:val="(%1)"/>
      <w:numFmt w:val="decimal"/>
      <w:start w:val="1"/>
    </w:lvl>
  </w:abstractNum>
  <w:abstractNum w:abstractNumId="227">
    <w:nsid w:val="154291F6"/>
    <w:multiLevelType w:val="hybridMultilevel"/>
    <w:lvl w:ilvl="0">
      <w:lvlJc w:val="left"/>
      <w:lvlText w:val="(%1)"/>
      <w:numFmt w:val="decimal"/>
      <w:start w:val="1"/>
    </w:lvl>
  </w:abstractNum>
  <w:abstractNum w:abstractNumId="228">
    <w:nsid w:val="3CEBD7C7"/>
    <w:multiLevelType w:val="hybridMultilevel"/>
    <w:lvl w:ilvl="0">
      <w:lvlJc w:val="left"/>
      <w:lvlText w:val="(%1)"/>
      <w:numFmt w:val="decimal"/>
      <w:start w:val="3"/>
    </w:lvl>
  </w:abstractNum>
  <w:abstractNum w:abstractNumId="229">
    <w:nsid w:val="60EE9C16"/>
    <w:multiLevelType w:val="hybridMultilevel"/>
    <w:lvl w:ilvl="0">
      <w:lvlJc w:val="left"/>
      <w:lvlText w:val="(%1)"/>
      <w:numFmt w:val="decimal"/>
      <w:start w:val="1"/>
    </w:lvl>
  </w:abstractNum>
  <w:abstractNum w:abstractNumId="230">
    <w:nsid w:val="6385489E"/>
    <w:multiLevelType w:val="hybridMultilevel"/>
    <w:lvl w:ilvl="0">
      <w:lvlJc w:val="left"/>
      <w:lvlText w:val="•"/>
      <w:numFmt w:val="bullet"/>
      <w:start w:val="1"/>
    </w:lvl>
  </w:abstractNum>
  <w:abstractNum w:abstractNumId="231">
    <w:nsid w:val="E4B973"/>
    <w:multiLevelType w:val="hybridMultilevel"/>
    <w:lvl w:ilvl="0">
      <w:lvlJc w:val="left"/>
      <w:lvlText w:val="•"/>
      <w:numFmt w:val="bullet"/>
      <w:start w:val="1"/>
    </w:lvl>
  </w:abstractNum>
  <w:abstractNum w:abstractNumId="232">
    <w:nsid w:val="4A0FFA11"/>
    <w:multiLevelType w:val="hybridMultilevel"/>
    <w:lvl w:ilvl="0">
      <w:lvlJc w:val="left"/>
      <w:lvlText w:val="•"/>
      <w:numFmt w:val="bullet"/>
      <w:start w:val="1"/>
    </w:lvl>
  </w:abstractNum>
  <w:abstractNum w:abstractNumId="233">
    <w:nsid w:val="5E446208"/>
    <w:multiLevelType w:val="hybridMultilevel"/>
    <w:lvl w:ilvl="0">
      <w:lvlJc w:val="left"/>
      <w:lvlText w:val="•"/>
      <w:numFmt w:val="bullet"/>
      <w:start w:val="1"/>
    </w:lvl>
  </w:abstractNum>
  <w:abstractNum w:abstractNumId="234">
    <w:nsid w:val="5F3272DB"/>
    <w:multiLevelType w:val="hybridMultilevel"/>
    <w:lvl w:ilvl="0">
      <w:lvlJc w:val="left"/>
      <w:lvlText w:val="•"/>
      <w:numFmt w:val="bullet"/>
      <w:start w:val="1"/>
    </w:lvl>
  </w:abstractNum>
  <w:abstractNum w:abstractNumId="235">
    <w:nsid w:val="7616D704"/>
    <w:multiLevelType w:val="hybridMultilevel"/>
    <w:lvl w:ilvl="0">
      <w:lvlJc w:val="left"/>
      <w:lvlText w:val="•"/>
      <w:numFmt w:val="bullet"/>
      <w:start w:val="1"/>
    </w:lvl>
  </w:abstractNum>
  <w:abstractNum w:abstractNumId="236">
    <w:nsid w:val="C56F860"/>
    <w:multiLevelType w:val="hybridMultilevel"/>
    <w:lvl w:ilvl="0">
      <w:lvlJc w:val="left"/>
      <w:lvlText w:val="(%1)"/>
      <w:numFmt w:val="decimal"/>
      <w:start w:val="2"/>
    </w:lvl>
  </w:abstractNum>
  <w:abstractNum w:abstractNumId="237">
    <w:nsid w:val="64D17722"/>
    <w:multiLevelType w:val="hybridMultilevel"/>
    <w:lvl w:ilvl="0">
      <w:lvlJc w:val="left"/>
      <w:lvlText w:val="•"/>
      <w:numFmt w:val="bullet"/>
      <w:start w:val="1"/>
    </w:lvl>
  </w:abstractNum>
  <w:abstractNum w:abstractNumId="238">
    <w:nsid w:val="7924CA0A"/>
    <w:multiLevelType w:val="hybridMultilevel"/>
    <w:lvl w:ilvl="0">
      <w:lvlJc w:val="left"/>
      <w:lvlText w:val="•"/>
      <w:numFmt w:val="bullet"/>
      <w:start w:val="1"/>
    </w:lvl>
  </w:abstractNum>
  <w:abstractNum w:abstractNumId="239">
    <w:nsid w:val="CFD4EA7"/>
    <w:multiLevelType w:val="hybridMultilevel"/>
    <w:lvl w:ilvl="0">
      <w:lvlJc w:val="left"/>
      <w:lvlText w:val="•"/>
      <w:numFmt w:val="bullet"/>
      <w:start w:val="1"/>
    </w:lvl>
  </w:abstractNum>
  <w:abstractNum w:abstractNumId="240">
    <w:nsid w:val="232FCF4D"/>
    <w:multiLevelType w:val="hybridMultilevel"/>
    <w:lvl w:ilvl="0">
      <w:lvlJc w:val="left"/>
      <w:lvlText w:val="•"/>
      <w:numFmt w:val="bullet"/>
      <w:start w:val="1"/>
    </w:lvl>
  </w:abstractNum>
  <w:abstractNum w:abstractNumId="241">
    <w:nsid w:val="1EA21031"/>
    <w:multiLevelType w:val="hybridMultilevel"/>
    <w:lvl w:ilvl="0">
      <w:lvlJc w:val="left"/>
      <w:lvlText w:val="•"/>
      <w:numFmt w:val="bullet"/>
      <w:start w:val="1"/>
    </w:lvl>
  </w:abstractNum>
  <w:abstractNum w:abstractNumId="242">
    <w:nsid w:val="67A5A6B5"/>
    <w:multiLevelType w:val="hybridMultilevel"/>
    <w:lvl w:ilvl="0">
      <w:lvlJc w:val="left"/>
      <w:lvlText w:val="•"/>
      <w:numFmt w:val="bullet"/>
      <w:start w:val="1"/>
    </w:lvl>
  </w:abstractNum>
  <w:abstractNum w:abstractNumId="243">
    <w:nsid w:val="C2A5C5B"/>
    <w:multiLevelType w:val="hybridMultilevel"/>
    <w:lvl w:ilvl="0">
      <w:lvlJc w:val="left"/>
      <w:lvlText w:val="•"/>
      <w:numFmt w:val="bullet"/>
      <w:start w:val="1"/>
    </w:lvl>
  </w:abstractNum>
  <w:abstractNum w:abstractNumId="244">
    <w:nsid w:val="5F94DC03"/>
    <w:multiLevelType w:val="hybridMultilevel"/>
    <w:lvl w:ilvl="0">
      <w:lvlJc w:val="left"/>
      <w:lvlText w:val="(%1)"/>
      <w:numFmt w:val="decimal"/>
      <w:start w:val="1"/>
    </w:lvl>
  </w:abstractNum>
  <w:abstractNum w:abstractNumId="245">
    <w:nsid w:val="237BBCA0"/>
    <w:multiLevelType w:val="hybridMultilevel"/>
    <w:lvl w:ilvl="0">
      <w:lvlJc w:val="left"/>
      <w:lvlText w:val="(%1)"/>
      <w:numFmt w:val="decimal"/>
      <w:start w:val="7"/>
    </w:lvl>
  </w:abstractNum>
  <w:abstractNum w:abstractNumId="246">
    <w:nsid w:val="162EB70D"/>
    <w:multiLevelType w:val="hybridMultilevel"/>
    <w:lvl w:ilvl="0">
      <w:lvlJc w:val="left"/>
      <w:lvlText w:val="•"/>
      <w:numFmt w:val="bullet"/>
      <w:start w:val="1"/>
    </w:lvl>
  </w:abstractNum>
  <w:abstractNum w:abstractNumId="247">
    <w:nsid w:val="78070222"/>
    <w:multiLevelType w:val="hybridMultilevel"/>
    <w:lvl w:ilvl="0">
      <w:lvlJc w:val="left"/>
      <w:lvlText w:val="•"/>
      <w:numFmt w:val="bullet"/>
      <w:start w:val="1"/>
    </w:lvl>
  </w:abstractNum>
  <w:abstractNum w:abstractNumId="248">
    <w:nsid w:val="6163ED0D"/>
    <w:multiLevelType w:val="hybridMultilevel"/>
    <w:lvl w:ilvl="0">
      <w:lvlJc w:val="left"/>
      <w:lvlText w:val="(%1)"/>
      <w:numFmt w:val="decimal"/>
      <w:start w:val="1"/>
    </w:lvl>
  </w:abstractNum>
  <w:abstractNum w:abstractNumId="249">
    <w:nsid w:val="C600E47"/>
    <w:multiLevelType w:val="hybridMultilevel"/>
    <w:lvl w:ilvl="0">
      <w:lvlJc w:val="left"/>
      <w:lvlText w:val="•"/>
      <w:numFmt w:val="bullet"/>
      <w:start w:val="1"/>
    </w:lvl>
  </w:abstractNum>
  <w:abstractNum w:abstractNumId="250">
    <w:nsid w:val="7D94F75D"/>
    <w:multiLevelType w:val="hybridMultilevel"/>
    <w:lvl w:ilvl="0">
      <w:lvlJc w:val="left"/>
      <w:lvlText w:val="•"/>
      <w:numFmt w:val="bullet"/>
      <w:start w:val="1"/>
    </w:lvl>
  </w:abstractNum>
  <w:abstractNum w:abstractNumId="251">
    <w:nsid w:val="6C31E7CD"/>
    <w:multiLevelType w:val="hybridMultilevel"/>
    <w:lvl w:ilvl="0">
      <w:lvlJc w:val="left"/>
      <w:lvlText w:val="%1."/>
      <w:numFmt w:val="decimal"/>
      <w:start w:val="4"/>
    </w:lvl>
  </w:abstractNum>
  <w:abstractNum w:abstractNumId="252">
    <w:nsid w:val="2BB7929B"/>
    <w:multiLevelType w:val="hybridMultilevel"/>
    <w:lvl w:ilvl="0">
      <w:lvlJc w:val="left"/>
      <w:lvlText w:val="%1."/>
      <w:numFmt w:val="decimal"/>
      <w:start w:val="5"/>
    </w:lvl>
  </w:abstractNum>
  <w:abstractNum w:abstractNumId="253">
    <w:nsid w:val="58A2A487"/>
    <w:multiLevelType w:val="hybridMultilevel"/>
    <w:lvl w:ilvl="0">
      <w:lvlJc w:val="left"/>
      <w:lvlText w:val="\endash "/>
      <w:numFmt w:val="bullet"/>
      <w:start w:val="1"/>
    </w:lvl>
  </w:abstractNum>
  <w:abstractNum w:abstractNumId="254">
    <w:nsid w:val="3A6F0E78"/>
    <w:multiLevelType w:val="hybridMultilevel"/>
    <w:lvl w:ilvl="0">
      <w:lvlJc w:val="left"/>
      <w:lvlText w:val="\endash "/>
      <w:numFmt w:val="bullet"/>
      <w:start w:val="1"/>
    </w:lvl>
  </w:abstractNum>
  <w:abstractNum w:abstractNumId="255">
    <w:nsid w:val="379A5B56"/>
    <w:multiLevelType w:val="hybridMultilevel"/>
    <w:lvl w:ilvl="0">
      <w:lvlJc w:val="left"/>
      <w:lvlText w:val="%1."/>
      <w:numFmt w:val="decimal"/>
      <w:start w:val="11"/>
    </w:lvl>
  </w:abstractNum>
  <w:abstractNum w:abstractNumId="256">
    <w:nsid w:val="53B735D5"/>
    <w:multiLevelType w:val="hybridMultilevel"/>
    <w:lvl w:ilvl="0">
      <w:lvlJc w:val="left"/>
      <w:lvlText w:val="(%1)"/>
      <w:numFmt w:val="lowerLetter"/>
      <w:start w:val="3"/>
    </w:lvl>
  </w:abstractNum>
  <w:abstractNum w:abstractNumId="257">
    <w:nsid w:val="29784870"/>
    <w:multiLevelType w:val="hybridMultilevel"/>
    <w:lvl w:ilvl="0">
      <w:lvlJc w:val="left"/>
      <w:lvlText w:val="•"/>
      <w:numFmt w:val="bullet"/>
      <w:start w:val="1"/>
    </w:lvl>
  </w:abstractNum>
  <w:abstractNum w:abstractNumId="258">
    <w:nsid w:val="4CDCED4C"/>
    <w:multiLevelType w:val="hybridMultilevel"/>
    <w:lvl w:ilvl="0">
      <w:lvlJc w:val="left"/>
      <w:lvlText w:val="•"/>
      <w:numFmt w:val="bullet"/>
      <w:start w:val="1"/>
    </w:lvl>
  </w:abstractNum>
  <w:abstractNum w:abstractNumId="259">
    <w:nsid w:val="10A30D9C"/>
    <w:multiLevelType w:val="hybridMultilevel"/>
    <w:lvl w:ilvl="0">
      <w:lvlJc w:val="left"/>
      <w:lvlText w:val="•"/>
      <w:numFmt w:val="bullet"/>
      <w:start w:val="1"/>
    </w:lvl>
  </w:abstractNum>
  <w:abstractNum w:abstractNumId="260">
    <w:nsid w:val="A66E486"/>
    <w:multiLevelType w:val="hybridMultilevel"/>
    <w:lvl w:ilvl="0">
      <w:lvlJc w:val="left"/>
      <w:lvlText w:val="$"/>
      <w:numFmt w:val="bullet"/>
      <w:start w:val="1"/>
    </w:lvl>
  </w:abstractNum>
  <w:abstractNum w:abstractNumId="261">
    <w:nsid w:val="306235EA"/>
    <w:multiLevelType w:val="hybridMultilevel"/>
    <w:lvl w:ilvl="0">
      <w:lvlJc w:val="left"/>
      <w:lvlText w:val="•"/>
      <w:numFmt w:val="bullet"/>
      <w:start w:val="1"/>
    </w:lvl>
  </w:abstractNum>
  <w:abstractNum w:abstractNumId="262">
    <w:nsid w:val="1187C70F"/>
    <w:multiLevelType w:val="hybridMultilevel"/>
    <w:lvl w:ilvl="0">
      <w:lvlJc w:val="left"/>
      <w:lvlText w:val="•"/>
      <w:numFmt w:val="bullet"/>
      <w:start w:val="1"/>
    </w:lvl>
  </w:abstractNum>
  <w:abstractNum w:abstractNumId="263">
    <w:nsid w:val="5476DE98"/>
    <w:multiLevelType w:val="hybridMultilevel"/>
    <w:lvl w:ilvl="0">
      <w:lvlJc w:val="left"/>
      <w:lvlText w:val="•"/>
      <w:numFmt w:val="bullet"/>
      <w:start w:val="1"/>
    </w:lvl>
  </w:abstractNum>
  <w:abstractNum w:abstractNumId="264">
    <w:nsid w:val="EA697F2"/>
    <w:multiLevelType w:val="hybridMultilevel"/>
    <w:lvl w:ilvl="0">
      <w:lvlJc w:val="left"/>
      <w:lvlText w:val="•"/>
      <w:numFmt w:val="bullet"/>
      <w:start w:val="1"/>
    </w:lvl>
  </w:abstractNum>
  <w:abstractNum w:abstractNumId="265">
    <w:nsid w:val="70BA39EB"/>
    <w:multiLevelType w:val="hybridMultilevel"/>
    <w:lvl w:ilvl="0">
      <w:lvlJc w:val="left"/>
      <w:lvlText w:val="(%1)"/>
      <w:numFmt w:val="lowerLetter"/>
      <w:start w:val="3"/>
    </w:lvl>
  </w:abstractNum>
  <w:abstractNum w:abstractNumId="266">
    <w:nsid w:val="4A8DB59C"/>
    <w:multiLevelType w:val="hybridMultilevel"/>
    <w:lvl w:ilvl="0">
      <w:lvlJc w:val="left"/>
      <w:lvlText w:val="(%1)"/>
      <w:numFmt w:val="lowerLetter"/>
      <w:start w:val="1"/>
    </w:lvl>
    <w:lvl w:ilvl="1">
      <w:lvlJc w:val="left"/>
      <w:lvlText w:val="(%2)"/>
      <w:numFmt w:val="lowerLetter"/>
      <w:start w:val="9"/>
    </w:lvl>
  </w:abstractNum>
  <w:abstractNum w:abstractNumId="267">
    <w:nsid w:val="1AFD9053"/>
    <w:multiLevelType w:val="hybridMultilevel"/>
    <w:lvl w:ilvl="0">
      <w:lvlJc w:val="left"/>
      <w:lvlText w:val="%1"/>
      <w:numFmt w:val="lowerLetter"/>
      <w:start w:val="1"/>
    </w:lvl>
    <w:lvl w:ilvl="1">
      <w:lvlJc w:val="left"/>
      <w:lvlText w:val="(%2)"/>
      <w:numFmt w:val="lowerRoman"/>
      <w:start w:val="2"/>
    </w:lvl>
  </w:abstractNum>
  <w:abstractNum w:abstractNumId="268">
    <w:nsid w:val="558BB10D"/>
    <w:multiLevelType w:val="hybridMultilevel"/>
    <w:lvl w:ilvl="0">
      <w:lvlJc w:val="left"/>
      <w:lvlText w:val="(%1)"/>
      <w:numFmt w:val="lowerLetter"/>
      <w:start w:val="2"/>
    </w:lvl>
    <w:lvl w:ilvl="1">
      <w:lvlJc w:val="left"/>
      <w:lvlText w:val="(%2)"/>
      <w:numFmt w:val="lowerRoman"/>
      <w:start w:val="1"/>
    </w:lvl>
  </w:abstractNum>
  <w:abstractNum w:abstractNumId="269">
    <w:nsid w:val="43B27FA7"/>
    <w:multiLevelType w:val="hybridMultilevel"/>
    <w:lvl w:ilvl="0">
      <w:lvlJc w:val="left"/>
      <w:lvlText w:val="(%1)"/>
      <w:numFmt w:val="lowerLetter"/>
      <w:start w:val="1"/>
    </w:lvl>
  </w:abstractNum>
  <w:abstractNum w:abstractNumId="270">
    <w:nsid w:val="27FADEFA"/>
    <w:multiLevelType w:val="hybridMultilevel"/>
    <w:lvl w:ilvl="0">
      <w:lvlJc w:val="left"/>
      <w:lvlText w:val="(%1)"/>
      <w:numFmt w:val="lowerLetter"/>
      <w:start w:val="4"/>
    </w:lvl>
  </w:abstractNum>
  <w:abstractNum w:abstractNumId="271">
    <w:nsid w:val="78BB805A"/>
    <w:multiLevelType w:val="hybridMultilevel"/>
    <w:lvl w:ilvl="0">
      <w:lvlJc w:val="left"/>
      <w:lvlText w:val="%1"/>
      <w:numFmt w:val="lowerLetter"/>
      <w:start w:val="1"/>
    </w:lvl>
    <w:lvl w:ilvl="1">
      <w:lvlJc w:val="left"/>
      <w:lvlText w:val="(%2)"/>
      <w:numFmt w:val="lowerLetter"/>
      <w:start w:val="1"/>
    </w:lvl>
  </w:abstractNum>
  <w:abstractNum w:abstractNumId="272">
    <w:nsid w:val="62548FD8"/>
    <w:multiLevelType w:val="hybridMultilevel"/>
    <w:lvl w:ilvl="0">
      <w:lvlJc w:val="left"/>
      <w:lvlText w:val="(%1)"/>
      <w:numFmt w:val="lowerLetter"/>
      <w:start w:val="9"/>
    </w:lvl>
    <w:lvl w:ilvl="1">
      <w:lvlJc w:val="left"/>
      <w:lvlText w:val="(%2)"/>
      <w:numFmt w:val="lowerLetter"/>
      <w:start w:val="2"/>
    </w:lvl>
  </w:abstractNum>
  <w:abstractNum w:abstractNumId="273">
    <w:nsid w:val="FA085B0"/>
    <w:multiLevelType w:val="hybridMultilevel"/>
    <w:lvl w:ilvl="0">
      <w:lvlJc w:val="left"/>
      <w:lvlText w:val="(%1)"/>
      <w:numFmt w:val="lowerLetter"/>
      <w:start w:val="1"/>
    </w:lvl>
  </w:abstractNum>
  <w:abstractNum w:abstractNumId="274">
    <w:nsid w:val="4E5DCB5"/>
    <w:multiLevelType w:val="hybridMultilevel"/>
    <w:lvl w:ilvl="0">
      <w:lvlJc w:val="left"/>
      <w:lvlText w:val="(%1)"/>
      <w:numFmt w:val="lowerRoman"/>
      <w:start w:val="1"/>
    </w:lvl>
  </w:abstractNum>
  <w:abstractNum w:abstractNumId="275">
    <w:nsid w:val="41E96BDB"/>
    <w:multiLevelType w:val="hybridMultilevel"/>
    <w:lvl w:ilvl="0">
      <w:lvlJc w:val="left"/>
      <w:lvlText w:val="(%1)"/>
      <w:numFmt w:val="lowerLetter"/>
      <w:start w:val="2"/>
    </w:lvl>
  </w:abstractNum>
  <w:abstractNum w:abstractNumId="276">
    <w:nsid w:val="331C4250"/>
    <w:multiLevelType w:val="hybridMultilevel"/>
    <w:lvl w:ilvl="0">
      <w:lvlJc w:val="left"/>
      <w:lvlText w:val="(%1)"/>
      <w:numFmt w:val="lowerLetter"/>
      <w:start w:val="1"/>
    </w:lvl>
  </w:abstractNum>
  <w:abstractNum w:abstractNumId="277">
    <w:nsid w:val="1B1493C2"/>
    <w:multiLevelType w:val="hybridMultilevel"/>
    <w:lvl w:ilvl="0">
      <w:lvlJc w:val="left"/>
      <w:lvlText w:val="(%1)"/>
      <w:numFmt w:val="lowerLetter"/>
      <w:start w:val="2"/>
    </w:lvl>
  </w:abstractNum>
  <w:abstractNum w:abstractNumId="278">
    <w:nsid w:val="39F06DFD"/>
    <w:multiLevelType w:val="hybridMultilevel"/>
    <w:lvl w:ilvl="0">
      <w:lvlJc w:val="left"/>
      <w:lvlText w:val="(%1)"/>
      <w:numFmt w:val="lowerLetter"/>
      <w:start w:val="6"/>
    </w:lvl>
  </w:abstractNum>
  <w:abstractNum w:abstractNumId="279">
    <w:nsid w:val="14802F5D"/>
    <w:multiLevelType w:val="hybridMultilevel"/>
    <w:lvl w:ilvl="0">
      <w:lvlJc w:val="left"/>
      <w:lvlText w:val="(%1)"/>
      <w:numFmt w:val="lowerLetter"/>
      <w:start w:val="1"/>
    </w:lvl>
  </w:abstractNum>
  <w:abstractNum w:abstractNumId="280">
    <w:nsid w:val="2774A209"/>
    <w:multiLevelType w:val="hybridMultilevel"/>
    <w:lvl w:ilvl="0">
      <w:lvlJc w:val="left"/>
      <w:lvlText w:val="%1"/>
      <w:numFmt w:val="lowerLetter"/>
      <w:start w:val="1"/>
    </w:lvl>
    <w:lvl w:ilvl="1">
      <w:lvlJc w:val="left"/>
      <w:lvlText w:val="(%2)"/>
      <w:numFmt w:val="lowerLetter"/>
      <w:start w:val="2"/>
    </w:lvl>
  </w:abstractNum>
  <w:abstractNum w:abstractNumId="281">
    <w:nsid w:val="3785655A"/>
    <w:multiLevelType w:val="hybridMultilevel"/>
    <w:lvl w:ilvl="0">
      <w:lvlJc w:val="left"/>
      <w:lvlText w:val="(%1)"/>
      <w:numFmt w:val="lowerLetter"/>
      <w:start w:val="9"/>
    </w:lvl>
    <w:lvl w:ilvl="1">
      <w:lvlJc w:val="left"/>
      <w:lvlText w:val="(%2)"/>
      <w:numFmt w:val="lowerLetter"/>
      <w:start w:val="5"/>
    </w:lvl>
  </w:abstractNum>
  <w:abstractNum w:abstractNumId="282">
    <w:nsid w:val="B2172A"/>
    <w:multiLevelType w:val="hybridMultilevel"/>
    <w:lvl w:ilvl="0">
      <w:lvlJc w:val="left"/>
      <w:lvlText w:val="(%1)"/>
      <w:numFmt w:val="lowerLetter"/>
      <w:start w:val="1"/>
    </w:lvl>
    <w:lvl w:ilvl="1">
      <w:lvlJc w:val="left"/>
      <w:lvlText w:val="(%2)"/>
      <w:numFmt w:val="lowerRoman"/>
      <w:start w:val="1"/>
    </w:lvl>
  </w:abstractNum>
  <w:abstractNum w:abstractNumId="283">
    <w:nsid w:val="532C34A5"/>
    <w:multiLevelType w:val="hybridMultilevel"/>
    <w:lvl w:ilvl="0">
      <w:lvlJc w:val="left"/>
      <w:lvlText w:val="(%1)"/>
      <w:numFmt w:val="lowerLetter"/>
      <w:start w:val="1"/>
    </w:lvl>
  </w:abstractNum>
  <w:abstractNum w:abstractNumId="284">
    <w:nsid w:val="102809E2"/>
    <w:multiLevelType w:val="hybridMultilevel"/>
    <w:lvl w:ilvl="0">
      <w:lvlJc w:val="left"/>
      <w:lvlText w:val="(%1)"/>
      <w:numFmt w:val="lowerLetter"/>
      <w:start w:val="1"/>
    </w:lvl>
  </w:abstractNum>
  <w:abstractNum w:abstractNumId="285">
    <w:nsid w:val="3B2125A3"/>
    <w:multiLevelType w:val="hybridMultilevel"/>
    <w:lvl w:ilvl="0">
      <w:lvlJc w:val="left"/>
      <w:lvlText w:val="(%1)"/>
      <w:numFmt w:val="lowerLetter"/>
      <w:start w:val="2"/>
    </w:lvl>
  </w:abstractNum>
  <w:abstractNum w:abstractNumId="286">
    <w:nsid w:val="AC68FFB"/>
    <w:multiLevelType w:val="hybridMultilevel"/>
    <w:lvl w:ilvl="0">
      <w:lvlJc w:val="left"/>
      <w:lvlText w:val="(%1)"/>
      <w:numFmt w:val="lowerLetter"/>
      <w:start w:val="1"/>
    </w:lvl>
  </w:abstractNum>
  <w:abstractNum w:abstractNumId="287">
    <w:nsid w:val="63DF3FB7"/>
    <w:multiLevelType w:val="hybridMultilevel"/>
    <w:lvl w:ilvl="0">
      <w:lvlJc w:val="left"/>
      <w:lvlText w:val="(%1)"/>
      <w:numFmt w:val="lowerLetter"/>
      <w:start w:val="1"/>
    </w:lvl>
  </w:abstractNum>
  <w:abstractNum w:abstractNumId="288">
    <w:nsid w:val="64996E13"/>
    <w:multiLevelType w:val="hybridMultilevel"/>
    <w:lvl w:ilvl="0">
      <w:lvlJc w:val="left"/>
      <w:lvlText w:val="(%1)"/>
      <w:numFmt w:val="lowerLetter"/>
      <w:start w:val="1"/>
    </w:lvl>
  </w:abstractNum>
  <w:abstractNum w:abstractNumId="289">
    <w:nsid w:val="57A37D47"/>
    <w:multiLevelType w:val="hybridMultilevel"/>
    <w:lvl w:ilvl="0">
      <w:lvlJc w:val="left"/>
      <w:lvlText w:val="(%1)"/>
      <w:numFmt w:val="lowerLetter"/>
      <w:start w:val="1"/>
    </w:lvl>
    <w:lvl w:ilvl="1">
      <w:lvlJc w:val="left"/>
      <w:lvlText w:val="(%2)"/>
      <w:numFmt w:val="lowerRoman"/>
      <w:start w:val="1"/>
    </w:lvl>
  </w:abstractNum>
  <w:abstractNum w:abstractNumId="290">
    <w:nsid w:val="74824D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1">
    <w:nsid w:val="6F00529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2">
    <w:nsid w:val="805B331"/>
    <w:multiLevelType w:val="hybridMultilevel"/>
    <w:lvl w:ilvl="0">
      <w:lvlJc w:val="left"/>
      <w:lvlText w:val="(%1)"/>
      <w:numFmt w:val="decimal"/>
      <w:start w:val="37"/>
    </w:lvl>
    <w:lvl w:ilvl="1">
      <w:lvlJc w:val="left"/>
      <w:lvlText w:val="(%2)"/>
      <w:numFmt w:val="lowerLetter"/>
      <w:start w:val="6"/>
    </w:lvl>
    <w:lvl w:ilvl="2">
      <w:lvlJc w:val="left"/>
      <w:lvlText w:val="%3"/>
      <w:numFmt w:val="lowerRoman"/>
      <w:start w:val="1"/>
    </w:lvl>
  </w:abstractNum>
  <w:abstractNum w:abstractNumId="293">
    <w:nsid w:val="60A1463"/>
    <w:multiLevelType w:val="hybridMultilevel"/>
    <w:lvl w:ilvl="0">
      <w:lvlJc w:val="left"/>
      <w:lvlText w:val="(%1)"/>
      <w:numFmt w:val="lowerLetter"/>
      <w:start w:val="9"/>
    </w:lvl>
  </w:abstractNum>
  <w:abstractNum w:abstractNumId="294">
    <w:nsid w:val="43773132"/>
    <w:multiLevelType w:val="hybridMultilevel"/>
    <w:lvl w:ilvl="0">
      <w:lvlJc w:val="left"/>
      <w:lvlText w:val="%1"/>
      <w:numFmt w:val="lowerLetter"/>
      <w:start w:val="1"/>
    </w:lvl>
    <w:lvl w:ilvl="1">
      <w:lvlJc w:val="left"/>
      <w:lvlText w:val="(%2)"/>
      <w:numFmt w:val="lowerLetter"/>
      <w:start w:val="1"/>
    </w:lvl>
  </w:abstractNum>
  <w:abstractNum w:abstractNumId="295">
    <w:nsid w:val="16AC4B23"/>
    <w:multiLevelType w:val="hybridMultilevel"/>
    <w:lvl w:ilvl="0">
      <w:lvlJc w:val="left"/>
      <w:lvlText w:val="(%1)"/>
      <w:numFmt w:val="lowerLetter"/>
      <w:start w:val="35"/>
    </w:lvl>
    <w:lvl w:ilvl="1">
      <w:lvlJc w:val="left"/>
      <w:lvlText w:val="(%2)"/>
      <w:numFmt w:val="lowerLetter"/>
      <w:start w:val="4"/>
    </w:lvl>
  </w:abstractNum>
  <w:abstractNum w:abstractNumId="296">
    <w:nsid w:val="76C44E4E"/>
    <w:multiLevelType w:val="hybridMultilevel"/>
    <w:lvl w:ilvl="0">
      <w:lvlJc w:val="left"/>
      <w:lvlText w:val="%1"/>
      <w:numFmt w:val="lowerLetter"/>
      <w:start w:val="1"/>
    </w:lvl>
    <w:lvl w:ilvl="1">
      <w:lvlJc w:val="left"/>
      <w:lvlText w:val="(%2)"/>
      <w:numFmt w:val="lowerLetter"/>
      <w:start w:val="6"/>
    </w:lvl>
  </w:abstractNum>
  <w:abstractNum w:abstractNumId="297">
    <w:nsid w:val="E04E6CE"/>
    <w:multiLevelType w:val="hybridMultilevel"/>
    <w:lvl w:ilvl="0">
      <w:lvlJc w:val="left"/>
      <w:lvlText w:val="(%1)"/>
      <w:numFmt w:val="lowerLetter"/>
      <w:start w:val="9"/>
    </w:lvl>
    <w:lvl w:ilvl="1">
      <w:lvlJc w:val="left"/>
      <w:lvlText w:val="(%2)"/>
      <w:numFmt w:val="lowerLetter"/>
      <w:start w:val="7"/>
    </w:lvl>
  </w:abstractNum>
  <w:abstractNum w:abstractNumId="298">
    <w:nsid w:val="31A9DB76"/>
    <w:multiLevelType w:val="hybridMultilevel"/>
    <w:lvl w:ilvl="0">
      <w:lvlJc w:val="left"/>
      <w:lvlText w:val="(%1)"/>
      <w:numFmt w:val="lowerLetter"/>
      <w:start w:val="9"/>
    </w:lvl>
    <w:lvl w:ilvl="1">
      <w:lvlJc w:val="left"/>
      <w:lvlText w:val="(%2)"/>
      <w:numFmt w:val="lowerLetter"/>
      <w:start w:val="9"/>
    </w:lvl>
  </w:abstractNum>
  <w:abstractNum w:abstractNumId="299">
    <w:nsid w:val="4C4FFF5B"/>
    <w:multiLevelType w:val="hybridMultilevel"/>
    <w:lvl w:ilvl="0">
      <w:lvlJc w:val="left"/>
      <w:lvlText w:val="(%1)"/>
      <w:numFmt w:val="lowerLetter"/>
      <w:start w:val="1"/>
    </w:lvl>
  </w:abstractNum>
  <w:abstractNum w:abstractNumId="300">
    <w:nsid w:val="51B76675"/>
    <w:multiLevelType w:val="hybridMultilevel"/>
    <w:lvl w:ilvl="0">
      <w:lvlJc w:val="left"/>
      <w:lvlText w:val="(%1)"/>
      <w:numFmt w:val="lowerLetter"/>
      <w:start w:val="3"/>
    </w:lvl>
  </w:abstractNum>
  <w:abstractNum w:abstractNumId="301">
    <w:nsid w:val="59A4BA71"/>
    <w:multiLevelType w:val="hybridMultilevel"/>
    <w:lvl w:ilvl="0">
      <w:lvlJc w:val="left"/>
      <w:lvlText w:val="(%1)"/>
      <w:numFmt w:val="lowerLetter"/>
      <w:start w:val="1"/>
    </w:lvl>
  </w:abstractNum>
  <w:abstractNum w:abstractNumId="302">
    <w:nsid w:val="450B7FB6"/>
    <w:multiLevelType w:val="hybridMultilevel"/>
    <w:lvl w:ilvl="0">
      <w:lvlJc w:val="left"/>
      <w:lvlText w:val="(%1)"/>
      <w:numFmt w:val="lowerLetter"/>
      <w:start w:val="8"/>
    </w:lvl>
  </w:abstractNum>
  <w:abstractNum w:abstractNumId="303">
    <w:nsid w:val="340BF64D"/>
    <w:multiLevelType w:val="hybridMultilevel"/>
    <w:lvl w:ilvl="0">
      <w:lvlJc w:val="left"/>
      <w:lvlText w:val="(%1)"/>
      <w:numFmt w:val="lowerLetter"/>
      <w:start w:val="1"/>
    </w:lvl>
  </w:abstractNum>
  <w:abstractNum w:abstractNumId="304">
    <w:nsid w:val="69454021"/>
    <w:multiLevelType w:val="hybridMultilevel"/>
    <w:lvl w:ilvl="0">
      <w:lvlJc w:val="left"/>
      <w:lvlText w:val="%1"/>
      <w:numFmt w:val="lowerRoman"/>
      <w:start w:val="1"/>
    </w:lvl>
    <w:lvl w:ilvl="1">
      <w:lvlJc w:val="left"/>
      <w:lvlText w:val="(%2)"/>
      <w:numFmt w:val="lowerLetter"/>
      <w:start w:val="6"/>
    </w:lvl>
  </w:abstractNum>
  <w:abstractNum w:abstractNumId="305">
    <w:nsid w:val="49F15C6B"/>
    <w:multiLevelType w:val="hybridMultilevel"/>
    <w:lvl w:ilvl="0">
      <w:lvlJc w:val="left"/>
      <w:lvlText w:val="(%1)"/>
      <w:numFmt w:val="lowerRoman"/>
      <w:start w:val="4"/>
    </w:lvl>
    <w:lvl w:ilvl="1">
      <w:lvlJc w:val="left"/>
      <w:lvlText w:val="(%2)"/>
      <w:numFmt w:val="lowerLetter"/>
      <w:start w:val="7"/>
    </w:lvl>
  </w:abstractNum>
  <w:abstractNum w:abstractNumId="306">
    <w:nsid w:val="75F56228"/>
    <w:multiLevelType w:val="hybridMultilevel"/>
    <w:lvl w:ilvl="0">
      <w:lvlJc w:val="left"/>
      <w:lvlText w:val="(%1)"/>
      <w:numFmt w:val="lowerLetter"/>
      <w:start w:val="1"/>
    </w:lvl>
  </w:abstractNum>
  <w:abstractNum w:abstractNumId="307">
    <w:nsid w:val="1C618271"/>
    <w:multiLevelType w:val="hybridMultilevel"/>
    <w:lvl w:ilvl="0">
      <w:lvlJc w:val="left"/>
      <w:lvlText w:val="(%1)"/>
      <w:numFmt w:val="lowerLetter"/>
      <w:start w:val="1"/>
    </w:lvl>
    <w:lvl w:ilvl="1">
      <w:lvlJc w:val="left"/>
      <w:lvlText w:val="(%2)"/>
      <w:numFmt w:val="lowerRoman"/>
      <w:start w:val="1"/>
    </w:lvl>
  </w:abstractNum>
  <w:abstractNum w:abstractNumId="308">
    <w:nsid w:val="6505F02E"/>
    <w:multiLevelType w:val="hybridMultilevel"/>
    <w:lvl w:ilvl="0">
      <w:lvlJc w:val="left"/>
      <w:lvlText w:val="%1"/>
      <w:numFmt w:val="lowerLetter"/>
      <w:start w:val="1"/>
    </w:lvl>
    <w:lvl w:ilvl="1">
      <w:lvlJc w:val="left"/>
      <w:lvlText w:val="(%2)"/>
      <w:numFmt w:val="lowerRoman"/>
      <w:start w:val="3"/>
    </w:lvl>
  </w:abstractNum>
  <w:abstractNum w:abstractNumId="309">
    <w:nsid w:val="2FE5D025"/>
    <w:multiLevelType w:val="hybridMultilevel"/>
    <w:lvl w:ilvl="0">
      <w:lvlJc w:val="left"/>
      <w:lvlText w:val="(%1)"/>
      <w:numFmt w:val="lowerLetter"/>
      <w:start w:val="2"/>
    </w:lvl>
    <w:lvl w:ilvl="1">
      <w:lvlJc w:val="left"/>
      <w:lvlText w:val="%2"/>
      <w:numFmt w:val="lowerRoman"/>
      <w:start w:val="1"/>
    </w:lvl>
  </w:abstractNum>
  <w:abstractNum w:abstractNumId="310">
    <w:nsid w:val="30E1B1CF"/>
    <w:multiLevelType w:val="hybridMultilevel"/>
    <w:lvl w:ilvl="0">
      <w:lvlJc w:val="left"/>
      <w:lvlText w:val="(%1)"/>
      <w:numFmt w:val="lowerLetter"/>
      <w:start w:val="1"/>
    </w:lvl>
  </w:abstractNum>
  <w:abstractNum w:abstractNumId="311">
    <w:nsid w:val="C7A9237"/>
    <w:multiLevelType w:val="hybridMultilevel"/>
    <w:lvl w:ilvl="0">
      <w:lvlJc w:val="left"/>
      <w:lvlText w:val="(%1)"/>
      <w:numFmt w:val="lowerLetter"/>
      <w:start w:val="4"/>
    </w:lvl>
  </w:abstractNum>
  <w:abstractNum w:abstractNumId="312">
    <w:nsid w:val="676B3580"/>
    <w:multiLevelType w:val="hybridMultilevel"/>
    <w:lvl w:ilvl="0">
      <w:lvlJc w:val="left"/>
      <w:lvlText w:val="(%1)"/>
      <w:numFmt w:val="lowerLetter"/>
      <w:start w:val="1"/>
    </w:lvl>
  </w:abstractNum>
  <w:abstractNum w:abstractNumId="313">
    <w:nsid w:val="3193C8F9"/>
    <w:multiLevelType w:val="hybridMultilevel"/>
    <w:lvl w:ilvl="0">
      <w:lvlJc w:val="left"/>
      <w:lvlText w:val="(%1)"/>
      <w:numFmt w:val="lowerLetter"/>
      <w:start w:val="1"/>
    </w:lvl>
  </w:abstractNum>
  <w:abstractNum w:abstractNumId="314">
    <w:nsid w:val="5FA6C6DC"/>
    <w:multiLevelType w:val="hybridMultilevel"/>
    <w:lvl w:ilvl="0">
      <w:lvlJc w:val="left"/>
      <w:lvlText w:val="(%1)"/>
      <w:numFmt w:val="lowerLetter"/>
      <w:start w:val="1"/>
    </w:lvl>
  </w:abstractNum>
  <w:abstractNum w:abstractNumId="315">
    <w:nsid w:val="77933F62"/>
    <w:multiLevelType w:val="hybridMultilevel"/>
    <w:lvl w:ilvl="0">
      <w:lvlJc w:val="left"/>
      <w:lvlText w:val="%1"/>
      <w:numFmt w:val="upperLetter"/>
      <w:start w:val="1"/>
    </w:lvl>
    <w:lvl w:ilvl="1">
      <w:lvlJc w:val="left"/>
      <w:lvlText w:val="(%2)"/>
      <w:numFmt w:val="lowerLetter"/>
      <w:start w:val="3"/>
    </w:lvl>
  </w:abstractNum>
  <w:abstractNum w:abstractNumId="316">
    <w:nsid w:val="6CB4EE9C"/>
    <w:multiLevelType w:val="hybridMultilevel"/>
    <w:lvl w:ilvl="0">
      <w:lvlJc w:val="left"/>
      <w:lvlText w:val="(%1)"/>
      <w:numFmt w:val="upperLetter"/>
      <w:start w:val="1"/>
    </w:lvl>
    <w:lvl w:ilvl="1">
      <w:lvlJc w:val="left"/>
      <w:lvlText w:val="(%2)"/>
      <w:numFmt w:val="lowerLetter"/>
      <w:start w:val="5"/>
    </w:lvl>
  </w:abstractNum>
  <w:abstractNum w:abstractNumId="317">
    <w:nsid w:val="6A6D56D7"/>
    <w:multiLevelType w:val="hybridMultilevel"/>
    <w:lvl w:ilvl="0">
      <w:lvlJc w:val="left"/>
      <w:lvlText w:val="(%1)"/>
      <w:numFmt w:val="lowerLetter"/>
      <w:start w:val="1"/>
    </w:lvl>
  </w:abstractNum>
  <w:abstractNum w:abstractNumId="318">
    <w:nsid w:val="5B727F19"/>
    <w:multiLevelType w:val="hybridMultilevel"/>
    <w:lvl w:ilvl="0">
      <w:lvlJc w:val="left"/>
      <w:lvlText w:val="(%1)"/>
      <w:numFmt w:val="lowerLetter"/>
      <w:start w:val="2"/>
    </w:lvl>
  </w:abstractNum>
  <w:abstractNum w:abstractNumId="319">
    <w:nsid w:val="514E5CB0"/>
    <w:multiLevelType w:val="hybridMultilevel"/>
    <w:lvl w:ilvl="0">
      <w:lvlJc w:val="left"/>
      <w:lvlText w:val="(%1)"/>
      <w:numFmt w:val="lowerLetter"/>
      <w:start w:val="1"/>
    </w:lvl>
  </w:abstractNum>
  <w:abstractNum w:abstractNumId="320">
    <w:nsid w:val="4210D41E"/>
    <w:multiLevelType w:val="hybridMultilevel"/>
    <w:lvl w:ilvl="0">
      <w:lvlJc w:val="left"/>
      <w:lvlText w:val="(%1)"/>
      <w:numFmt w:val="lowerLetter"/>
      <w:start w:val="1"/>
    </w:lvl>
  </w:abstractNum>
  <w:abstractNum w:abstractNumId="321">
    <w:nsid w:val="4FF4CC6D"/>
    <w:multiLevelType w:val="hybridMultilevel"/>
    <w:lvl w:ilvl="0">
      <w:lvlJc w:val="left"/>
      <w:lvlText w:val="(%1)"/>
      <w:numFmt w:val="lowerLetter"/>
      <w:start w:val="1"/>
    </w:lvl>
  </w:abstractNum>
  <w:abstractNum w:abstractNumId="322">
    <w:nsid w:val="404EAF4A"/>
    <w:multiLevelType w:val="hybridMultilevel"/>
    <w:lvl w:ilvl="0">
      <w:lvlJc w:val="left"/>
      <w:lvlText w:val="(%1)"/>
      <w:numFmt w:val="lowerLetter"/>
      <w:start w:val="1"/>
    </w:lvl>
  </w:abstractNum>
  <w:abstractNum w:abstractNumId="323">
    <w:nsid w:val="4A16874F"/>
    <w:multiLevelType w:val="hybridMultilevel"/>
    <w:lvl w:ilvl="0">
      <w:lvlJc w:val="left"/>
      <w:lvlText w:val="(%1)"/>
      <w:numFmt w:val="lowerLetter"/>
      <w:start w:val="1"/>
    </w:lvl>
  </w:abstractNum>
  <w:abstractNum w:abstractNumId="324">
    <w:nsid w:val="55FEE0D1"/>
    <w:multiLevelType w:val="hybridMultilevel"/>
    <w:lvl w:ilvl="0">
      <w:lvlJc w:val="left"/>
      <w:lvlText w:val="(%1)"/>
      <w:numFmt w:val="lowerLetter"/>
      <w:start w:val="1"/>
    </w:lvl>
  </w:abstractNum>
  <w:abstractNum w:abstractNumId="325">
    <w:nsid w:val="3C5E07C"/>
    <w:multiLevelType w:val="hybridMultilevel"/>
    <w:lvl w:ilvl="0">
      <w:lvlJc w:val="left"/>
      <w:lvlText w:val="(%1)"/>
      <w:numFmt w:val="lowerLetter"/>
      <w:start w:val="1"/>
    </w:lvl>
  </w:abstractNum>
  <w:abstractNum w:abstractNumId="326">
    <w:nsid w:val="60C2D273"/>
    <w:multiLevelType w:val="hybridMultilevel"/>
    <w:lvl w:ilvl="0">
      <w:lvlJc w:val="left"/>
      <w:lvlText w:val="(%1)"/>
      <w:numFmt w:val="lowerLetter"/>
      <w:start w:val="4"/>
    </w:lvl>
  </w:abstractNum>
  <w:abstractNum w:abstractNumId="327">
    <w:nsid w:val="4CC32F1F"/>
    <w:multiLevelType w:val="hybridMultilevel"/>
    <w:lvl w:ilvl="0">
      <w:lvlJc w:val="left"/>
      <w:lvlText w:val="(%1)"/>
      <w:numFmt w:val="lowerLetter"/>
      <w:start w:val="14"/>
    </w:lvl>
  </w:abstractNum>
  <w:abstractNum w:abstractNumId="328">
    <w:nsid w:val="11CAC74A"/>
    <w:multiLevelType w:val="hybridMultilevel"/>
    <w:lvl w:ilvl="0">
      <w:lvlJc w:val="left"/>
      <w:lvlText w:val="(%1)"/>
      <w:numFmt w:val="lowerLetter"/>
      <w:start w:val="25"/>
    </w:lvl>
  </w:abstractNum>
  <w:abstractNum w:abstractNumId="329">
    <w:nsid w:val="126CADE9"/>
    <w:multiLevelType w:val="hybridMultilevel"/>
    <w:lvl w:ilvl="0">
      <w:lvlJc w:val="left"/>
      <w:lvlText w:val="(%1)"/>
      <w:numFmt w:val="lowerLetter"/>
      <w:start w:val="1"/>
    </w:lvl>
  </w:abstractNum>
  <w:abstractNum w:abstractNumId="330">
    <w:nsid w:val="19132E7B"/>
    <w:multiLevelType w:val="hybridMultilevel"/>
    <w:lvl w:ilvl="0">
      <w:lvlJc w:val="left"/>
      <w:lvlText w:val="%1"/>
      <w:numFmt w:val="lowerRoman"/>
      <w:start w:val="1"/>
    </w:lvl>
    <w:lvl w:ilvl="1">
      <w:lvlJc w:val="left"/>
      <w:lvlText w:val="(%2)"/>
      <w:numFmt w:val="lowerLetter"/>
      <w:start w:val="3"/>
    </w:lvl>
  </w:abstractNum>
  <w:abstractNum w:abstractNumId="331">
    <w:nsid w:val="63822DC0"/>
    <w:multiLevelType w:val="hybridMultilevel"/>
    <w:lvl w:ilvl="0">
      <w:lvlJc w:val="left"/>
      <w:lvlText w:val="(%1)"/>
      <w:numFmt w:val="lowerRoman"/>
      <w:start w:val="6"/>
    </w:lvl>
    <w:lvl w:ilvl="1">
      <w:lvlJc w:val="left"/>
      <w:lvlText w:val="(%2)"/>
      <w:numFmt w:val="lowerLetter"/>
      <w:start w:val="9"/>
    </w:lvl>
  </w:abstractNum>
  <w:abstractNum w:abstractNumId="332">
    <w:nsid w:val="6C11685A"/>
    <w:multiLevelType w:val="hybridMultilevel"/>
    <w:lvl w:ilvl="0">
      <w:lvlJc w:val="left"/>
      <w:lvlText w:val="(%1)"/>
      <w:numFmt w:val="lowerLetter"/>
      <w:start w:val="1"/>
    </w:lvl>
    <w:lvl w:ilvl="1">
      <w:lvlJc w:val="left"/>
      <w:lvlText w:val="(%2)"/>
      <w:numFmt w:val="lowerRoman"/>
      <w:start w:val="1"/>
    </w:lvl>
  </w:abstractNum>
  <w:abstractNum w:abstractNumId="333">
    <w:nsid w:val="5E1EAE31"/>
    <w:multiLevelType w:val="hybridMultilevel"/>
    <w:lvl w:ilvl="0">
      <w:lvlJc w:val="left"/>
      <w:lvlText w:val="(%1)"/>
      <w:numFmt w:val="upperLetter"/>
      <w:start w:val="6"/>
    </w:lvl>
    <w:lvl w:ilvl="1">
      <w:lvlJc w:val="left"/>
      <w:lvlText w:val="(%2)"/>
      <w:numFmt w:val="lowerRoman"/>
      <w:start w:val="4"/>
    </w:lvl>
  </w:abstractNum>
  <w:abstractNum w:abstractNumId="334">
    <w:nsid w:val="178E240D"/>
    <w:multiLevelType w:val="hybridMultilevel"/>
    <w:lvl w:ilvl="0">
      <w:lvlJc w:val="left"/>
      <w:lvlText w:val="(%1)"/>
      <w:numFmt w:val="lowerLetter"/>
      <w:start w:val="2"/>
    </w:lvl>
  </w:abstractNum>
  <w:abstractNum w:abstractNumId="335">
    <w:nsid w:val="5556A87B"/>
    <w:multiLevelType w:val="hybridMultilevel"/>
    <w:lvl w:ilvl="0">
      <w:lvlJc w:val="left"/>
      <w:lvlText w:val="(%1)"/>
      <w:numFmt w:val="lowerLetter"/>
      <w:start w:val="3"/>
    </w:lvl>
  </w:abstractNum>
  <w:abstractNum w:abstractNumId="336">
    <w:nsid w:val="28100A9C"/>
    <w:multiLevelType w:val="hybridMultilevel"/>
    <w:lvl w:ilvl="0">
      <w:lvlJc w:val="left"/>
      <w:lvlText w:val="(%1)"/>
      <w:numFmt w:val="lowerLetter"/>
      <w:start w:val="1"/>
    </w:lvl>
  </w:abstractNum>
  <w:abstractNum w:abstractNumId="337">
    <w:nsid w:val="D838636"/>
    <w:multiLevelType w:val="hybridMultilevel"/>
    <w:lvl w:ilvl="0">
      <w:lvlJc w:val="left"/>
      <w:lvlText w:val="(%1)"/>
      <w:numFmt w:val="lowerLetter"/>
      <w:start w:val="2"/>
    </w:lvl>
  </w:abstractNum>
  <w:abstractNum w:abstractNumId="338">
    <w:nsid w:val="71B82AED"/>
    <w:multiLevelType w:val="hybridMultilevel"/>
    <w:lvl w:ilvl="0">
      <w:lvlJc w:val="left"/>
      <w:lvlText w:val="(%1)"/>
      <w:numFmt w:val="lowerLetter"/>
      <w:start w:val="1"/>
    </w:lvl>
  </w:abstractNum>
  <w:abstractNum w:abstractNumId="339">
    <w:nsid w:val="D15FACA"/>
    <w:multiLevelType w:val="hybridMultilevel"/>
    <w:lvl w:ilvl="0">
      <w:lvlJc w:val="left"/>
      <w:lvlText w:val="(%1)"/>
      <w:numFmt w:val="lowerLetter"/>
      <w:start w:val="61"/>
    </w:lvl>
    <w:lvl w:ilvl="1">
      <w:lvlJc w:val="left"/>
      <w:lvlText w:val="(%2)"/>
      <w:numFmt w:val="lowerLetter"/>
      <w:start w:val="4"/>
    </w:lvl>
  </w:abstractNum>
  <w:abstractNum w:abstractNumId="340">
    <w:nsid w:val="3D69565B"/>
    <w:multiLevelType w:val="hybridMultilevel"/>
    <w:lvl w:ilvl="0">
      <w:lvlJc w:val="left"/>
      <w:lvlText w:val="%1"/>
      <w:numFmt w:val="lowerLetter"/>
      <w:start w:val="1"/>
    </w:lvl>
    <w:lvl w:ilvl="1">
      <w:lvlJc w:val="left"/>
      <w:lvlText w:val="(%2)"/>
      <w:numFmt w:val="lowerLetter"/>
      <w:start w:val="1"/>
    </w:lvl>
  </w:abstractNum>
  <w:abstractNum w:abstractNumId="341">
    <w:nsid w:val="2299DCBC"/>
    <w:multiLevelType w:val="hybridMultilevel"/>
    <w:lvl w:ilvl="0">
      <w:lvlJc w:val="left"/>
      <w:lvlText w:val="(%1)"/>
      <w:numFmt w:val="lowerLetter"/>
      <w:start w:val="61"/>
    </w:lvl>
    <w:lvl w:ilvl="1">
      <w:lvlJc w:val="left"/>
      <w:lvlText w:val="(%2)"/>
      <w:numFmt w:val="lowerLetter"/>
      <w:start w:val="2"/>
    </w:lvl>
  </w:abstractNum>
  <w:abstractNum w:abstractNumId="342">
    <w:nsid w:val="19908D02"/>
    <w:multiLevelType w:val="hybridMultilevel"/>
    <w:lvl w:ilvl="0">
      <w:lvlJc w:val="left"/>
      <w:lvlText w:val="(%1)"/>
      <w:numFmt w:val="lowerLetter"/>
      <w:start w:val="1"/>
    </w:lvl>
  </w:abstractNum>
  <w:abstractNum w:abstractNumId="343">
    <w:nsid w:val="24D48BDB"/>
    <w:multiLevelType w:val="hybridMultilevel"/>
    <w:lvl w:ilvl="0">
      <w:lvlJc w:val="left"/>
      <w:lvlText w:val="(%1)"/>
      <w:numFmt w:val="lowerLetter"/>
      <w:start w:val="1"/>
    </w:lvl>
  </w:abstractNum>
  <w:abstractNum w:abstractNumId="344">
    <w:nsid w:val="542DA5B5"/>
    <w:multiLevelType w:val="hybridMultilevel"/>
    <w:lvl w:ilvl="0">
      <w:lvlJc w:val="left"/>
      <w:lvlText w:val="(%1)"/>
      <w:numFmt w:val="lowerLetter"/>
      <w:start w:val="1"/>
    </w:lvl>
  </w:abstractNum>
  <w:abstractNum w:abstractNumId="345">
    <w:nsid w:val="793753DE"/>
    <w:multiLevelType w:val="hybridMultilevel"/>
    <w:lvl w:ilvl="0">
      <w:lvlJc w:val="left"/>
      <w:lvlText w:val="(%1)"/>
      <w:numFmt w:val="lowerLetter"/>
      <w:start w:val="1"/>
    </w:lvl>
  </w:abstractNum>
  <w:abstractNum w:abstractNumId="346">
    <w:nsid w:val="1C67CB3D"/>
    <w:multiLevelType w:val="hybridMultilevel"/>
    <w:lvl w:ilvl="0">
      <w:lvlJc w:val="left"/>
      <w:lvlText w:val="(%1)"/>
      <w:numFmt w:val="lowerLetter"/>
      <w:start w:val="4"/>
    </w:lvl>
  </w:abstractNum>
  <w:abstractNum w:abstractNumId="347">
    <w:nsid w:val="40E29452"/>
    <w:multiLevelType w:val="hybridMultilevel"/>
    <w:lvl w:ilvl="0">
      <w:lvlJc w:val="left"/>
      <w:lvlText w:val="(%1)"/>
      <w:numFmt w:val="lowerLetter"/>
      <w:start w:val="1"/>
    </w:lvl>
  </w:abstractNum>
  <w:abstractNum w:abstractNumId="348">
    <w:nsid w:val="63A4AAB6"/>
    <w:multiLevelType w:val="hybridMultilevel"/>
    <w:lvl w:ilvl="0">
      <w:lvlJc w:val="left"/>
      <w:lvlText w:val="(%1)"/>
      <w:numFmt w:val="lowerLetter"/>
      <w:start w:val="1"/>
    </w:lvl>
  </w:abstractNum>
  <w:abstractNum w:abstractNumId="349">
    <w:nsid w:val="77DA4A57"/>
    <w:multiLevelType w:val="hybridMultilevel"/>
    <w:lvl w:ilvl="0">
      <w:lvlJc w:val="left"/>
      <w:lvlText w:val="(%1)"/>
      <w:numFmt w:val="lowerLetter"/>
      <w:start w:val="2"/>
    </w:lvl>
  </w:abstractNum>
  <w:abstractNum w:abstractNumId="350">
    <w:nsid w:val="1230F102"/>
    <w:multiLevelType w:val="hybridMultilevel"/>
    <w:lvl w:ilvl="0">
      <w:lvlJc w:val="left"/>
      <w:lvlText w:val="(%1)"/>
      <w:numFmt w:val="lowerLetter"/>
      <w:start w:val="1"/>
    </w:lvl>
    <w:lvl w:ilvl="1">
      <w:lvlJc w:val="left"/>
      <w:lvlText w:val="(%2)"/>
      <w:numFmt w:val="lowerRoman"/>
      <w:start w:val="1"/>
    </w:lvl>
  </w:abstractNum>
  <w:abstractNum w:abstractNumId="351">
    <w:nsid w:val="25B57ED4"/>
    <w:multiLevelType w:val="hybridMultilevel"/>
    <w:lvl w:ilvl="0">
      <w:lvlJc w:val="left"/>
      <w:lvlText w:val="%1"/>
      <w:numFmt w:val="lowerLetter"/>
      <w:start w:val="1"/>
    </w:lvl>
    <w:lvl w:ilvl="1">
      <w:lvlJc w:val="left"/>
      <w:lvlText w:val="(%2)"/>
      <w:numFmt w:val="lowerLetter"/>
      <w:start w:val="1"/>
    </w:lvl>
  </w:abstractNum>
  <w:abstractNum w:abstractNumId="352">
    <w:nsid w:val="47CF16C4"/>
    <w:multiLevelType w:val="hybridMultilevel"/>
    <w:lvl w:ilvl="0">
      <w:lvlJc w:val="left"/>
      <w:lvlText w:val="(%1)"/>
      <w:numFmt w:val="lowerLetter"/>
      <w:start w:val="35"/>
    </w:lvl>
    <w:lvl w:ilvl="1">
      <w:lvlJc w:val="left"/>
      <w:lvlText w:val="%2"/>
      <w:numFmt w:val="lowerLetter"/>
      <w:start w:val="1"/>
    </w:lvl>
  </w:abstractNum>
  <w:abstractNum w:abstractNumId="353">
    <w:nsid w:val="527FA04C"/>
    <w:multiLevelType w:val="hybridMultilevel"/>
    <w:lvl w:ilvl="0">
      <w:lvlJc w:val="left"/>
      <w:lvlText w:val="(%1)"/>
      <w:numFmt w:val="lowerLetter"/>
      <w:start w:val="1"/>
    </w:lvl>
  </w:abstractNum>
  <w:abstractNum w:abstractNumId="354">
    <w:nsid w:val="6FCC0624"/>
    <w:multiLevelType w:val="hybridMultilevel"/>
    <w:lvl w:ilvl="0">
      <w:lvlJc w:val="left"/>
      <w:lvlText w:val="(%1)"/>
      <w:numFmt w:val="lowerLetter"/>
      <w:start w:val="1"/>
    </w:lvl>
  </w:abstractNum>
  <w:abstractNum w:abstractNumId="355">
    <w:nsid w:val="1DCDF795"/>
    <w:multiLevelType w:val="hybridMultilevel"/>
    <w:lvl w:ilvl="0">
      <w:lvlJc w:val="left"/>
      <w:lvlText w:val="(%1)"/>
      <w:numFmt w:val="lowerLetter"/>
      <w:start w:val="6"/>
    </w:lvl>
    <w:lvl w:ilvl="1">
      <w:lvlJc w:val="left"/>
      <w:lvlText w:val="(%2)"/>
      <w:numFmt w:val="lowerLetter"/>
      <w:start w:val="9"/>
    </w:lvl>
  </w:abstractNum>
  <w:abstractNum w:abstractNumId="356">
    <w:nsid w:val="564580C8"/>
    <w:multiLevelType w:val="hybridMultilevel"/>
    <w:lvl w:ilvl="0">
      <w:lvlJc w:val="left"/>
      <w:lvlText w:val="(%1)"/>
      <w:numFmt w:val="lowerLetter"/>
      <w:start w:val="1"/>
    </w:lvl>
  </w:abstractNum>
  <w:abstractNum w:abstractNumId="357">
    <w:nsid w:val="508ED897"/>
    <w:multiLevelType w:val="hybridMultilevel"/>
    <w:lvl w:ilvl="0">
      <w:lvlJc w:val="left"/>
      <w:lvlText w:val="(%1)"/>
      <w:numFmt w:val="lowerLetter"/>
      <w:start w:val="1"/>
    </w:lvl>
  </w:abstractNum>
  <w:abstractNum w:abstractNumId="358">
    <w:nsid w:val="6A9126B5"/>
    <w:multiLevelType w:val="hybridMultilevel"/>
    <w:lvl w:ilvl="0">
      <w:lvlJc w:val="left"/>
      <w:lvlText w:val="(%1)"/>
      <w:numFmt w:val="lowerLetter"/>
      <w:start w:val="1"/>
    </w:lvl>
  </w:abstractNum>
  <w:abstractNum w:abstractNumId="359">
    <w:nsid w:val="68104812"/>
    <w:multiLevelType w:val="hybridMultilevel"/>
    <w:lvl w:ilvl="0">
      <w:lvlJc w:val="left"/>
      <w:lvlText w:val="(%1)"/>
      <w:numFmt w:val="lowerLetter"/>
      <w:start w:val="1"/>
    </w:lvl>
  </w:abstractNum>
  <w:abstractNum w:abstractNumId="360">
    <w:nsid w:val="62FB8680"/>
    <w:multiLevelType w:val="hybridMultilevel"/>
    <w:lvl w:ilvl="0">
      <w:lvlJc w:val="left"/>
      <w:lvlText w:val="(%1)"/>
      <w:numFmt w:val="lowerLetter"/>
      <w:start w:val="2"/>
    </w:lvl>
  </w:abstractNum>
  <w:abstractNum w:abstractNumId="361">
    <w:nsid w:val="3A45530"/>
    <w:multiLevelType w:val="hybridMultilevel"/>
    <w:lvl w:ilvl="0">
      <w:lvlJc w:val="left"/>
      <w:lvlText w:val="(%1)"/>
      <w:numFmt w:val="lowerLetter"/>
      <w:start w:val="1"/>
    </w:lvl>
  </w:abstractNum>
  <w:abstractNum w:abstractNumId="362">
    <w:nsid w:val="4B9275D2"/>
    <w:multiLevelType w:val="hybridMultilevel"/>
    <w:lvl w:ilvl="0">
      <w:lvlJc w:val="left"/>
      <w:lvlText w:val="(%1)"/>
      <w:numFmt w:val="lowerRoman"/>
      <w:start w:val="2"/>
    </w:lvl>
  </w:abstractNum>
  <w:abstractNum w:abstractNumId="363">
    <w:nsid w:val="4F0CEEDB"/>
    <w:multiLevelType w:val="hybridMultilevel"/>
    <w:lvl w:ilvl="0">
      <w:lvlJc w:val="left"/>
      <w:lvlText w:val="(%1)"/>
      <w:numFmt w:val="lowerRoman"/>
      <w:start w:val="7"/>
    </w:lvl>
  </w:abstractNum>
  <w:abstractNum w:abstractNumId="364">
    <w:nsid w:val="61C30361"/>
    <w:multiLevelType w:val="hybridMultilevel"/>
    <w:lvl w:ilvl="0">
      <w:lvlJc w:val="left"/>
      <w:lvlText w:val="(%1)"/>
      <w:numFmt w:val="lowerRoman"/>
      <w:start w:val="3"/>
    </w:lvl>
  </w:abstractNum>
  <w:abstractNum w:abstractNumId="365">
    <w:nsid w:val="632099E0"/>
    <w:multiLevelType w:val="hybridMultilevel"/>
    <w:lvl w:ilvl="0">
      <w:lvlJc w:val="left"/>
      <w:lvlText w:val="(%1)"/>
      <w:numFmt w:val="lowerLetter"/>
      <w:start w:val="1"/>
    </w:lvl>
    <w:lvl w:ilvl="1">
      <w:lvlJc w:val="left"/>
      <w:lvlText w:val="(%2)"/>
      <w:numFmt w:val="lowerLetter"/>
      <w:start w:val="9"/>
    </w:lvl>
  </w:abstractNum>
  <w:abstractNum w:abstractNumId="366">
    <w:nsid w:val="24639756"/>
    <w:multiLevelType w:val="hybridMultilevel"/>
    <w:lvl w:ilvl="0">
      <w:lvlJc w:val="left"/>
      <w:lvlText w:val="%1."/>
      <w:numFmt w:val="decimal"/>
      <w:start w:val="1"/>
    </w:lvl>
  </w:abstractNum>
  <w:abstractNum w:abstractNumId="367">
    <w:nsid w:val="9D30DFD"/>
    <w:multiLevelType w:val="hybridMultilevel"/>
    <w:lvl w:ilvl="0">
      <w:lvlJc w:val="left"/>
      <w:lvlText w:val="%1."/>
      <w:numFmt w:val="decimal"/>
      <w:start w:val="1"/>
    </w:lvl>
  </w:abstractNum>
  <w:abstractNum w:abstractNumId="368">
    <w:nsid w:val="70A42016"/>
    <w:multiLevelType w:val="hybridMultilevel"/>
    <w:lvl w:ilvl="0">
      <w:lvlJc w:val="left"/>
      <w:lvlText w:val="%1."/>
      <w:numFmt w:val="decimal"/>
      <w:start w:val="1"/>
    </w:lvl>
  </w:abstractNum>
  <w:abstractNum w:abstractNumId="369">
    <w:nsid w:val="161BC243"/>
    <w:multiLevelType w:val="hybridMultilevel"/>
    <w:lvl w:ilvl="0">
      <w:lvlJc w:val="left"/>
      <w:lvlText w:val="%1."/>
      <w:numFmt w:val="decimal"/>
      <w:start w:val="4"/>
    </w:lvl>
  </w:abstractNum>
  <w:abstractNum w:abstractNumId="370">
    <w:nsid w:val="16E908C8"/>
    <w:multiLevelType w:val="hybridMultilevel"/>
    <w:lvl w:ilvl="0">
      <w:lvlJc w:val="left"/>
      <w:lvlText w:val="%1."/>
      <w:numFmt w:val="decimal"/>
      <w:start w:val="1"/>
    </w:lvl>
  </w:abstractNum>
  <w:abstractNum w:abstractNumId="371">
    <w:nsid w:val="2E0D7671"/>
    <w:multiLevelType w:val="hybridMultilevel"/>
    <w:lvl w:ilvl="0">
      <w:lvlJc w:val="left"/>
      <w:lvlText w:val="%1."/>
      <w:numFmt w:val="decimal"/>
      <w:start w:val="1"/>
    </w:lvl>
  </w:abstractNum>
  <w:abstractNum w:abstractNumId="372">
    <w:nsid w:val="38B59EFF"/>
    <w:multiLevelType w:val="hybridMultilevel"/>
    <w:lvl w:ilvl="0">
      <w:lvlJc w:val="left"/>
      <w:lvlText w:val="%1."/>
      <w:numFmt w:val="decimal"/>
      <w:start w:val="2"/>
    </w:lvl>
  </w:abstractNum>
  <w:abstractNum w:abstractNumId="373">
    <w:nsid w:val="307995CA"/>
    <w:multiLevelType w:val="hybridMultilevel"/>
    <w:lvl w:ilvl="0">
      <w:lvlJc w:val="left"/>
      <w:lvlText w:val="(%1)"/>
      <w:numFmt w:val="decimal"/>
      <w:start w:val="60"/>
    </w:lvl>
  </w:abstractNum>
  <w:abstractNum w:abstractNumId="374">
    <w:nsid w:val="52E2024D"/>
    <w:multiLevelType w:val="hybridMultilevel"/>
    <w:lvl w:ilvl="0">
      <w:lvlJc w:val="left"/>
      <w:lvlText w:val="(%1)"/>
      <w:numFmt w:val="lowerLetter"/>
      <w:start w:val="1"/>
    </w:lvl>
  </w:abstractNum>
  <w:abstractNum w:abstractNumId="375">
    <w:nsid w:val="CE344B5"/>
    <w:multiLevelType w:val="hybridMultilevel"/>
    <w:lvl w:ilvl="0">
      <w:lvlJc w:val="left"/>
      <w:lvlText w:val="(%1)"/>
      <w:numFmt w:val="lowerLetter"/>
      <w:start w:val="2"/>
    </w:lvl>
    <w:lvl w:ilvl="1">
      <w:lvlJc w:val="left"/>
      <w:lvlText w:val="(%2)"/>
      <w:numFmt w:val="lowerRoman"/>
      <w:start w:val="1"/>
    </w:lvl>
  </w:abstractNum>
  <w:abstractNum w:abstractNumId="376">
    <w:nsid w:val="29B0E9A8"/>
    <w:multiLevelType w:val="hybridMultilevel"/>
    <w:lvl w:ilvl="0">
      <w:lvlJc w:val="left"/>
      <w:lvlText w:val="(%1)"/>
      <w:numFmt w:val="lowerLetter"/>
      <w:start w:val="3"/>
    </w:lvl>
    <w:lvl w:ilvl="1">
      <w:lvlJc w:val="left"/>
      <w:lvlText w:val="(%2)"/>
      <w:numFmt w:val="lowerRoman"/>
      <w:start w:val="1"/>
    </w:lvl>
  </w:abstractNum>
  <w:abstractNum w:abstractNumId="377">
    <w:nsid w:val="6F49CD8A"/>
    <w:multiLevelType w:val="hybridMultilevel"/>
    <w:lvl w:ilvl="0">
      <w:lvlJc w:val="left"/>
      <w:lvlText w:val="%1"/>
      <w:numFmt w:val="lowerLetter"/>
      <w:start w:val="1"/>
    </w:lvl>
    <w:lvl w:ilvl="1">
      <w:lvlJc w:val="left"/>
      <w:lvlText w:val="(%2)"/>
      <w:numFmt w:val="lowerRoman"/>
      <w:start w:val="6"/>
    </w:lvl>
  </w:abstractNum>
  <w:abstractNum w:abstractNumId="378">
    <w:nsid w:val="4DC5D907"/>
    <w:multiLevelType w:val="hybridMultilevel"/>
    <w:lvl w:ilvl="0">
      <w:lvlJc w:val="left"/>
      <w:lvlText w:val="(%1)"/>
      <w:numFmt w:val="lowerLetter"/>
      <w:start w:val="4"/>
    </w:lvl>
    <w:lvl w:ilvl="1">
      <w:lvlJc w:val="left"/>
      <w:lvlText w:val="(%2)"/>
      <w:numFmt w:val="lowerRoman"/>
      <w:start w:val="1"/>
    </w:lvl>
  </w:abstractNum>
  <w:abstractNum w:abstractNumId="379">
    <w:nsid w:val="D55945E"/>
    <w:multiLevelType w:val="hybridMultilevel"/>
    <w:lvl w:ilvl="0">
      <w:lvlJc w:val="left"/>
      <w:lvlText w:val="(%1)"/>
      <w:numFmt w:val="lowerRoman"/>
      <w:start w:val="4"/>
    </w:lvl>
  </w:abstractNum>
  <w:abstractNum w:abstractNumId="380">
    <w:nsid w:val="672417E1"/>
    <w:multiLevelType w:val="hybridMultilevel"/>
    <w:lvl w:ilvl="0">
      <w:lvlJc w:val="left"/>
      <w:lvlText w:val="(%1)"/>
      <w:numFmt w:val="lowerRoman"/>
      <w:start w:val="8"/>
    </w:lvl>
  </w:abstractNum>
  <w:abstractNum w:abstractNumId="381">
    <w:nsid w:val="5FF6CA09"/>
    <w:multiLevelType w:val="hybridMultilevel"/>
    <w:lvl w:ilvl="0">
      <w:lvlJc w:val="left"/>
      <w:lvlText w:val="(%1)"/>
      <w:numFmt w:val="lowerLetter"/>
      <w:start w:val="6"/>
    </w:lvl>
  </w:abstractNum>
  <w:abstractNum w:abstractNumId="382">
    <w:nsid w:val="330B13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83">
    <w:nsid w:val="2EF32EA6"/>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384">
    <w:nsid w:val="32766A55"/>
    <w:multiLevelType w:val="hybridMultilevel"/>
    <w:lvl w:ilvl="0">
      <w:lvlJc w:val="left"/>
      <w:lvlText w:val="(%1)"/>
      <w:numFmt w:val="upperLetter"/>
      <w:start w:val="2"/>
    </w:lvl>
  </w:abstractNum>
  <w:abstractNum w:abstractNumId="385">
    <w:nsid w:val="22D71957"/>
    <w:multiLevelType w:val="hybridMultilevel"/>
    <w:lvl w:ilvl="0">
      <w:lvlJc w:val="left"/>
      <w:lvlText w:val="(%1)"/>
      <w:numFmt w:val="lowerLetter"/>
      <w:start w:val="1"/>
    </w:lvl>
  </w:abstractNum>
  <w:abstractNum w:abstractNumId="386">
    <w:nsid w:val="4CC1263B"/>
    <w:multiLevelType w:val="hybridMultilevel"/>
    <w:lvl w:ilvl="0">
      <w:lvlJc w:val="left"/>
      <w:lvlText w:val="%1."/>
      <w:numFmt w:val="decimal"/>
      <w:start w:val="1"/>
    </w:lvl>
  </w:abstractNum>
  <w:abstractNum w:abstractNumId="387">
    <w:nsid w:val="8BBEB1D"/>
    <w:multiLevelType w:val="hybridMultilevel"/>
    <w:lvl w:ilvl="0">
      <w:lvlJc w:val="left"/>
      <w:lvlText w:val="%1."/>
      <w:numFmt w:val="decimal"/>
      <w:start w:val="3"/>
    </w:lvl>
  </w:abstractNum>
  <w:abstractNum w:abstractNumId="388">
    <w:nsid w:val="7365F1EE"/>
    <w:multiLevelType w:val="hybridMultilevel"/>
    <w:lvl w:ilvl="0">
      <w:lvlJc w:val="left"/>
      <w:lvlText w:val="(%1)"/>
      <w:numFmt w:val="lowerLetter"/>
      <w:start w:val="1"/>
    </w:lvl>
  </w:abstractNum>
  <w:abstractNum w:abstractNumId="389">
    <w:nsid w:val="37524CF0"/>
    <w:multiLevelType w:val="hybridMultilevel"/>
    <w:lvl w:ilvl="0">
      <w:lvlJc w:val="left"/>
      <w:lvlText w:val="(%1)"/>
      <w:numFmt w:val="lowerLetter"/>
      <w:start w:val="12"/>
    </w:lvl>
  </w:abstractNum>
  <w:abstractNum w:abstractNumId="390">
    <w:nsid w:val="70CC332F"/>
    <w:multiLevelType w:val="hybridMultilevel"/>
    <w:lvl w:ilvl="0">
      <w:lvlJc w:val="left"/>
      <w:lvlText w:val="%1."/>
      <w:numFmt w:val="decimal"/>
      <w:start w:val="5"/>
    </w:lvl>
  </w:abstractNum>
  <w:abstractNum w:abstractNumId="391">
    <w:nsid w:val="5661786E"/>
    <w:multiLevelType w:val="hybridMultilevel"/>
    <w:lvl w:ilvl="0">
      <w:lvlJc w:val="left"/>
      <w:lvlText w:val="(%1)"/>
      <w:numFmt w:val="lowerLetter"/>
      <w:start w:val="1"/>
    </w:lvl>
  </w:abstractNum>
  <w:abstractNum w:abstractNumId="392">
    <w:nsid w:val="3AF6A220"/>
    <w:multiLevelType w:val="hybridMultilevel"/>
    <w:lvl w:ilvl="0">
      <w:lvlJc w:val="left"/>
      <w:lvlText w:val="%1."/>
      <w:numFmt w:val="decimal"/>
      <w:start w:val="6"/>
    </w:lvl>
  </w:abstractNum>
  <w:abstractNum w:abstractNumId="393">
    <w:nsid w:val="3C5EA902"/>
    <w:multiLevelType w:val="hybridMultilevel"/>
    <w:lvl w:ilvl="0">
      <w:lvlJc w:val="left"/>
      <w:lvlText w:val="%1."/>
      <w:numFmt w:val="decimal"/>
      <w:start w:val="7"/>
    </w:lvl>
  </w:abstractNum>
  <w:abstractNum w:abstractNumId="394">
    <w:nsid w:val="256E6749"/>
    <w:multiLevelType w:val="hybridMultilevel"/>
    <w:lvl w:ilvl="0">
      <w:lvlJc w:val="left"/>
      <w:lvlText w:val="%1."/>
      <w:numFmt w:val="decimal"/>
      <w:start w:val="8"/>
    </w:lvl>
  </w:abstractNum>
  <w:abstractNum w:abstractNumId="395">
    <w:nsid w:val="1CB9A581"/>
    <w:multiLevelType w:val="hybridMultilevel"/>
    <w:lvl w:ilvl="0">
      <w:lvlJc w:val="left"/>
      <w:lvlText w:val="%1."/>
      <w:numFmt w:val="decimal"/>
      <w:start w:val="9"/>
    </w:lvl>
  </w:abstractNum>
  <w:abstractNum w:abstractNumId="396">
    <w:nsid w:val="1F7F42E2"/>
    <w:multiLevelType w:val="hybridMultilevel"/>
    <w:lvl w:ilvl="0">
      <w:lvlJc w:val="left"/>
      <w:lvlText w:val="(%1)"/>
      <w:numFmt w:val="lowerLetter"/>
      <w:start w:val="2"/>
    </w:lvl>
  </w:abstractNum>
  <w:abstractNum w:abstractNumId="397">
    <w:nsid w:val="49D1FEA0"/>
    <w:multiLevelType w:val="hybridMultilevel"/>
    <w:lvl w:ilvl="0">
      <w:lvlJc w:val="left"/>
      <w:lvlText w:val="%1."/>
      <w:numFmt w:val="decimal"/>
      <w:start w:val="10"/>
    </w:lvl>
  </w:abstractNum>
  <w:abstractNum w:abstractNumId="398">
    <w:nsid w:val="268CB37F"/>
    <w:multiLevelType w:val="hybridMultilevel"/>
    <w:lvl w:ilvl="0">
      <w:lvlJc w:val="left"/>
      <w:lvlText w:val="(%1)"/>
      <w:numFmt w:val="lowerLetter"/>
      <w:start w:val="1"/>
    </w:lvl>
  </w:abstractNum>
  <w:abstractNum w:abstractNumId="399">
    <w:nsid w:val="102362F8"/>
    <w:multiLevelType w:val="hybridMultilevel"/>
    <w:lvl w:ilvl="0">
      <w:lvlJc w:val="left"/>
      <w:lvlText w:val="%1."/>
      <w:numFmt w:val="decimal"/>
      <w:start w:val="11"/>
    </w:lvl>
    <w:lvl w:ilvl="1">
      <w:lvlJc w:val="left"/>
      <w:lvlText w:val="(%2)"/>
      <w:numFmt w:val="lowerLetter"/>
      <w:start w:val="1"/>
    </w:lvl>
  </w:abstractNum>
  <w:abstractNum w:abstractNumId="400">
    <w:nsid w:val="5FEDC0E3"/>
    <w:multiLevelType w:val="hybridMultilevel"/>
    <w:lvl w:ilvl="0">
      <w:lvlJc w:val="left"/>
      <w:lvlText w:val="%1."/>
      <w:numFmt w:val="decimal"/>
      <w:start w:val="12"/>
    </w:lvl>
  </w:abstractNum>
  <w:abstractNum w:abstractNumId="401">
    <w:nsid w:val="3D75BC47"/>
    <w:multiLevelType w:val="hybridMultilevel"/>
    <w:lvl w:ilvl="0">
      <w:lvlJc w:val="left"/>
      <w:lvlText w:val="%1."/>
      <w:numFmt w:val="decimal"/>
      <w:start w:val="13"/>
    </w:lvl>
  </w:abstractNum>
  <w:abstractNum w:abstractNumId="402">
    <w:nsid w:val="3E30D969"/>
    <w:multiLevelType w:val="hybridMultilevel"/>
    <w:lvl w:ilvl="0">
      <w:lvlJc w:val="left"/>
      <w:lvlText w:val="%1."/>
      <w:numFmt w:val="decimal"/>
      <w:start w:val="14"/>
    </w:lvl>
  </w:abstractNum>
  <w:abstractNum w:abstractNumId="403">
    <w:nsid w:val="18A35FE3"/>
    <w:multiLevelType w:val="hybridMultilevel"/>
    <w:lvl w:ilvl="0">
      <w:lvlJc w:val="left"/>
      <w:lvlText w:val="(%1)"/>
      <w:numFmt w:val="lowerLetter"/>
      <w:start w:val="3"/>
    </w:lvl>
    <w:lvl w:ilvl="1">
      <w:lvlJc w:val="left"/>
      <w:lvlText w:val="%2."/>
      <w:numFmt w:val="decimal"/>
      <w:start w:val="15"/>
    </w:lvl>
  </w:abstractNum>
  <w:abstractNum w:abstractNumId="404">
    <w:nsid w:val="6DEF5211"/>
    <w:multiLevelType w:val="hybridMultilevel"/>
    <w:lvl w:ilvl="0">
      <w:lvlJc w:val="left"/>
      <w:lvlText w:val="%1."/>
      <w:numFmt w:val="decimal"/>
      <w:start w:val="16"/>
    </w:lvl>
  </w:abstractNum>
  <w:abstractNum w:abstractNumId="405">
    <w:nsid w:val="1112DBB6"/>
    <w:multiLevelType w:val="hybridMultilevel"/>
    <w:lvl w:ilvl="0">
      <w:lvlJc w:val="left"/>
      <w:lvlText w:val="%1."/>
      <w:numFmt w:val="decimal"/>
      <w:start w:val="18"/>
    </w:lvl>
  </w:abstractNum>
  <w:abstractNum w:abstractNumId="406">
    <w:nsid w:val="2586A498"/>
    <w:multiLevelType w:val="hybridMultilevel"/>
    <w:lvl w:ilvl="0">
      <w:lvlJc w:val="left"/>
      <w:lvlText w:val="(%1)"/>
      <w:numFmt w:val="lowerLetter"/>
      <w:start w:val="1"/>
    </w:lvl>
  </w:abstractNum>
  <w:abstractNum w:abstractNumId="407">
    <w:nsid w:val="17A03BB9"/>
    <w:multiLevelType w:val="hybridMultilevel"/>
    <w:lvl w:ilvl="0">
      <w:lvlJc w:val="left"/>
      <w:lvlText w:val="(%1)"/>
      <w:numFmt w:val="lowerLetter"/>
      <w:start w:val="5"/>
    </w:lvl>
  </w:abstractNum>
  <w:abstractNum w:abstractNumId="408">
    <w:nsid w:val="5CA941"/>
    <w:multiLevelType w:val="hybridMultilevel"/>
    <w:lvl w:ilvl="0">
      <w:lvlJc w:val="left"/>
      <w:lvlText w:val="%1."/>
      <w:numFmt w:val="decimal"/>
      <w:start w:val="22"/>
    </w:lvl>
  </w:abstractNum>
  <w:abstractNum w:abstractNumId="409">
    <w:nsid w:val="734C7D9F"/>
    <w:multiLevelType w:val="hybridMultilevel"/>
    <w:lvl w:ilvl="0">
      <w:lvlJc w:val="left"/>
      <w:lvlText w:val="%1."/>
      <w:numFmt w:val="decimal"/>
      <w:start w:val="25"/>
    </w:lvl>
  </w:abstractNum>
  <w:abstractNum w:abstractNumId="410">
    <w:nsid w:val="24F5D018"/>
    <w:multiLevelType w:val="hybridMultilevel"/>
    <w:lvl w:ilvl="0">
      <w:lvlJc w:val="left"/>
      <w:lvlText w:val="(%1)"/>
      <w:numFmt w:val="lowerLetter"/>
      <w:start w:val="1"/>
    </w:lvl>
  </w:abstractNum>
  <w:abstractNum w:abstractNumId="411">
    <w:nsid w:val="6780C122"/>
    <w:multiLevelType w:val="hybridMultilevel"/>
    <w:lvl w:ilvl="0">
      <w:lvlJc w:val="left"/>
      <w:lvlText w:val="(%1)"/>
      <w:numFmt w:val="lowerLetter"/>
      <w:start w:val="1"/>
    </w:lvl>
  </w:abstractNum>
  <w:abstractNum w:abstractNumId="412">
    <w:nsid w:val="534347A8"/>
    <w:multiLevelType w:val="hybridMultilevel"/>
    <w:lvl w:ilvl="0">
      <w:lvlJc w:val="left"/>
      <w:lvlText w:val="(%1)"/>
      <w:numFmt w:val="lowerLetter"/>
      <w:start w:val="1"/>
    </w:lvl>
  </w:abstractNum>
  <w:abstractNum w:abstractNumId="413">
    <w:nsid w:val="5800E34B"/>
    <w:multiLevelType w:val="hybridMultilevel"/>
    <w:lvl w:ilvl="0">
      <w:lvlJc w:val="left"/>
      <w:lvlText w:val="(%1)"/>
      <w:numFmt w:val="lowerLetter"/>
      <w:start w:val="19"/>
    </w:lvl>
  </w:abstractNum>
  <w:abstractNum w:abstractNumId="414">
    <w:nsid w:val="1673EFC8"/>
    <w:multiLevelType w:val="hybridMultilevel"/>
    <w:lvl w:ilvl="0">
      <w:lvlJc w:val="left"/>
      <w:lvlText w:val="(%1)"/>
      <w:numFmt w:val="lowerLetter"/>
      <w:start w:val="27"/>
    </w:lvl>
  </w:abstractNum>
  <w:abstractNum w:abstractNumId="415">
    <w:nsid w:val="5B9B1FD"/>
    <w:multiLevelType w:val="hybridMultilevel"/>
    <w:lvl w:ilvl="0">
      <w:lvlJc w:val="left"/>
      <w:lvlText w:val="%1."/>
      <w:numFmt w:val="decimal"/>
      <w:start w:val="29"/>
    </w:lvl>
  </w:abstractNum>
  <w:abstractNum w:abstractNumId="416">
    <w:nsid w:val="7AD7FCA2"/>
    <w:multiLevelType w:val="hybridMultilevel"/>
    <w:lvl w:ilvl="0">
      <w:lvlJc w:val="left"/>
      <w:lvlText w:val="%1."/>
      <w:numFmt w:val="decimal"/>
      <w:start w:val="1"/>
    </w:lvl>
  </w:abstractNum>
  <w:abstractNum w:abstractNumId="417">
    <w:nsid w:val="63351604"/>
    <w:multiLevelType w:val="hybridMultilevel"/>
    <w:lvl w:ilvl="0">
      <w:lvlJc w:val="left"/>
      <w:lvlText w:val="%1."/>
      <w:numFmt w:val="decimal"/>
      <w:start w:val="3"/>
    </w:lvl>
  </w:abstractNum>
  <w:abstractNum w:abstractNumId="418">
    <w:nsid w:val="E759D1A"/>
    <w:multiLevelType w:val="hybridMultilevel"/>
    <w:lvl w:ilvl="0">
      <w:lvlJc w:val="left"/>
      <w:lvlText w:val="%1."/>
      <w:numFmt w:val="decimal"/>
      <w:start w:val="4"/>
    </w:lvl>
    <w:lvl w:ilvl="1">
      <w:lvlJc w:val="left"/>
      <w:lvlText w:val="(%2)"/>
      <w:numFmt w:val="lowerLetter"/>
      <w:start w:val="1"/>
    </w:lvl>
  </w:abstractNum>
  <w:abstractNum w:abstractNumId="419">
    <w:nsid w:val="6E3DEE90"/>
    <w:multiLevelType w:val="hybridMultilevel"/>
    <w:lvl w:ilvl="0">
      <w:lvlJc w:val="left"/>
      <w:lvlText w:val="%1"/>
      <w:numFmt w:val="decimal"/>
      <w:start w:val="1"/>
    </w:lvl>
    <w:lvl w:ilvl="1">
      <w:lvlJc w:val="left"/>
      <w:lvlText w:val="(%2)"/>
      <w:numFmt w:val="lowerLetter"/>
      <w:start w:val="9"/>
    </w:lvl>
  </w:abstractNum>
  <w:abstractNum w:abstractNumId="420">
    <w:nsid w:val="1A8762F4"/>
    <w:multiLevelType w:val="hybridMultilevel"/>
    <w:lvl w:ilvl="0">
      <w:lvlJc w:val="left"/>
      <w:lvlText w:val="%1."/>
      <w:numFmt w:val="decimal"/>
      <w:start w:val="5"/>
    </w:lvl>
    <w:lvl w:ilvl="1">
      <w:lvlJc w:val="left"/>
      <w:lvlText w:val="(%2)"/>
      <w:numFmt w:val="lowerLetter"/>
      <w:start w:val="1"/>
    </w:lvl>
  </w:abstractNum>
  <w:abstractNum w:abstractNumId="421">
    <w:nsid w:val="7F41D049"/>
    <w:multiLevelType w:val="hybridMultilevel"/>
    <w:lvl w:ilvl="0">
      <w:lvlJc w:val="left"/>
      <w:lvlText w:val="%1."/>
      <w:numFmt w:val="decimal"/>
      <w:start w:val="6"/>
    </w:lvl>
    <w:lvl w:ilvl="1">
      <w:lvlJc w:val="left"/>
      <w:lvlText w:val="(%2)"/>
      <w:numFmt w:val="lowerLetter"/>
      <w:start w:val="1"/>
    </w:lvl>
  </w:abstractNum>
  <w:abstractNum w:abstractNumId="422">
    <w:nsid w:val="449F66FE"/>
    <w:multiLevelType w:val="hybridMultilevel"/>
    <w:lvl w:ilvl="0">
      <w:lvlJc w:val="left"/>
      <w:lvlText w:val="(%1)"/>
      <w:numFmt w:val="lowerLetter"/>
      <w:start w:val="2"/>
    </w:lvl>
  </w:abstractNum>
  <w:abstractNum w:abstractNumId="423">
    <w:nsid w:val="557E051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24">
    <w:nsid w:val="3BA0794B"/>
    <w:multiLevelType w:val="hybridMultilevel"/>
    <w:lvl w:ilvl="0">
      <w:lvlJc w:val="left"/>
      <w:lvlText w:val="%1"/>
      <w:numFmt w:val="decimal"/>
      <w:start w:val="1"/>
    </w:lvl>
    <w:lvl w:ilvl="1">
      <w:lvlJc w:val="left"/>
      <w:lvlText w:val="(%2)"/>
      <w:numFmt w:val="lowerLetter"/>
      <w:start w:val="2"/>
    </w:lvl>
  </w:abstractNum>
  <w:abstractNum w:abstractNumId="425">
    <w:nsid w:val="6A0DCE48"/>
    <w:multiLevelType w:val="hybridMultilevel"/>
    <w:lvl w:ilvl="0">
      <w:lvlJc w:val="left"/>
      <w:lvlText w:val="%1."/>
      <w:numFmt w:val="decimal"/>
      <w:start w:val="11"/>
    </w:lvl>
    <w:lvl w:ilvl="1">
      <w:lvlJc w:val="left"/>
      <w:lvlText w:val="(%2)"/>
      <w:numFmt w:val="lowerLetter"/>
      <w:start w:val="1"/>
    </w:lvl>
  </w:abstractNum>
  <w:abstractNum w:abstractNumId="426">
    <w:nsid w:val="7237AA96"/>
    <w:multiLevelType w:val="hybridMultilevel"/>
    <w:lvl w:ilvl="0">
      <w:lvlJc w:val="left"/>
      <w:lvlText w:val="%1"/>
      <w:numFmt w:val="decimal"/>
      <w:start w:val="1"/>
    </w:lvl>
    <w:lvl w:ilvl="1">
      <w:lvlJc w:val="left"/>
      <w:lvlText w:val="(%2)"/>
      <w:numFmt w:val="lowerLetter"/>
      <w:start w:val="3"/>
    </w:lvl>
  </w:abstractNum>
  <w:abstractNum w:abstractNumId="427">
    <w:nsid w:val="5B1FBC2D"/>
    <w:multiLevelType w:val="hybridMultilevel"/>
    <w:lvl w:ilvl="0">
      <w:lvlJc w:val="left"/>
      <w:lvlText w:val="%1."/>
      <w:numFmt w:val="decimal"/>
      <w:start w:val="12"/>
    </w:lvl>
    <w:lvl w:ilvl="1">
      <w:lvlJc w:val="left"/>
      <w:lvlText w:val="%2"/>
      <w:numFmt w:val="lowerLetter"/>
      <w:start w:val="1"/>
    </w:lvl>
  </w:abstractNum>
  <w:abstractNum w:abstractNumId="428">
    <w:nsid w:val="33DFCCE8"/>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429">
    <w:nsid w:val="18C45E15"/>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430">
    <w:nsid w:val="6B431F25"/>
    <w:multiLevelType w:val="hybridMultilevel"/>
    <w:lvl w:ilvl="0">
      <w:lvlJc w:val="left"/>
      <w:lvlText w:val="%1."/>
      <w:numFmt w:val="decimal"/>
      <w:start w:val="24"/>
    </w:lvl>
    <w:lvl w:ilvl="1">
      <w:lvlJc w:val="left"/>
      <w:lvlText w:val="(%2)"/>
      <w:numFmt w:val="lowerLetter"/>
      <w:start w:val="1"/>
    </w:lvl>
  </w:abstractNum>
  <w:abstractNum w:abstractNumId="431">
    <w:nsid w:val="13CD8DCB"/>
    <w:multiLevelType w:val="hybridMultilevel"/>
    <w:lvl w:ilvl="0">
      <w:lvlJc w:val="left"/>
      <w:lvlText w:val="%1"/>
      <w:numFmt w:val="decimal"/>
      <w:start w:val="1"/>
    </w:lvl>
    <w:lvl w:ilvl="1">
      <w:lvlJc w:val="left"/>
      <w:lvlText w:val="(%2)"/>
      <w:numFmt w:val="lowerLetter"/>
      <w:start w:val="2"/>
    </w:lvl>
  </w:abstractNum>
  <w:abstractNum w:abstractNumId="432">
    <w:nsid w:val="563A1A5C"/>
    <w:multiLevelType w:val="hybridMultilevel"/>
    <w:lvl w:ilvl="0">
      <w:lvlJc w:val="left"/>
      <w:lvlText w:val="%1."/>
      <w:numFmt w:val="decimal"/>
      <w:start w:val="28"/>
    </w:lvl>
    <w:lvl w:ilvl="1">
      <w:lvlJc w:val="left"/>
      <w:lvlText w:val="%2"/>
      <w:numFmt w:val="lowerLetter"/>
      <w:start w:val="1"/>
    </w:lvl>
  </w:abstractNum>
  <w:abstractNum w:abstractNumId="433">
    <w:nsid w:val="2973F88F"/>
    <w:multiLevelType w:val="hybridMultilevel"/>
    <w:lvl w:ilvl="0">
      <w:lvlJc w:val="left"/>
      <w:lvlText w:val="(%1)"/>
      <w:numFmt w:val="lowerLetter"/>
      <w:start w:val="1"/>
    </w:lvl>
    <w:lvl w:ilvl="1">
      <w:lvlJc w:val="left"/>
      <w:lvlText w:val="(%2)"/>
      <w:numFmt w:val="lowerLetter"/>
      <w:start w:val="2"/>
    </w:lvl>
  </w:abstractNum>
  <w:abstractNum w:abstractNumId="434">
    <w:nsid w:val="2C70EDAE"/>
    <w:multiLevelType w:val="hybridMultilevel"/>
    <w:lvl w:ilvl="0">
      <w:lvlJc w:val="left"/>
      <w:lvlText w:val="(%1)"/>
      <w:numFmt w:val="lowerLetter"/>
      <w:start w:val="11"/>
    </w:lvl>
    <w:lvl w:ilvl="1">
      <w:lvlJc w:val="left"/>
      <w:lvlText w:val="%2."/>
      <w:numFmt w:val="lowerRoman"/>
      <w:start w:val="1"/>
    </w:lvl>
  </w:abstractNum>
  <w:abstractNum w:abstractNumId="435">
    <w:nsid w:val="44296C6D"/>
    <w:multiLevelType w:val="hybridMultilevel"/>
    <w:lvl w:ilvl="0">
      <w:lvlJc w:val="left"/>
      <w:lvlText w:val="(%1)"/>
      <w:numFmt w:val="lowerLetter"/>
      <w:start w:val="23"/>
    </w:lvl>
  </w:abstractNum>
  <w:abstractNum w:abstractNumId="436">
    <w:nsid w:val="3A86D445"/>
    <w:multiLevelType w:val="hybridMultilevel"/>
    <w:lvl w:ilvl="0">
      <w:lvlJc w:val="left"/>
      <w:lvlText w:val="(%1)"/>
      <w:numFmt w:val="lowerLetter"/>
      <w:start w:val="1"/>
    </w:lvl>
  </w:abstractNum>
  <w:abstractNum w:abstractNumId="437">
    <w:nsid w:val="51F79246"/>
    <w:multiLevelType w:val="hybridMultilevel"/>
    <w:lvl w:ilvl="0">
      <w:lvlJc w:val="left"/>
      <w:lvlText w:val="(%1)"/>
      <w:numFmt w:val="lowerLetter"/>
      <w:start w:val="1"/>
    </w:lvl>
  </w:abstractNum>
  <w:abstractNum w:abstractNumId="438">
    <w:nsid w:val="5BC9A827"/>
    <w:multiLevelType w:val="hybridMultilevel"/>
    <w:lvl w:ilvl="0">
      <w:lvlJc w:val="left"/>
      <w:lvlText w:val="%1."/>
      <w:numFmt w:val="decimal"/>
      <w:start w:val="1"/>
    </w:lvl>
    <w:lvl w:ilvl="1">
      <w:lvlJc w:val="left"/>
      <w:lvlText w:val="%2."/>
      <w:numFmt w:val="lowerLetter"/>
      <w:start w:val="1"/>
    </w:lvl>
    <w:lvl w:ilvl="2">
      <w:lvlJc w:val="left"/>
      <w:lvlText w:val="\ldblquote"/>
      <w:numFmt w:val="bullet"/>
      <w:start w:val="1"/>
    </w:lvl>
  </w:abstractNum>
  <w:abstractNum w:abstractNumId="439">
    <w:nsid w:val="3AE37D86"/>
    <w:multiLevelType w:val="hybridMultilevel"/>
    <w:lvl w:ilvl="0">
      <w:lvlJc w:val="left"/>
      <w:lvlText w:val="%1."/>
      <w:numFmt w:val="lowerLetter"/>
      <w:start w:val="3"/>
    </w:lvl>
  </w:abstractNum>
  <w:abstractNum w:abstractNumId="440">
    <w:nsid w:val="45440FE5"/>
    <w:multiLevelType w:val="hybridMultilevel"/>
    <w:lvl w:ilvl="0">
      <w:lvlJc w:val="left"/>
      <w:lvlText w:val="%1."/>
      <w:numFmt w:val="decimal"/>
      <w:start w:val="2"/>
    </w:lvl>
  </w:abstractNum>
  <w:abstractNum w:abstractNumId="441">
    <w:nsid w:val="BF783F"/>
    <w:multiLevelType w:val="hybridMultilevel"/>
    <w:lvl w:ilvl="0">
      <w:lvlJc w:val="left"/>
      <w:lvlText w:val="%1."/>
      <w:numFmt w:val="decimal"/>
      <w:start w:val="1"/>
    </w:lvl>
  </w:abstractNum>
  <w:abstractNum w:abstractNumId="442">
    <w:nsid w:val="22643EA9"/>
    <w:multiLevelType w:val="hybridMultilevel"/>
    <w:lvl w:ilvl="0">
      <w:lvlJc w:val="left"/>
      <w:lvlText w:val="%1."/>
      <w:numFmt w:val="decimal"/>
      <w:start w:val="1"/>
    </w:lvl>
  </w:abstractNum>
  <w:abstractNum w:abstractNumId="443">
    <w:nsid w:val="1887578D"/>
    <w:multiLevelType w:val="hybridMultilevel"/>
    <w:lvl w:ilvl="0">
      <w:lvlJc w:val="left"/>
      <w:lvlText w:val="%1."/>
      <w:numFmt w:val="decimal"/>
      <w:start w:val="1"/>
    </w:lvl>
  </w:abstractNum>
  <w:abstractNum w:abstractNumId="444">
    <w:nsid w:val="58C05B8A"/>
    <w:multiLevelType w:val="hybridMultilevel"/>
    <w:lvl w:ilvl="0">
      <w:lvlJc w:val="left"/>
      <w:lvlText w:val="%1"/>
      <w:numFmt w:val="lowerLetter"/>
      <w:start w:val="1"/>
    </w:lvl>
    <w:lvl w:ilvl="1">
      <w:lvlJc w:val="left"/>
      <w:lvlText w:val="%2."/>
      <w:numFmt w:val="decimal"/>
      <w:start w:val="4"/>
    </w:lvl>
  </w:abstractNum>
  <w:abstractNum w:abstractNumId="445">
    <w:nsid w:val="38D82E71"/>
    <w:multiLevelType w:val="hybridMultilevel"/>
    <w:lvl w:ilvl="0">
      <w:lvlJc w:val="left"/>
      <w:lvlText w:val="(%1)"/>
      <w:numFmt w:val="lowerLetter"/>
      <w:start w:val="1"/>
    </w:lvl>
    <w:lvl w:ilvl="1">
      <w:lvlJc w:val="left"/>
      <w:lvlText w:val="%2."/>
      <w:numFmt w:val="decimal"/>
      <w:start w:val="6"/>
    </w:lvl>
  </w:abstractNum>
  <w:abstractNum w:abstractNumId="446">
    <w:nsid w:val="1E41098A"/>
    <w:multiLevelType w:val="hybridMultilevel"/>
    <w:lvl w:ilvl="0">
      <w:lvlJc w:val="left"/>
      <w:lvlText w:val="%1."/>
      <w:numFmt w:val="decimal"/>
      <w:start w:val="1"/>
    </w:lvl>
  </w:abstractNum>
  <w:abstractNum w:abstractNumId="447">
    <w:nsid w:val="5398582C"/>
    <w:multiLevelType w:val="hybridMultilevel"/>
    <w:lvl w:ilvl="0">
      <w:lvlJc w:val="left"/>
      <w:lvlText w:val="%1."/>
      <w:numFmt w:val="decimal"/>
      <w:start w:val="1"/>
    </w:lvl>
  </w:abstractNum>
  <w:abstractNum w:abstractNumId="448">
    <w:nsid w:val="1C0D4475"/>
    <w:multiLevelType w:val="hybridMultilevel"/>
    <w:lvl w:ilvl="0">
      <w:lvlJc w:val="left"/>
      <w:lvlText w:val="%1."/>
      <w:numFmt w:val="decimal"/>
      <w:start w:val="2"/>
    </w:lvl>
  </w:abstractNum>
  <w:abstractNum w:abstractNumId="449">
    <w:nsid w:val="2CB6A6A4"/>
    <w:multiLevelType w:val="hybridMultilevel"/>
    <w:lvl w:ilvl="0">
      <w:lvlJc w:val="left"/>
      <w:lvlText w:val="%1."/>
      <w:numFmt w:val="decimal"/>
      <w:start w:val="1"/>
    </w:lvl>
    <w:lvl w:ilvl="1">
      <w:lvlJc w:val="left"/>
      <w:lvlText w:val="(%2)"/>
      <w:numFmt w:val="lowerLetter"/>
      <w:start w:val="1"/>
    </w:lvl>
  </w:abstractNum>
  <w:abstractNum w:abstractNumId="450">
    <w:nsid w:val="41D646BC"/>
    <w:multiLevelType w:val="hybridMultilevel"/>
    <w:lvl w:ilvl="0">
      <w:lvlJc w:val="left"/>
      <w:lvlText w:val="(%1)"/>
      <w:numFmt w:val="lowerLetter"/>
      <w:start w:val="2"/>
    </w:lvl>
    <w:lvl w:ilvl="1">
      <w:lvlJc w:val="left"/>
      <w:lvlText w:val="(%2)"/>
      <w:numFmt w:val="lowerRoman"/>
      <w:start w:val="1"/>
    </w:lvl>
  </w:abstractNum>
  <w:abstractNum w:abstractNumId="451">
    <w:nsid w:val="3694A7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52">
    <w:nsid w:val="2BF876E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3">
    <w:nsid w:val="675ADB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4">
    <w:nsid w:val="C12AC7F"/>
    <w:multiLevelType w:val="hybridMultilevel"/>
    <w:lvl w:ilvl="0">
      <w:lvlJc w:val="left"/>
      <w:lvlText w:val="%1"/>
      <w:numFmt w:val="lowerLetter"/>
      <w:start w:val="1"/>
    </w:lvl>
    <w:lvl w:ilvl="1">
      <w:lvlJc w:val="left"/>
      <w:lvlText w:val="(%2)"/>
      <w:numFmt w:val="lowerLetter"/>
      <w:start w:val="3"/>
    </w:lvl>
  </w:abstractNum>
  <w:abstractNum w:abstractNumId="455">
    <w:nsid w:val="6798F039"/>
    <w:multiLevelType w:val="hybridMultilevel"/>
    <w:lvl w:ilvl="0">
      <w:lvlJc w:val="left"/>
      <w:lvlText w:val="(%1)"/>
      <w:numFmt w:val="lowerLetter"/>
      <w:start w:val="35"/>
    </w:lvl>
    <w:lvl w:ilvl="1">
      <w:lvlJc w:val="left"/>
      <w:lvlText w:val="(%2)"/>
      <w:numFmt w:val="lowerLetter"/>
      <w:start w:val="7"/>
    </w:lvl>
  </w:abstractNum>
  <w:abstractNum w:abstractNumId="456">
    <w:nsid w:val="70837C02"/>
    <w:multiLevelType w:val="hybridMultilevel"/>
    <w:lvl w:ilvl="0">
      <w:lvlJc w:val="left"/>
      <w:lvlText w:val="(%1)"/>
      <w:numFmt w:val="lowerLetter"/>
      <w:start w:val="8"/>
    </w:lvl>
  </w:abstractNum>
  <w:abstractNum w:abstractNumId="457">
    <w:nsid w:val="7E4A5715"/>
    <w:multiLevelType w:val="hybridMultilevel"/>
    <w:lvl w:ilvl="0">
      <w:lvlJc w:val="left"/>
      <w:lvlText w:val="(%1)"/>
      <w:numFmt w:val="lowerLetter"/>
      <w:start w:val="13"/>
    </w:lvl>
  </w:abstractNum>
  <w:abstractNum w:abstractNumId="458">
    <w:nsid w:val="42B8AC67"/>
    <w:multiLevelType w:val="hybridMultilevel"/>
    <w:lvl w:ilvl="0">
      <w:lvlJc w:val="left"/>
      <w:lvlText w:val="%1"/>
      <w:numFmt w:val="decimal"/>
      <w:start w:val="1"/>
    </w:lvl>
    <w:lvl w:ilvl="1">
      <w:lvlJc w:val="left"/>
      <w:lvlText w:val="(%2)"/>
      <w:numFmt w:val="lowerLetter"/>
      <w:start w:val="18"/>
    </w:lvl>
  </w:abstractNum>
  <w:abstractNum w:abstractNumId="459">
    <w:nsid w:val="246348EA"/>
    <w:multiLevelType w:val="hybridMultilevel"/>
    <w:lvl w:ilvl="0">
      <w:lvlJc w:val="left"/>
      <w:lvlText w:val="%1."/>
      <w:numFmt w:val="decimal"/>
      <w:start w:val="4"/>
    </w:lvl>
    <w:lvl w:ilvl="1">
      <w:lvlJc w:val="left"/>
      <w:lvlText w:val="(%2)"/>
      <w:numFmt w:val="lowerLetter"/>
      <w:start w:val="1"/>
    </w:lvl>
  </w:abstractNum>
  <w:abstractNum w:abstractNumId="460">
    <w:nsid w:val="170EB52B"/>
    <w:multiLevelType w:val="hybridMultilevel"/>
    <w:lvl w:ilvl="0">
      <w:lvlJc w:val="left"/>
      <w:lvlText w:val="(%1)"/>
      <w:numFmt w:val="lowerLetter"/>
      <w:start w:val="4"/>
    </w:lvl>
  </w:abstractNum>
  <w:abstractNum w:abstractNumId="461">
    <w:nsid w:val="2DFBCB8C"/>
    <w:multiLevelType w:val="hybridMultilevel"/>
    <w:lvl w:ilvl="0">
      <w:lvlJc w:val="left"/>
      <w:lvlText w:val="(%1)"/>
      <w:numFmt w:val="lowerLetter"/>
      <w:start w:val="7"/>
    </w:lvl>
  </w:abstractNum>
  <w:abstractNum w:abstractNumId="462">
    <w:nsid w:val="3830D6B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463">
    <w:nsid w:val="6D48CF87"/>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464">
    <w:nsid w:val="576FC4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65">
    <w:nsid w:val="64A1C464"/>
    <w:multiLevelType w:val="hybridMultilevel"/>
    <w:lvl w:ilvl="0">
      <w:lvlJc w:val="left"/>
      <w:lvlText w:val="(%1)"/>
      <w:numFmt w:val="upperLetter"/>
      <w:start w:val="2"/>
    </w:lvl>
  </w:abstractNum>
  <w:abstractNum w:abstractNumId="466">
    <w:nsid w:val="31723BF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67">
    <w:nsid w:val="11F69861"/>
    <w:multiLevelType w:val="hybridMultilevel"/>
    <w:lvl w:ilvl="0">
      <w:lvlJc w:val="left"/>
      <w:lvlText w:val="(%1)"/>
      <w:numFmt w:val="decimal"/>
      <w:start w:val="1"/>
    </w:lvl>
    <w:lvl w:ilvl="1">
      <w:lvlJc w:val="left"/>
      <w:lvlText w:val="(%2)"/>
      <w:numFmt w:val="lowerRoman"/>
      <w:start w:val="3"/>
    </w:lvl>
  </w:abstractNum>
  <w:abstractNum w:abstractNumId="468">
    <w:nsid w:val="369956AB"/>
    <w:multiLevelType w:val="hybridMultilevel"/>
    <w:lvl w:ilvl="0">
      <w:lvlJc w:val="left"/>
      <w:lvlText w:val="%1"/>
      <w:numFmt w:val="lowerLetter"/>
      <w:start w:val="1"/>
    </w:lvl>
    <w:lvl w:ilvl="1">
      <w:lvlJc w:val="left"/>
      <w:lvlText w:val="(%2)"/>
      <w:numFmt w:val="lowerRoman"/>
      <w:start w:val="7"/>
    </w:lvl>
  </w:abstractNum>
  <w:abstractNum w:abstractNumId="469">
    <w:nsid w:val="D3BE41C"/>
    <w:multiLevelType w:val="hybridMultilevel"/>
    <w:lvl w:ilvl="0">
      <w:lvlJc w:val="left"/>
      <w:lvlText w:val="(%1)"/>
      <w:numFmt w:val="lowerLetter"/>
      <w:start w:val="3"/>
    </w:lvl>
    <w:lvl w:ilvl="1">
      <w:lvlJc w:val="left"/>
      <w:lvlText w:val="(%2)"/>
      <w:numFmt w:val="lowerRoman"/>
      <w:start w:val="1"/>
    </w:lvl>
  </w:abstractNum>
  <w:abstractNum w:abstractNumId="470">
    <w:nsid w:val="4CDA15E7"/>
    <w:multiLevelType w:val="hybridMultilevel"/>
    <w:lvl w:ilvl="0">
      <w:lvlJc w:val="left"/>
      <w:lvlText w:val="(%1)"/>
      <w:numFmt w:val="lowerRoman"/>
      <w:start w:val="2"/>
    </w:lvl>
  </w:abstractNum>
  <w:abstractNum w:abstractNumId="471">
    <w:nsid w:val="7BDD6690"/>
    <w:multiLevelType w:val="hybridMultilevel"/>
    <w:lvl w:ilvl="0">
      <w:lvlJc w:val="left"/>
      <w:lvlText w:val="%1."/>
      <w:numFmt w:val="decimal"/>
      <w:start w:val="6"/>
    </w:lvl>
    <w:lvl w:ilvl="1">
      <w:lvlJc w:val="left"/>
      <w:lvlText w:val="(%2)"/>
      <w:numFmt w:val="lowerLetter"/>
      <w:start w:val="1"/>
    </w:lvl>
  </w:abstractNum>
  <w:abstractNum w:abstractNumId="472">
    <w:nsid w:val="DFB5C5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3">
    <w:nsid w:val="6F3E549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4">
    <w:nsid w:val="1464BE1E"/>
    <w:multiLevelType w:val="hybridMultilevel"/>
    <w:lvl w:ilvl="0">
      <w:lvlJc w:val="left"/>
      <w:lvlText w:val="%1"/>
      <w:numFmt w:val="decimal"/>
      <w:start w:val="1"/>
    </w:lvl>
    <w:lvl w:ilvl="1">
      <w:lvlJc w:val="left"/>
      <w:lvlText w:val="(%2)"/>
      <w:numFmt w:val="lowerLetter"/>
      <w:start w:val="3"/>
    </w:lvl>
  </w:abstractNum>
  <w:abstractNum w:abstractNumId="475">
    <w:nsid w:val="66BBB7E5"/>
    <w:multiLevelType w:val="hybridMultilevel"/>
    <w:lvl w:ilvl="0">
      <w:lvlJc w:val="left"/>
      <w:lvlText w:val="%1."/>
      <w:numFmt w:val="decimal"/>
      <w:start w:val="9"/>
    </w:lvl>
    <w:lvl w:ilvl="1">
      <w:lvlJc w:val="left"/>
      <w:lvlText w:val="(%2)"/>
      <w:numFmt w:val="lowerLetter"/>
      <w:start w:val="1"/>
    </w:lvl>
  </w:abstractNum>
  <w:abstractNum w:abstractNumId="476">
    <w:nsid w:val="28168302"/>
    <w:multiLevelType w:val="hybridMultilevel"/>
    <w:lvl w:ilvl="0">
      <w:lvlJc w:val="left"/>
      <w:lvlText w:val="(%1)"/>
      <w:numFmt w:val="lowerLetter"/>
      <w:start w:val="6"/>
    </w:lvl>
  </w:abstractNum>
  <w:abstractNum w:abstractNumId="477">
    <w:nsid w:val="32A5C7A8"/>
    <w:multiLevelType w:val="hybridMultilevel"/>
    <w:lvl w:ilvl="0">
      <w:lvlJc w:val="left"/>
      <w:lvlText w:val="(%1)"/>
      <w:numFmt w:val="lowerRoman"/>
      <w:start w:val="4"/>
    </w:lvl>
  </w:abstractNum>
  <w:abstractNum w:abstractNumId="478">
    <w:nsid w:val="3A541011"/>
    <w:multiLevelType w:val="hybridMultilevel"/>
    <w:lvl w:ilvl="0">
      <w:lvlJc w:val="left"/>
      <w:lvlText w:val="(%1)"/>
      <w:numFmt w:val="lowerLetter"/>
      <w:start w:val="15"/>
    </w:lvl>
  </w:abstractNum>
  <w:abstractNum w:abstractNumId="479">
    <w:nsid w:val="4423C777"/>
    <w:multiLevelType w:val="hybridMultilevel"/>
    <w:lvl w:ilvl="0">
      <w:lvlJc w:val="left"/>
      <w:lvlText w:val="(%1)"/>
      <w:numFmt w:val="lowerLetter"/>
      <w:start w:val="17"/>
    </w:lvl>
    <w:lvl w:ilvl="1">
      <w:lvlJc w:val="left"/>
      <w:lvlText w:val="(%2)"/>
      <w:numFmt w:val="lowerLetter"/>
      <w:start w:val="9"/>
    </w:lvl>
  </w:abstractNum>
  <w:abstractNum w:abstractNumId="480">
    <w:nsid w:val="5F5C6E4D"/>
    <w:multiLevelType w:val="hybridMultilevel"/>
    <w:lvl w:ilvl="0">
      <w:lvlJc w:val="left"/>
      <w:lvlText w:val="%1"/>
      <w:numFmt w:val="lowerLetter"/>
      <w:start w:val="1"/>
    </w:lvl>
    <w:lvl w:ilvl="1">
      <w:lvlJc w:val="left"/>
      <w:lvlText w:val="(%2)"/>
      <w:numFmt w:val="lowerLetter"/>
      <w:start w:val="35"/>
    </w:lvl>
  </w:abstractNum>
  <w:abstractNum w:abstractNumId="481">
    <w:nsid w:val="7C2A56CD"/>
    <w:multiLevelType w:val="hybridMultilevel"/>
    <w:lvl w:ilvl="0">
      <w:lvlJc w:val="left"/>
      <w:lvlText w:val="(%1)"/>
      <w:numFmt w:val="lowerLetter"/>
      <w:start w:val="19"/>
    </w:lvl>
    <w:lvl w:ilvl="1">
      <w:lvlJc w:val="left"/>
      <w:lvlText w:val="%2"/>
      <w:numFmt w:val="lowerLetter"/>
      <w:start w:val="1"/>
    </w:lvl>
  </w:abstractNum>
  <w:abstractNum w:abstractNumId="482">
    <w:nsid w:val="7AB86EE1"/>
    <w:multiLevelType w:val="hybridMultilevel"/>
    <w:lvl w:ilvl="0">
      <w:lvlJc w:val="left"/>
      <w:lvlText w:val="(%1)"/>
      <w:numFmt w:val="lowerLetter"/>
      <w:start w:val="21"/>
    </w:lvl>
  </w:abstractNum>
  <w:abstractNum w:abstractNumId="483">
    <w:nsid w:val="B54E53B"/>
    <w:multiLevelType w:val="hybridMultilevel"/>
    <w:lvl w:ilvl="0">
      <w:lvlJc w:val="left"/>
      <w:lvlText w:val="☐"/>
      <w:numFmt w:val="bullet"/>
      <w:start w:val="1"/>
    </w:lvl>
  </w:abstractNum>
  <w:abstractNum w:abstractNumId="484">
    <w:nsid w:val="2A00487"/>
    <w:multiLevelType w:val="hybridMultilevel"/>
    <w:lvl w:ilvl="0">
      <w:lvlJc w:val="left"/>
      <w:lvlText w:val="%1."/>
      <w:numFmt w:val="upperLetter"/>
      <w:start w:val="1"/>
    </w:lvl>
    <w:lvl w:ilvl="1">
      <w:lvlJc w:val="left"/>
      <w:lvlText w:val="%2."/>
      <w:numFmt w:val="decimal"/>
      <w:start w:val="1"/>
    </w:lvl>
  </w:abstractNum>
  <w:abstractNum w:abstractNumId="485">
    <w:nsid w:val="6CB1B60"/>
    <w:multiLevelType w:val="hybridMultilevel"/>
    <w:lvl w:ilvl="0">
      <w:lvlJc w:val="left"/>
      <w:lvlText w:val="%1."/>
      <w:numFmt w:val="upperLetter"/>
      <w:start w:val="2"/>
    </w:lvl>
    <w:lvl w:ilvl="1">
      <w:lvlJc w:val="left"/>
      <w:lvlText w:val="%2."/>
      <w:numFmt w:val="decimal"/>
      <w:start w:val="1"/>
    </w:lvl>
  </w:abstractNum>
  <w:abstractNum w:abstractNumId="486">
    <w:nsid w:val="72EDD574"/>
    <w:multiLevelType w:val="hybridMultilevel"/>
    <w:lvl w:ilvl="0">
      <w:lvlJc w:val="left"/>
      <w:lvlText w:val="%1."/>
      <w:numFmt w:val="upperLetter"/>
      <w:start w:val="3"/>
    </w:lvl>
    <w:lvl w:ilvl="1">
      <w:lvlJc w:val="left"/>
      <w:lvlText w:val="☐"/>
      <w:numFmt w:val="bullet"/>
      <w:start w:val="1"/>
    </w:lvl>
  </w:abstractNum>
  <w:abstractNum w:abstractNumId="487">
    <w:nsid w:val="7323808A"/>
    <w:multiLevelType w:val="hybridMultilevel"/>
    <w:lvl w:ilvl="0">
      <w:lvlJc w:val="left"/>
      <w:lvlText w:val="☐"/>
      <w:numFmt w:val="bullet"/>
      <w:start w:val="1"/>
    </w:lvl>
  </w:abstractNum>
  <w:abstractNum w:abstractNumId="488">
    <w:nsid w:val="5157276"/>
    <w:multiLevelType w:val="hybridMultilevel"/>
    <w:lvl w:ilvl="0">
      <w:lvlJc w:val="left"/>
      <w:lvlText w:val="☐"/>
      <w:numFmt w:val="bullet"/>
      <w:start w:val="1"/>
    </w:lvl>
  </w:abstractNum>
  <w:abstractNum w:abstractNumId="489">
    <w:nsid w:val="35A681DB"/>
    <w:multiLevelType w:val="hybridMultilevel"/>
    <w:lvl w:ilvl="0">
      <w:lvlJc w:val="left"/>
      <w:lvlText w:val="☐"/>
      <w:numFmt w:val="bullet"/>
      <w:start w:val="1"/>
    </w:lvl>
  </w:abstractNum>
  <w:abstractNum w:abstractNumId="490">
    <w:nsid w:val="1786C974"/>
    <w:multiLevelType w:val="hybridMultilevel"/>
    <w:lvl w:ilvl="0">
      <w:lvlJc w:val="left"/>
      <w:lvlText w:val="%1."/>
      <w:numFmt w:val="decimal"/>
      <w:start w:val="1"/>
    </w:lvl>
  </w:abstractNum>
  <w:abstractNum w:abstractNumId="491">
    <w:nsid w:val="1C2427A1"/>
    <w:multiLevelType w:val="hybridMultilevel"/>
    <w:lvl w:ilvl="0">
      <w:lvlJc w:val="left"/>
      <w:lvlText w:val="(%1)"/>
      <w:numFmt w:val="lowerLetter"/>
      <w:start w:val="3"/>
    </w:lvl>
  </w:abstractNum>
  <w:abstractNum w:abstractNumId="492">
    <w:nsid w:val="63A24D68"/>
    <w:multiLevelType w:val="hybridMultilevel"/>
    <w:lvl w:ilvl="0">
      <w:lvlJc w:val="left"/>
      <w:lvlText w:val="(%1)"/>
      <w:numFmt w:val="lowerLetter"/>
      <w:start w:val="5"/>
    </w:lvl>
    <w:lvl w:ilvl="1">
      <w:lvlJc w:val="left"/>
      <w:lvlText w:val="%2."/>
      <w:numFmt w:val="decimal"/>
      <w:start w:val="3"/>
    </w:lvl>
  </w:abstractNum>
  <w:abstractNum w:abstractNumId="493">
    <w:nsid w:val="4FB7A02A"/>
    <w:multiLevelType w:val="hybridMultilevel"/>
    <w:lvl w:ilvl="0">
      <w:lvlJc w:val="left"/>
      <w:lvlText w:val="(%1)"/>
      <w:numFmt w:val="lowerLetter"/>
      <w:start w:val="1"/>
    </w:lvl>
  </w:abstractNum>
  <w:abstractNum w:abstractNumId="494">
    <w:nsid w:val="96CF728"/>
    <w:multiLevelType w:val="hybridMultilevel"/>
    <w:lvl w:ilvl="0">
      <w:lvlJc w:val="left"/>
      <w:lvlText w:val="(%1)"/>
      <w:numFmt w:val="lowerLetter"/>
      <w:start w:val="9"/>
    </w:lvl>
  </w:abstractNum>
  <w:abstractNum w:abstractNumId="495">
    <w:nsid w:val="3B121183"/>
    <w:multiLevelType w:val="hybridMultilevel"/>
    <w:lvl w:ilvl="0">
      <w:lvlJc w:val="left"/>
      <w:lvlText w:val="%1."/>
      <w:numFmt w:val="decimal"/>
      <w:start w:val="5"/>
    </w:lvl>
  </w:abstractNum>
  <w:abstractNum w:abstractNumId="496">
    <w:nsid w:val="3459648F"/>
    <w:multiLevelType w:val="hybridMultilevel"/>
    <w:lvl w:ilvl="0">
      <w:lvlJc w:val="left"/>
      <w:lvlText w:val="(%1)"/>
      <w:numFmt w:val="lowerLetter"/>
      <w:start w:val="1"/>
    </w:lvl>
  </w:abstractNum>
  <w:abstractNum w:abstractNumId="497">
    <w:nsid w:val="3ADF331D"/>
    <w:multiLevelType w:val="hybridMultilevel"/>
    <w:lvl w:ilvl="0">
      <w:lvlJc w:val="left"/>
      <w:lvlText w:val="%1."/>
      <w:numFmt w:val="decimal"/>
      <w:start w:val="6"/>
    </w:lvl>
  </w:abstractNum>
  <w:abstractNum w:abstractNumId="498">
    <w:nsid w:val="4D08A9E4"/>
    <w:multiLevelType w:val="hybridMultilevel"/>
    <w:lvl w:ilvl="0">
      <w:lvlJc w:val="left"/>
      <w:lvlText w:val="%1."/>
      <w:numFmt w:val="decimal"/>
      <w:start w:val="7"/>
    </w:lvl>
  </w:abstractNum>
  <w:abstractNum w:abstractNumId="499">
    <w:nsid w:val="6AF2BB3A"/>
    <w:multiLevelType w:val="hybridMultilevel"/>
    <w:lvl w:ilvl="0">
      <w:lvlJc w:val="left"/>
      <w:lvlText w:val="%1."/>
      <w:numFmt w:val="decimal"/>
      <w:start w:val="8"/>
    </w:lvl>
  </w:abstractNum>
  <w:abstractNum w:abstractNumId="500">
    <w:nsid w:val="481B1739"/>
    <w:multiLevelType w:val="hybridMultilevel"/>
    <w:lvl w:ilvl="0">
      <w:lvlJc w:val="left"/>
      <w:lvlText w:val="%1."/>
      <w:numFmt w:val="decimal"/>
      <w:start w:val="9"/>
    </w:lvl>
  </w:abstractNum>
  <w:abstractNum w:abstractNumId="501">
    <w:nsid w:val="19E2BFCC"/>
    <w:multiLevelType w:val="hybridMultilevel"/>
    <w:lvl w:ilvl="0">
      <w:lvlJc w:val="left"/>
      <w:lvlText w:val="%1."/>
      <w:numFmt w:val="decimal"/>
      <w:start w:val="10"/>
    </w:lvl>
  </w:abstractNum>
  <w:abstractNum w:abstractNumId="502">
    <w:nsid w:val="66D021CA"/>
    <w:multiLevelType w:val="hybridMultilevel"/>
    <w:lvl w:ilvl="0">
      <w:lvlJc w:val="left"/>
      <w:lvlText w:val="(%1)"/>
      <w:numFmt w:val="lowerLetter"/>
      <w:start w:val="1"/>
    </w:lvl>
  </w:abstractNum>
  <w:abstractNum w:abstractNumId="503">
    <w:nsid w:val="56167394"/>
    <w:multiLevelType w:val="hybridMultilevel"/>
    <w:lvl w:ilvl="0">
      <w:lvlJc w:val="left"/>
      <w:lvlText w:val="(%1)"/>
      <w:numFmt w:val="lowerLetter"/>
      <w:start w:val="2"/>
    </w:lvl>
  </w:abstractNum>
  <w:abstractNum w:abstractNumId="504">
    <w:nsid w:val="921145C"/>
    <w:multiLevelType w:val="hybridMultilevel"/>
    <w:lvl w:ilvl="0">
      <w:lvlJc w:val="left"/>
      <w:lvlText w:val="%1."/>
      <w:numFmt w:val="decimal"/>
      <w:start w:val="11"/>
    </w:lvl>
    <w:lvl w:ilvl="1">
      <w:lvlJc w:val="left"/>
      <w:lvlText w:val="(%2)"/>
      <w:numFmt w:val="lowerLetter"/>
      <w:start w:val="1"/>
    </w:lvl>
  </w:abstractNum>
  <w:abstractNum w:abstractNumId="505">
    <w:nsid w:val="7B34DFE8"/>
    <w:multiLevelType w:val="hybridMultilevel"/>
    <w:lvl w:ilvl="0">
      <w:lvlJc w:val="left"/>
      <w:lvlText w:val="%1."/>
      <w:numFmt w:val="decimal"/>
      <w:start w:val="12"/>
    </w:lvl>
  </w:abstractNum>
  <w:abstractNum w:abstractNumId="506">
    <w:nsid w:val="3CD22B79"/>
    <w:multiLevelType w:val="hybridMultilevel"/>
    <w:lvl w:ilvl="0">
      <w:lvlJc w:val="left"/>
      <w:lvlText w:val="%1."/>
      <w:numFmt w:val="decimal"/>
      <w:start w:val="13"/>
    </w:lvl>
  </w:abstractNum>
  <w:abstractNum w:abstractNumId="507">
    <w:nsid w:val="3137975E"/>
    <w:multiLevelType w:val="hybridMultilevel"/>
    <w:lvl w:ilvl="0">
      <w:lvlJc w:val="left"/>
      <w:lvlText w:val="%1."/>
      <w:numFmt w:val="decimal"/>
      <w:start w:val="14"/>
    </w:lvl>
  </w:abstractNum>
  <w:abstractNum w:abstractNumId="508">
    <w:nsid w:val="2DDAA791"/>
    <w:multiLevelType w:val="hybridMultilevel"/>
    <w:lvl w:ilvl="0">
      <w:lvlJc w:val="left"/>
      <w:lvlText w:val="%1."/>
      <w:numFmt w:val="decimal"/>
      <w:start w:val="15"/>
    </w:lvl>
  </w:abstractNum>
  <w:abstractNum w:abstractNumId="509">
    <w:nsid w:val="77263B8A"/>
    <w:multiLevelType w:val="hybridMultilevel"/>
    <w:lvl w:ilvl="0">
      <w:lvlJc w:val="left"/>
      <w:lvlText w:val="%1."/>
      <w:numFmt w:val="decimal"/>
      <w:start w:val="16"/>
    </w:lvl>
  </w:abstractNum>
  <w:abstractNum w:abstractNumId="510">
    <w:nsid w:val="755B5ED6"/>
    <w:multiLevelType w:val="hybridMultilevel"/>
    <w:lvl w:ilvl="0">
      <w:lvlJc w:val="left"/>
      <w:lvlText w:val="%1."/>
      <w:numFmt w:val="decimal"/>
      <w:start w:val="18"/>
    </w:lvl>
  </w:abstractNum>
  <w:abstractNum w:abstractNumId="511">
    <w:nsid w:val="D3715DE"/>
    <w:multiLevelType w:val="hybridMultilevel"/>
    <w:lvl w:ilvl="0">
      <w:lvlJc w:val="left"/>
      <w:lvlText w:val="(%1)"/>
      <w:numFmt w:val="lowerLetter"/>
      <w:start w:val="1"/>
    </w:lvl>
  </w:abstractNum>
  <w:abstractNum w:abstractNumId="512">
    <w:nsid w:val="73509257"/>
    <w:multiLevelType w:val="hybridMultilevel"/>
    <w:lvl w:ilvl="0">
      <w:lvlJc w:val="left"/>
      <w:lvlText w:val="(%1)"/>
      <w:numFmt w:val="lowerLetter"/>
      <w:start w:val="3"/>
    </w:lvl>
  </w:abstractNum>
  <w:abstractNum w:abstractNumId="513">
    <w:nsid w:val="7013CDB7"/>
    <w:multiLevelType w:val="hybridMultilevel"/>
    <w:lvl w:ilvl="0">
      <w:lvlJc w:val="left"/>
      <w:lvlText w:val="%1."/>
      <w:numFmt w:val="decimal"/>
      <w:start w:val="22"/>
    </w:lvl>
  </w:abstractNum>
  <w:abstractNum w:abstractNumId="514">
    <w:nsid w:val="188BFB19"/>
    <w:multiLevelType w:val="hybridMultilevel"/>
    <w:lvl w:ilvl="0">
      <w:lvlJc w:val="left"/>
      <w:lvlText w:val="%1."/>
      <w:numFmt w:val="decimal"/>
      <w:start w:val="23"/>
    </w:lvl>
  </w:abstractNum>
  <w:abstractNum w:abstractNumId="515">
    <w:nsid w:val="75F096DF"/>
    <w:multiLevelType w:val="hybridMultilevel"/>
    <w:lvl w:ilvl="0">
      <w:lvlJc w:val="left"/>
      <w:lvlText w:val="(%1)"/>
      <w:numFmt w:val="lowerLetter"/>
      <w:start w:val="1"/>
    </w:lvl>
  </w:abstractNum>
  <w:abstractNum w:abstractNumId="516">
    <w:nsid w:val="76DEE918"/>
    <w:multiLevelType w:val="hybridMultilevel"/>
    <w:lvl w:ilvl="0">
      <w:lvlJc w:val="left"/>
      <w:lvlText w:val="(%1)"/>
      <w:numFmt w:val="lowerLetter"/>
      <w:start w:val="5"/>
    </w:lvl>
  </w:abstractNum>
  <w:abstractNum w:abstractNumId="517">
    <w:nsid w:val="B79D08D"/>
    <w:multiLevelType w:val="hybridMultilevel"/>
    <w:lvl w:ilvl="0">
      <w:lvlJc w:val="left"/>
      <w:lvlText w:val="(%1)"/>
      <w:numFmt w:val="lowerLetter"/>
      <w:start w:val="1"/>
    </w:lvl>
  </w:abstractNum>
  <w:abstractNum w:abstractNumId="518">
    <w:nsid w:val="69141769"/>
    <w:multiLevelType w:val="hybridMultilevel"/>
    <w:lvl w:ilvl="0">
      <w:lvlJc w:val="left"/>
      <w:lvlText w:val="(%1)"/>
      <w:numFmt w:val="lowerLetter"/>
      <w:start w:val="2"/>
    </w:lvl>
  </w:abstractNum>
  <w:abstractNum w:abstractNumId="519">
    <w:nsid w:val="7BF45B8E"/>
    <w:multiLevelType w:val="hybridMultilevel"/>
    <w:lvl w:ilvl="0">
      <w:lvlJc w:val="left"/>
      <w:lvlText w:val="(%1)"/>
      <w:numFmt w:val="lowerLetter"/>
      <w:start w:val="1"/>
    </w:lvl>
  </w:abstractNum>
  <w:abstractNum w:abstractNumId="520">
    <w:nsid w:val="41205269"/>
    <w:multiLevelType w:val="hybridMultilevel"/>
    <w:lvl w:ilvl="0">
      <w:lvlJc w:val="left"/>
      <w:lvlText w:val="(%1)"/>
      <w:numFmt w:val="lowerLetter"/>
      <w:start w:val="12"/>
    </w:lvl>
  </w:abstractNum>
  <w:abstractNum w:abstractNumId="521">
    <w:nsid w:val="9AE0DD"/>
    <w:multiLevelType w:val="hybridMultilevel"/>
    <w:lvl w:ilvl="0">
      <w:lvlJc w:val="left"/>
      <w:lvlText w:val="(%1)"/>
      <w:numFmt w:val="lowerLetter"/>
      <w:start w:val="27"/>
    </w:lvl>
  </w:abstractNum>
  <w:abstractNum w:abstractNumId="522">
    <w:nsid w:val="1818832F"/>
    <w:multiLevelType w:val="hybridMultilevel"/>
    <w:lvl w:ilvl="0">
      <w:lvlJc w:val="left"/>
      <w:lvlText w:val="(%1)"/>
      <w:numFmt w:val="lowerLetter"/>
      <w:start w:val="43"/>
    </w:lvl>
  </w:abstractNum>
  <w:abstractNum w:abstractNumId="523">
    <w:nsid w:val="24C29FD1"/>
    <w:multiLevelType w:val="hybridMultilevel"/>
    <w:lvl w:ilvl="0">
      <w:lvlJc w:val="left"/>
      <w:lvlText w:val="%1."/>
      <w:numFmt w:val="decimal"/>
      <w:start w:val="29"/>
    </w:lvl>
  </w:abstractNum>
  <w:abstractNum w:abstractNumId="524">
    <w:nsid w:val="50528108"/>
    <w:multiLevelType w:val="hybridMultilevel"/>
    <w:lvl w:ilvl="0">
      <w:lvlJc w:val="left"/>
      <w:lvlText w:val="%1."/>
      <w:numFmt w:val="decimal"/>
      <w:start w:val="1"/>
    </w:lvl>
  </w:abstractNum>
  <w:abstractNum w:abstractNumId="525">
    <w:nsid w:val="21857A57"/>
    <w:multiLevelType w:val="hybridMultilevel"/>
    <w:lvl w:ilvl="0">
      <w:lvlJc w:val="left"/>
      <w:lvlText w:val="%1."/>
      <w:numFmt w:val="decimal"/>
      <w:start w:val="3"/>
    </w:lvl>
  </w:abstractNum>
  <w:abstractNum w:abstractNumId="526">
    <w:nsid w:val="5FD4B154"/>
    <w:multiLevelType w:val="hybridMultilevel"/>
    <w:lvl w:ilvl="0">
      <w:lvlJc w:val="left"/>
      <w:lvlText w:val="%1."/>
      <w:numFmt w:val="decimal"/>
      <w:start w:val="4"/>
    </w:lvl>
    <w:lvl w:ilvl="1">
      <w:lvlJc w:val="left"/>
      <w:lvlText w:val="(%2)"/>
      <w:numFmt w:val="lowerLetter"/>
      <w:start w:val="1"/>
    </w:lvl>
  </w:abstractNum>
  <w:abstractNum w:abstractNumId="527">
    <w:nsid w:val="4ABE597"/>
    <w:multiLevelType w:val="hybridMultilevel"/>
    <w:lvl w:ilvl="0">
      <w:lvlJc w:val="left"/>
      <w:lvlText w:val="%1"/>
      <w:numFmt w:val="decimal"/>
      <w:start w:val="1"/>
    </w:lvl>
    <w:lvl w:ilvl="1">
      <w:lvlJc w:val="left"/>
      <w:lvlText w:val="(%2)"/>
      <w:numFmt w:val="lowerLetter"/>
      <w:start w:val="9"/>
    </w:lvl>
  </w:abstractNum>
  <w:abstractNum w:abstractNumId="528">
    <w:nsid w:val="5C64AD75"/>
    <w:multiLevelType w:val="hybridMultilevel"/>
    <w:lvl w:ilvl="0">
      <w:lvlJc w:val="left"/>
      <w:lvlText w:val="%1."/>
      <w:numFmt w:val="decimal"/>
      <w:start w:val="5"/>
    </w:lvl>
    <w:lvl w:ilvl="1">
      <w:lvlJc w:val="left"/>
      <w:lvlText w:val="(%2)"/>
      <w:numFmt w:val="lowerLetter"/>
      <w:start w:val="1"/>
    </w:lvl>
  </w:abstractNum>
  <w:abstractNum w:abstractNumId="529">
    <w:nsid w:val="2CDD5B39"/>
    <w:multiLevelType w:val="hybridMultilevel"/>
    <w:lvl w:ilvl="0">
      <w:lvlJc w:val="left"/>
      <w:lvlText w:val="%1."/>
      <w:numFmt w:val="decimal"/>
      <w:start w:val="6"/>
    </w:lvl>
    <w:lvl w:ilvl="1">
      <w:lvlJc w:val="left"/>
      <w:lvlText w:val="(%2)"/>
      <w:numFmt w:val="lowerLetter"/>
      <w:start w:val="1"/>
    </w:lvl>
  </w:abstractNum>
  <w:abstractNum w:abstractNumId="530">
    <w:nsid w:val="6F9EA0D1"/>
    <w:multiLevelType w:val="hybridMultilevel"/>
    <w:lvl w:ilvl="0">
      <w:lvlJc w:val="left"/>
      <w:lvlText w:val="(%1)"/>
      <w:numFmt w:val="lowerLetter"/>
      <w:start w:val="2"/>
    </w:lvl>
  </w:abstractNum>
  <w:abstractNum w:abstractNumId="531">
    <w:nsid w:val="247FC4A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32">
    <w:nsid w:val="46C01B0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3">
    <w:nsid w:val="566EC29B"/>
    <w:multiLevelType w:val="hybridMultilevel"/>
    <w:lvl w:ilvl="0">
      <w:lvlJc w:val="left"/>
      <w:lvlText w:val="%1"/>
      <w:numFmt w:val="decimal"/>
      <w:start w:val="1"/>
    </w:lvl>
    <w:lvl w:ilvl="1">
      <w:lvlJc w:val="left"/>
      <w:lvlText w:val="(%2)"/>
      <w:numFmt w:val="lowerLetter"/>
      <w:start w:val="2"/>
    </w:lvl>
  </w:abstractNum>
  <w:abstractNum w:abstractNumId="534">
    <w:nsid w:val="7A963843"/>
    <w:multiLevelType w:val="hybridMultilevel"/>
    <w:lvl w:ilvl="0">
      <w:lvlJc w:val="left"/>
      <w:lvlText w:val="%1."/>
      <w:numFmt w:val="decimal"/>
      <w:start w:val="11"/>
    </w:lvl>
    <w:lvl w:ilvl="1">
      <w:lvlJc w:val="left"/>
      <w:lvlText w:val="(%2)"/>
      <w:numFmt w:val="lowerLetter"/>
      <w:start w:val="1"/>
    </w:lvl>
  </w:abstractNum>
  <w:abstractNum w:abstractNumId="535">
    <w:nsid w:val="4FE12F61"/>
    <w:multiLevelType w:val="hybridMultilevel"/>
    <w:lvl w:ilvl="0">
      <w:lvlJc w:val="left"/>
      <w:lvlText w:val="%1"/>
      <w:numFmt w:val="decimal"/>
      <w:start w:val="1"/>
    </w:lvl>
    <w:lvl w:ilvl="1">
      <w:lvlJc w:val="left"/>
      <w:lvlText w:val="(%2)"/>
      <w:numFmt w:val="lowerLetter"/>
      <w:start w:val="2"/>
    </w:lvl>
  </w:abstractNum>
  <w:abstractNum w:abstractNumId="536">
    <w:nsid w:val="51A3A284"/>
    <w:multiLevelType w:val="hybridMultilevel"/>
    <w:lvl w:ilvl="0">
      <w:lvlJc w:val="left"/>
      <w:lvlText w:val="%1."/>
      <w:numFmt w:val="decimal"/>
      <w:start w:val="12"/>
    </w:lvl>
    <w:lvl w:ilvl="1">
      <w:lvlJc w:val="left"/>
      <w:lvlText w:val="%2"/>
      <w:numFmt w:val="lowerLetter"/>
      <w:start w:val="1"/>
    </w:lvl>
  </w:abstractNum>
  <w:abstractNum w:abstractNumId="537">
    <w:nsid w:val="376863B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538">
    <w:nsid w:val="118C6C0"/>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539">
    <w:nsid w:val="7F7E4A15"/>
    <w:multiLevelType w:val="hybridMultilevel"/>
    <w:lvl w:ilvl="0">
      <w:lvlJc w:val="left"/>
      <w:lvlText w:val="%1."/>
      <w:numFmt w:val="decimal"/>
      <w:start w:val="23"/>
    </w:lvl>
    <w:lvl w:ilvl="1">
      <w:lvlJc w:val="left"/>
      <w:lvlText w:val="(%2)"/>
      <w:numFmt w:val="lowerLetter"/>
      <w:start w:val="1"/>
    </w:lvl>
  </w:abstractNum>
  <w:abstractNum w:abstractNumId="540">
    <w:nsid w:val="2E8E9F47"/>
    <w:multiLevelType w:val="hybridMultilevel"/>
    <w:lvl w:ilvl="0">
      <w:lvlJc w:val="left"/>
      <w:lvlText w:val="%1"/>
      <w:numFmt w:val="decimal"/>
      <w:start w:val="1"/>
    </w:lvl>
    <w:lvl w:ilvl="1">
      <w:lvlJc w:val="left"/>
      <w:lvlText w:val="(%2)"/>
      <w:numFmt w:val="lowerLetter"/>
      <w:start w:val="2"/>
    </w:lvl>
  </w:abstractNum>
  <w:abstractNum w:abstractNumId="541">
    <w:nsid w:val="76742596"/>
    <w:multiLevelType w:val="hybridMultilevel"/>
    <w:lvl w:ilvl="0">
      <w:lvlJc w:val="left"/>
      <w:lvlText w:val="%1."/>
      <w:numFmt w:val="decimal"/>
      <w:start w:val="28"/>
    </w:lvl>
    <w:lvl w:ilvl="1">
      <w:lvlJc w:val="left"/>
      <w:lvlText w:val="(%2)"/>
      <w:numFmt w:val="lowerLetter"/>
      <w:start w:val="1"/>
    </w:lvl>
  </w:abstractNum>
  <w:abstractNum w:abstractNumId="542">
    <w:nsid w:val="CB55FF3"/>
    <w:multiLevelType w:val="hybridMultilevel"/>
    <w:lvl w:ilvl="0">
      <w:lvlJc w:val="left"/>
      <w:lvlText w:val="(%1)"/>
      <w:numFmt w:val="lowerLetter"/>
      <w:start w:val="11"/>
    </w:lvl>
    <w:lvl w:ilvl="1">
      <w:lvlJc w:val="left"/>
      <w:lvlText w:val="%2."/>
      <w:numFmt w:val="lowerRoman"/>
      <w:start w:val="1"/>
    </w:lvl>
  </w:abstractNum>
  <w:abstractNum w:abstractNumId="543">
    <w:nsid w:val="21DF319E"/>
    <w:multiLevelType w:val="hybridMultilevel"/>
    <w:lvl w:ilvl="0">
      <w:lvlJc w:val="left"/>
      <w:lvlText w:val="%1"/>
      <w:numFmt w:val="lowerRoman"/>
      <w:start w:val="3"/>
    </w:lvl>
  </w:abstractNum>
  <w:abstractNum w:abstractNumId="544">
    <w:nsid w:val="6687F34D"/>
    <w:multiLevelType w:val="hybridMultilevel"/>
    <w:lvl w:ilvl="0">
      <w:lvlJc w:val="left"/>
      <w:lvlText w:val="%1"/>
      <w:numFmt w:val="lowerLetter"/>
      <w:start w:val="1"/>
    </w:lvl>
    <w:lvl w:ilvl="1">
      <w:lvlJc w:val="left"/>
      <w:lvlText w:val="%2."/>
      <w:numFmt w:val="lowerRoman"/>
      <w:start w:val="4"/>
    </w:lvl>
  </w:abstractNum>
  <w:abstractNum w:abstractNumId="545">
    <w:nsid w:val="25415B0C"/>
    <w:multiLevelType w:val="hybridMultilevel"/>
    <w:lvl w:ilvl="0">
      <w:lvlJc w:val="left"/>
      <w:lvlText w:val="(%1)"/>
      <w:numFmt w:val="lowerLetter"/>
      <w:start w:val="14"/>
    </w:lvl>
    <w:lvl w:ilvl="1">
      <w:lvlJc w:val="left"/>
      <w:lvlText w:val="%2"/>
      <w:numFmt w:val="lowerRoman"/>
      <w:start w:val="1"/>
    </w:lvl>
  </w:abstractNum>
  <w:abstractNum w:abstractNumId="546">
    <w:nsid w:val="17CFC87D"/>
    <w:multiLevelType w:val="hybridMultilevel"/>
    <w:lvl w:ilvl="0">
      <w:lvlJc w:val="left"/>
      <w:lvlText w:val="(%1)"/>
      <w:numFmt w:val="lowerLetter"/>
      <w:start w:val="15"/>
    </w:lvl>
  </w:abstractNum>
  <w:abstractNum w:abstractNumId="547">
    <w:nsid w:val="5D66DC65"/>
    <w:multiLevelType w:val="hybridMultilevel"/>
    <w:lvl w:ilvl="0">
      <w:lvlJc w:val="left"/>
      <w:lvlText w:val="(%1)"/>
      <w:numFmt w:val="lowerLetter"/>
      <w:start w:val="21"/>
    </w:lvl>
  </w:abstractNum>
  <w:abstractNum w:abstractNumId="548">
    <w:nsid w:val="30BB2B99"/>
    <w:multiLevelType w:val="hybridMultilevel"/>
    <w:lvl w:ilvl="0">
      <w:lvlJc w:val="left"/>
      <w:lvlText w:val="(%1)"/>
      <w:numFmt w:val="lowerRoman"/>
      <w:start w:val="1"/>
    </w:lvl>
  </w:abstractNum>
  <w:abstractNum w:abstractNumId="549">
    <w:nsid w:val="E3D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0">
    <w:nsid w:val="595B37F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1">
    <w:nsid w:val="71DB7E02"/>
    <w:multiLevelType w:val="hybridMultilevel"/>
    <w:lvl w:ilvl="0">
      <w:lvlJc w:val="left"/>
      <w:lvlText w:val="%1."/>
      <w:numFmt w:val="decimal"/>
      <w:start w:val="3"/>
    </w:lvl>
    <w:lvl w:ilvl="1">
      <w:lvlJc w:val="left"/>
      <w:lvlText w:val="(%2)"/>
      <w:numFmt w:val="lowerLetter"/>
      <w:start w:val="1"/>
    </w:lvl>
  </w:abstractNum>
  <w:abstractNum w:abstractNumId="552">
    <w:nsid w:val="17EC0C4"/>
    <w:multiLevelType w:val="hybridMultilevel"/>
    <w:lvl w:ilvl="0">
      <w:lvlJc w:val="left"/>
      <w:lvlText w:val="%1."/>
      <w:numFmt w:val="decimal"/>
      <w:start w:val="1"/>
    </w:lvl>
  </w:abstractNum>
  <w:abstractNum w:abstractNumId="553">
    <w:nsid w:val="7173BB22"/>
    <w:multiLevelType w:val="hybridMultilevel"/>
    <w:lvl w:ilvl="0">
      <w:lvlJc w:val="left"/>
      <w:lvlText w:val="%1."/>
      <w:numFmt w:val="decimal"/>
      <w:start w:val="4"/>
    </w:lvl>
  </w:abstractNum>
  <w:abstractNum w:abstractNumId="554">
    <w:nsid w:val="169E1DD3"/>
    <w:multiLevelType w:val="hybridMultilevel"/>
    <w:lvl w:ilvl="0">
      <w:lvlJc w:val="left"/>
      <w:lvlText w:val="%1."/>
      <w:numFmt w:val="decimal"/>
      <w:start w:val="10"/>
    </w:lvl>
  </w:abstractNum>
  <w:abstractNum w:abstractNumId="555">
    <w:nsid w:val="51D141CC"/>
    <w:multiLevelType w:val="hybridMultilevel"/>
    <w:lvl w:ilvl="0">
      <w:lvlJc w:val="left"/>
      <w:lvlText w:val="(%1)"/>
      <w:numFmt w:val="lowerLetter"/>
      <w:start w:val="3"/>
    </w:lvl>
  </w:abstractNum>
  <w:abstractNum w:abstractNumId="556">
    <w:nsid w:val="12F9357A"/>
    <w:multiLevelType w:val="hybridMultilevel"/>
    <w:lvl w:ilvl="0">
      <w:lvlJc w:val="left"/>
      <w:lvlText w:val="(%1)"/>
      <w:numFmt w:val="lowerLetter"/>
      <w:start w:val="1"/>
    </w:lvl>
    <w:lvl w:ilvl="1">
      <w:lvlJc w:val="left"/>
      <w:lvlText w:val="(%2)"/>
      <w:numFmt w:val="lowerRoman"/>
      <w:start w:val="1"/>
    </w:lvl>
  </w:abstractNum>
  <w:abstractNum w:abstractNumId="557">
    <w:nsid w:val="7672CF28"/>
    <w:multiLevelType w:val="hybridMultilevel"/>
    <w:lvl w:ilvl="0">
      <w:lvlJc w:val="left"/>
      <w:lvlText w:val="(%1)"/>
      <w:numFmt w:val="lowerLetter"/>
      <w:start w:val="2"/>
    </w:lvl>
  </w:abstractNum>
  <w:abstractNum w:abstractNumId="558">
    <w:nsid w:val="567D2763"/>
    <w:multiLevelType w:val="hybridMultilevel"/>
    <w:lvl w:ilvl="0">
      <w:lvlJc w:val="left"/>
      <w:lvlText w:val="(%1)"/>
      <w:numFmt w:val="lowerLetter"/>
      <w:start w:val="1"/>
    </w:lvl>
  </w:abstractNum>
  <w:abstractNum w:abstractNumId="559">
    <w:nsid w:val="6F5DE2EF"/>
    <w:multiLevelType w:val="hybridMultilevel"/>
    <w:lvl w:ilvl="0">
      <w:lvlJc w:val="left"/>
      <w:lvlText w:val="(%1)"/>
      <w:numFmt w:val="lowerLetter"/>
      <w:start w:val="4"/>
    </w:lvl>
  </w:abstractNum>
  <w:abstractNum w:abstractNumId="560">
    <w:nsid w:val="23502A61"/>
    <w:multiLevelType w:val="hybridMultilevel"/>
    <w:lvl w:ilvl="0">
      <w:lvlJc w:val="left"/>
      <w:lvlText w:val="(%1)"/>
      <w:numFmt w:val="lowerLetter"/>
      <w:start w:val="1"/>
    </w:lvl>
  </w:abstractNum>
  <w:abstractNum w:abstractNumId="561">
    <w:nsid w:val="461BC834"/>
    <w:multiLevelType w:val="hybridMultilevel"/>
    <w:lvl w:ilvl="0">
      <w:lvlJc w:val="left"/>
      <w:lvlText w:val="(%1)"/>
      <w:numFmt w:val="lowerLetter"/>
      <w:start w:val="2"/>
    </w:lvl>
  </w:abstractNum>
  <w:abstractNum w:abstractNumId="562">
    <w:nsid w:val="13DDA79D"/>
    <w:multiLevelType w:val="hybridMultilevel"/>
    <w:lvl w:ilvl="0">
      <w:lvlJc w:val="left"/>
      <w:lvlText w:val="%1."/>
      <w:numFmt w:val="decimal"/>
      <w:start w:val="1"/>
    </w:lvl>
  </w:abstractNum>
  <w:abstractNum w:abstractNumId="563">
    <w:nsid w:val="6A10456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2021-07-02T07:45:58Z</dcterms:created>
  <dcterms:modified xsi:type="dcterms:W3CDTF">2021-07-02T07:45:58Z</dcterms:modified>
</cp:coreProperties>
</file>