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5715</wp:posOffset>
            </wp:positionV>
            <wp:extent cx="187706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Sema4 Holdings Corp.</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236,223,401 Shares of Common Stock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7,236,667 Warrants to Purchase Shares of Common Stock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156845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80" w:firstLine="324"/>
        <w:spacing w:after="0" w:line="259" w:lineRule="auto"/>
        <w:rPr>
          <w:sz w:val="20"/>
          <w:szCs w:val="20"/>
          <w:color w:val="auto"/>
        </w:rPr>
      </w:pPr>
      <w:r>
        <w:rPr>
          <w:rFonts w:ascii="Arial" w:cs="Arial" w:eastAsia="Arial" w:hAnsi="Arial"/>
          <w:sz w:val="18"/>
          <w:szCs w:val="18"/>
          <w:color w:val="auto"/>
        </w:rPr>
        <w:t>This prospectus supplement supplements the prospectus dated August 12, 2021 (the “Prospectus”), which forms a part of our registration statement on Form S-1 (No. 333-258467). This prospectus supplement is being filed to update and supplement the information in the Prospectus with the information contained in our current report on Form 8-K, filed with the Securities and Exchange Commission (the “SEC”) on January 10, 2022 (the “Current Report”). Accordingly, we have attached the Current Report to this prospectus supplement.</w:t>
      </w:r>
    </w:p>
    <w:p>
      <w:pPr>
        <w:spacing w:after="0" w:line="79"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issued in a private placement pursuant to subscription agreements each entered into on February 9, 2021; (ii) up to 11,068,750 shares of our Class A common stock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168" w:lineRule="exact"/>
        <w:rPr>
          <w:sz w:val="24"/>
          <w:szCs w:val="24"/>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71" w:lineRule="exact"/>
        <w:rPr>
          <w:sz w:val="24"/>
          <w:szCs w:val="24"/>
          <w:color w:val="auto"/>
        </w:rPr>
      </w:pPr>
    </w:p>
    <w:p>
      <w:pPr>
        <w:ind w:right="360" w:firstLine="324"/>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January 7, 2022, the last reported sales price of our common stock was $4.11 per share and the last reported sales price of our public warrants was $0.76 per warrant.</w:t>
      </w:r>
    </w:p>
    <w:p>
      <w:pPr>
        <w:spacing w:after="0" w:line="184" w:lineRule="exact"/>
        <w:rPr>
          <w:sz w:val="24"/>
          <w:szCs w:val="24"/>
          <w:color w:val="auto"/>
        </w:rPr>
      </w:pPr>
    </w:p>
    <w:p>
      <w:pPr>
        <w:ind w:right="300" w:firstLine="324"/>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10 of the Prospectus to read about factors you should consider before buying our securities.</w:t>
      </w:r>
    </w:p>
    <w:p>
      <w:pPr>
        <w:spacing w:after="0" w:line="166" w:lineRule="exact"/>
        <w:rPr>
          <w:sz w:val="24"/>
          <w:szCs w:val="24"/>
          <w:color w:val="auto"/>
        </w:rPr>
      </w:pPr>
    </w:p>
    <w:p>
      <w:pPr>
        <w:ind w:right="720" w:firstLine="324"/>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January 10, 2022</w:t>
      </w:r>
    </w:p>
    <w:p>
      <w:pPr>
        <w:sectPr>
          <w:pgSz w:w="11900" w:h="16838" w:orient="portrait"/>
          <w:cols w:equalWidth="0" w:num="1">
            <w:col w:w="11240"/>
          </w:cols>
          <w:pgMar w:left="320" w:top="87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9"/>
          <w:szCs w:val="29"/>
          <w:b w:val="1"/>
          <w:bCs w:val="1"/>
          <w:color w:val="auto"/>
        </w:rPr>
        <w:t>UNITED STATES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10795</wp:posOffset>
            </wp:positionV>
            <wp:extent cx="187706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70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0"/>
                <w:szCs w:val="20"/>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40"/>
        </w:trPr>
        <w:tc>
          <w:tcPr>
            <w:tcW w:w="4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22"/>
        </w:trPr>
        <w:tc>
          <w:tcPr>
            <w:tcW w:w="42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9"/>
                <w:szCs w:val="19"/>
                <w:color w:val="auto"/>
              </w:rPr>
            </w:pPr>
          </w:p>
        </w:tc>
        <w:tc>
          <w:tcPr>
            <w:tcW w:w="27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3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78"/>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line="236" w:lineRule="auto"/>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Class A common stock, par value $0.0001 per share</w:t>
            </w:r>
          </w:p>
        </w:tc>
        <w:tc>
          <w:tcPr>
            <w:tcW w:w="2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SMFR</w:t>
            </w:r>
          </w:p>
        </w:tc>
        <w:tc>
          <w:tcPr>
            <w:tcW w:w="4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229"/>
        </w:trPr>
        <w:tc>
          <w:tcPr>
            <w:tcW w:w="48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22"/>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0"/>
                <w:szCs w:val="10"/>
                <w:color w:val="auto"/>
              </w:rPr>
            </w:pPr>
          </w:p>
        </w:tc>
        <w:tc>
          <w:tcPr>
            <w:tcW w:w="4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60" w:type="dxa"/>
            <w:vAlign w:val="bottom"/>
            <w:gridSpan w:val="2"/>
            <w:vMerge w:val="continue"/>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0"/>
          <w:szCs w:val="20"/>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836" w:right="339" w:bottom="1440" w:gutter="0" w:footer="0" w:header="0"/>
        </w:sectPr>
      </w:pPr>
    </w:p>
    <w:bookmarkStart w:id="2" w:name="page3"/>
    <w:bookmarkEnd w:id="2"/>
    <w:p>
      <w:pPr>
        <w:spacing w:after="0"/>
        <w:tabs>
          <w:tab w:leader="none" w:pos="13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On January 10, 2022, Sema4 Holdings Corp. (the "Company") is furnishing as Exhibit 99.1 hereto a copy of the investor presentation to be used at the 40th Annual J.P. Morgan Healthcare Conference event.</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00" w:type="dxa"/>
            <w:vAlign w:val="bottom"/>
            <w:gridSpan w:val="5"/>
          </w:tcPr>
          <w:p>
            <w:pPr>
              <w:spacing w:after="0"/>
              <w:rPr>
                <w:sz w:val="20"/>
                <w:szCs w:val="20"/>
                <w:color w:val="auto"/>
              </w:rPr>
            </w:pPr>
            <w:r>
              <w:rPr>
                <w:rFonts w:ascii="Arial" w:cs="Arial" w:eastAsia="Arial" w:hAnsi="Arial"/>
                <w:sz w:val="20"/>
                <w:szCs w:val="20"/>
                <w:b w:val="1"/>
                <w:bCs w:val="1"/>
                <w:color w:val="auto"/>
              </w:rPr>
              <w:t>Item 9.01</w:t>
            </w:r>
          </w:p>
        </w:tc>
        <w:tc>
          <w:tcPr>
            <w:tcW w:w="4960" w:type="dxa"/>
            <w:vAlign w:val="bottom"/>
            <w:gridSpan w:val="3"/>
          </w:tcPr>
          <w:p>
            <w:pPr>
              <w:ind w:left="40"/>
              <w:spacing w:after="0"/>
              <w:rPr>
                <w:sz w:val="20"/>
                <w:szCs w:val="20"/>
                <w:color w:val="auto"/>
              </w:rPr>
            </w:pPr>
            <w:r>
              <w:rPr>
                <w:rFonts w:ascii="Arial" w:cs="Arial" w:eastAsia="Arial" w:hAnsi="Arial"/>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459"/>
        </w:trPr>
        <w:tc>
          <w:tcPr>
            <w:tcW w:w="1300" w:type="dxa"/>
            <w:vAlign w:val="bottom"/>
            <w:gridSpan w:val="5"/>
          </w:tcPr>
          <w:p>
            <w:pPr>
              <w:spacing w:after="0"/>
              <w:rPr>
                <w:sz w:val="20"/>
                <w:szCs w:val="20"/>
                <w:color w:val="auto"/>
              </w:rPr>
            </w:pPr>
            <w:r>
              <w:rPr>
                <w:rFonts w:ascii="Arial" w:cs="Arial" w:eastAsia="Arial" w:hAnsi="Arial"/>
                <w:sz w:val="20"/>
                <w:szCs w:val="20"/>
                <w:color w:val="auto"/>
              </w:rPr>
              <w:t>(d) Exhibits.</w:t>
            </w:r>
          </w:p>
        </w:tc>
        <w:tc>
          <w:tcPr>
            <w:tcW w:w="3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20"/>
                <w:szCs w:val="20"/>
                <w:b w:val="1"/>
                <w:bCs w:val="1"/>
                <w:color w:val="auto"/>
                <w:w w:val="92"/>
              </w:rPr>
              <w:t>Exhibit</w:t>
            </w:r>
          </w:p>
        </w:tc>
        <w:tc>
          <w:tcPr>
            <w:tcW w:w="3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vMerge w:val="restart"/>
          </w:tcPr>
          <w:p>
            <w:pPr>
              <w:spacing w:after="0"/>
              <w:rPr>
                <w:sz w:val="21"/>
                <w:szCs w:val="21"/>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2"/>
              </w:rPr>
              <w:t>Number</w:t>
            </w:r>
          </w:p>
        </w:tc>
        <w:tc>
          <w:tcPr>
            <w:tcW w:w="300" w:type="dxa"/>
            <w:vAlign w:val="bottom"/>
            <w:vMerge w:val="restart"/>
          </w:tcPr>
          <w:p>
            <w:pPr>
              <w:spacing w:after="0"/>
              <w:rPr>
                <w:sz w:val="21"/>
                <w:szCs w:val="21"/>
                <w:color w:val="auto"/>
              </w:rPr>
            </w:pPr>
          </w:p>
        </w:tc>
        <w:tc>
          <w:tcPr>
            <w:tcW w:w="3620" w:type="dxa"/>
            <w:vAlign w:val="bottom"/>
            <w:vMerge w:val="restart"/>
          </w:tcPr>
          <w:p>
            <w:pPr>
              <w:spacing w:after="0"/>
              <w:rPr>
                <w:sz w:val="21"/>
                <w:szCs w:val="21"/>
                <w:color w:val="auto"/>
              </w:rPr>
            </w:pPr>
          </w:p>
        </w:tc>
        <w:tc>
          <w:tcPr>
            <w:tcW w:w="360" w:type="dxa"/>
            <w:vAlign w:val="bottom"/>
            <w:vMerge w:val="restart"/>
          </w:tcPr>
          <w:p>
            <w:pPr>
              <w:spacing w:after="0"/>
              <w:rPr>
                <w:sz w:val="21"/>
                <w:szCs w:val="21"/>
                <w:color w:val="auto"/>
              </w:rPr>
            </w:pPr>
          </w:p>
        </w:tc>
        <w:tc>
          <w:tcPr>
            <w:tcW w:w="980" w:type="dxa"/>
            <w:vAlign w:val="bottom"/>
            <w:vMerge w:val="restart"/>
          </w:tcPr>
          <w:p>
            <w:pPr>
              <w:spacing w:after="0"/>
              <w:rPr>
                <w:sz w:val="20"/>
                <w:szCs w:val="20"/>
                <w:color w:val="auto"/>
              </w:rPr>
            </w:pPr>
            <w:r>
              <w:rPr>
                <w:rFonts w:ascii="Arial" w:cs="Arial" w:eastAsia="Arial" w:hAnsi="Arial"/>
                <w:sz w:val="20"/>
                <w:szCs w:val="20"/>
                <w:b w:val="1"/>
                <w:bCs w:val="1"/>
                <w:color w:val="auto"/>
                <w:w w:val="87"/>
              </w:rPr>
              <w:t>Description</w:t>
            </w:r>
          </w:p>
        </w:tc>
        <w:tc>
          <w:tcPr>
            <w:tcW w:w="0" w:type="dxa"/>
            <w:vAlign w:val="bottom"/>
          </w:tcPr>
          <w:p>
            <w:pPr>
              <w:spacing w:after="0"/>
              <w:rPr>
                <w:sz w:val="1"/>
                <w:szCs w:val="1"/>
                <w:color w:val="auto"/>
              </w:rPr>
            </w:pPr>
          </w:p>
        </w:tc>
      </w:tr>
      <w:tr>
        <w:trPr>
          <w:trHeight w:val="25"/>
        </w:trPr>
        <w:tc>
          <w:tcPr>
            <w:tcW w:w="300" w:type="dxa"/>
            <w:vAlign w:val="bottom"/>
            <w:vMerge w:val="continu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98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960" w:type="dxa"/>
            <w:vAlign w:val="bottom"/>
            <w:gridSpan w:val="3"/>
          </w:tcPr>
          <w:p>
            <w:pPr>
              <w:jc w:val="center"/>
              <w:ind w:left="241"/>
              <w:spacing w:after="0"/>
              <w:rPr>
                <w:sz w:val="20"/>
                <w:szCs w:val="20"/>
                <w:color w:val="auto"/>
              </w:rPr>
            </w:pPr>
            <w:r>
              <w:rPr>
                <w:rFonts w:ascii="Arial" w:cs="Arial" w:eastAsia="Arial" w:hAnsi="Arial"/>
                <w:sz w:val="20"/>
                <w:szCs w:val="20"/>
                <w:color w:val="auto"/>
                <w:w w:val="87"/>
              </w:rPr>
              <w:t>99.1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tcBorders>
              <w:bottom w:val="single" w:sz="8" w:color="0000FF"/>
            </w:tcBorders>
          </w:tcPr>
          <w:p>
            <w:pPr>
              <w:spacing w:after="0"/>
              <w:rPr>
                <w:rFonts w:ascii="Arial" w:cs="Arial" w:eastAsia="Arial" w:hAnsi="Arial"/>
                <w:sz w:val="20"/>
                <w:szCs w:val="20"/>
                <w:color w:val="0000FF"/>
                <w:w w:val="87"/>
              </w:rPr>
            </w:pPr>
            <w:hyperlink r:id="rId11">
              <w:r>
                <w:rPr>
                  <w:rFonts w:ascii="Arial" w:cs="Arial" w:eastAsia="Arial" w:hAnsi="Arial"/>
                  <w:sz w:val="20"/>
                  <w:szCs w:val="20"/>
                  <w:color w:val="0000FF"/>
                  <w:w w:val="87"/>
                </w:rPr>
                <w:t>Investor Presentation, dated January 10, 2022</w:t>
              </w:r>
            </w:hyperlink>
          </w:p>
        </w:tc>
        <w:tc>
          <w:tcPr>
            <w:tcW w:w="1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440" w:right="419" w:bottom="1440" w:gutter="0" w:footer="0" w:header="0"/>
        </w:sectPr>
      </w:pPr>
    </w:p>
    <w:bookmarkStart w:id="3" w:name="page4"/>
    <w:bookmarkEnd w:id="3"/>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3200" w:type="dxa"/>
            <w:vAlign w:val="bottom"/>
          </w:tcPr>
          <w:p>
            <w:pPr>
              <w:spacing w:after="0"/>
              <w:rPr>
                <w:sz w:val="22"/>
                <w:szCs w:val="22"/>
                <w:color w:val="auto"/>
              </w:rPr>
            </w:pPr>
          </w:p>
        </w:tc>
        <w:tc>
          <w:tcPr>
            <w:tcW w:w="6940" w:type="dxa"/>
            <w:vAlign w:val="bottom"/>
            <w:gridSpan w:val="2"/>
          </w:tcPr>
          <w:p>
            <w:pPr>
              <w:ind w:left="1380"/>
              <w:spacing w:after="0"/>
              <w:rPr>
                <w:sz w:val="20"/>
                <w:szCs w:val="20"/>
                <w:color w:val="auto"/>
              </w:rPr>
            </w:pPr>
            <w:r>
              <w:rPr>
                <w:rFonts w:ascii="Arial" w:cs="Arial" w:eastAsia="Arial" w:hAnsi="Arial"/>
                <w:sz w:val="20"/>
                <w:szCs w:val="20"/>
                <w:b w:val="1"/>
                <w:bCs w:val="1"/>
                <w:color w:val="auto"/>
              </w:rPr>
              <w:t>Sema4 Holdings Corp.</w:t>
            </w:r>
          </w:p>
        </w:tc>
      </w:tr>
      <w:tr>
        <w:trPr>
          <w:trHeight w:val="648"/>
        </w:trPr>
        <w:tc>
          <w:tcPr>
            <w:tcW w:w="3200" w:type="dxa"/>
            <w:vAlign w:val="bottom"/>
          </w:tcPr>
          <w:p>
            <w:pPr>
              <w:spacing w:after="0"/>
              <w:rPr>
                <w:sz w:val="20"/>
                <w:szCs w:val="20"/>
                <w:color w:val="auto"/>
              </w:rPr>
            </w:pPr>
            <w:r>
              <w:rPr>
                <w:rFonts w:ascii="Arial" w:cs="Arial" w:eastAsia="Arial" w:hAnsi="Arial"/>
                <w:sz w:val="20"/>
                <w:szCs w:val="20"/>
                <w:color w:val="auto"/>
              </w:rPr>
              <w:t>Date: January 10, 2022</w:t>
            </w:r>
          </w:p>
        </w:tc>
        <w:tc>
          <w:tcPr>
            <w:tcW w:w="2260" w:type="dxa"/>
            <w:vAlign w:val="bottom"/>
          </w:tcPr>
          <w:p>
            <w:pPr>
              <w:ind w:left="1380"/>
              <w:spacing w:after="0"/>
              <w:rPr>
                <w:sz w:val="20"/>
                <w:szCs w:val="20"/>
                <w:color w:val="auto"/>
              </w:rPr>
            </w:pPr>
            <w:r>
              <w:rPr>
                <w:rFonts w:ascii="Arial" w:cs="Arial" w:eastAsia="Arial" w:hAnsi="Arial"/>
                <w:sz w:val="20"/>
                <w:szCs w:val="20"/>
                <w:color w:val="auto"/>
              </w:rPr>
              <w:t>By:</w:t>
            </w:r>
          </w:p>
        </w:tc>
        <w:tc>
          <w:tcPr>
            <w:tcW w:w="4680" w:type="dxa"/>
            <w:vAlign w:val="bottom"/>
          </w:tcPr>
          <w:p>
            <w:pPr>
              <w:ind w:left="40"/>
              <w:spacing w:after="0"/>
              <w:rPr>
                <w:sz w:val="20"/>
                <w:szCs w:val="20"/>
                <w:color w:val="auto"/>
              </w:rPr>
            </w:pPr>
            <w:r>
              <w:rPr>
                <w:rFonts w:ascii="Arial" w:cs="Arial" w:eastAsia="Arial" w:hAnsi="Arial"/>
                <w:sz w:val="20"/>
                <w:szCs w:val="20"/>
                <w:color w:val="auto"/>
              </w:rPr>
              <w:t>/s/ Eric Schadt</w:t>
            </w:r>
          </w:p>
        </w:tc>
      </w:tr>
      <w:tr>
        <w:trPr>
          <w:trHeight w:val="23"/>
        </w:trPr>
        <w:tc>
          <w:tcPr>
            <w:tcW w:w="3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54"/>
        </w:trPr>
        <w:tc>
          <w:tcPr>
            <w:tcW w:w="3200" w:type="dxa"/>
            <w:vAlign w:val="bottom"/>
          </w:tcPr>
          <w:p>
            <w:pPr>
              <w:spacing w:after="0"/>
              <w:rPr>
                <w:sz w:val="22"/>
                <w:szCs w:val="22"/>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Name:</w:t>
            </w:r>
          </w:p>
        </w:tc>
        <w:tc>
          <w:tcPr>
            <w:tcW w:w="468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83"/>
        </w:trPr>
        <w:tc>
          <w:tcPr>
            <w:tcW w:w="3200" w:type="dxa"/>
            <w:vAlign w:val="bottom"/>
          </w:tcPr>
          <w:p>
            <w:pPr>
              <w:spacing w:after="0"/>
              <w:rPr>
                <w:sz w:val="24"/>
                <w:szCs w:val="24"/>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Title:</w:t>
            </w:r>
          </w:p>
        </w:tc>
        <w:tc>
          <w:tcPr>
            <w:tcW w:w="46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hyperlink" Target="https://www.sec.gov/Archives/edgar/data/0001818331/000181833122000006/sema4jpmdeck011022_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2022-01-10T15:35:02Z</dcterms:created>
  <dcterms:modified xsi:type="dcterms:W3CDTF">2022-01-10T15:35:02Z</dcterms:modified>
</cp:coreProperties>
</file>