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11"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Ryan Jason</w:t>
              </w:r>
            </w:hyperlink>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11/19/2024</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11"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1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tcPr>
          <w:p>
            <w:pPr>
              <w:jc w:val="center"/>
              <w:ind w:left="40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11/19/2024</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141,356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47,000</w:t>
            </w:r>
          </w:p>
        </w:tc>
        <w:tc>
          <w:tcPr>
            <w:tcW w:w="980" w:type="dxa"/>
            <w:vAlign w:val="bottom"/>
            <w:vMerge w:val="restart"/>
          </w:tcPr>
          <w:p>
            <w:pPr>
              <w:jc w:val="center"/>
              <w:ind w:left="5"/>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u/a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11/19/2024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5,952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70.8642</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41,048</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u/a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11/19/2024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24,784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71.3533</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16,264</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u/a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11/19/2024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774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72.2565</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15,490</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u/a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11/20/2024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9,361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68.3555</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6,129</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u/a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11/20/2024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1,857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69.8379</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4,272</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u/a 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11/20/2024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4,272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70.502</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3"/>
              </w:rPr>
              <w:t>0</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u/a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dtd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11/25/2018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Jason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141,356</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 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130</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21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5"/>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(Instr. 3, 4</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00" w:lineRule="exact"/>
              <w:rPr>
                <w:sz w:val="20"/>
                <w:szCs w:val="20"/>
                <w:color w:val="auto"/>
              </w:rPr>
            </w:pPr>
            <w:r>
              <w:rPr>
                <w:rFonts w:ascii="Arial" w:cs="Arial" w:eastAsia="Arial" w:hAnsi="Arial"/>
                <w:sz w:val="11"/>
                <w:szCs w:val="11"/>
                <w:b w:val="1"/>
                <w:bCs w:val="1"/>
                <w:color w:val="auto"/>
              </w:rPr>
              <w:t>(Instr. 4)</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5. Number</w:t>
            </w:r>
          </w:p>
        </w:tc>
        <w:tc>
          <w:tcPr>
            <w:tcW w:w="154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9. Number of</w:t>
            </w: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and 5)</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 of</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of</w:t>
            </w:r>
          </w:p>
        </w:tc>
        <w:tc>
          <w:tcPr>
            <w:tcW w:w="154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80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or Exercise</w:t>
            </w:r>
          </w:p>
        </w:tc>
        <w:tc>
          <w:tcPr>
            <w:tcW w:w="112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if any</w:t>
            </w:r>
          </w:p>
        </w:tc>
        <w:tc>
          <w:tcPr>
            <w:tcW w:w="680" w:type="dxa"/>
            <w:vAlign w:val="bottom"/>
          </w:tcPr>
          <w:p>
            <w:pPr>
              <w:spacing w:after="0"/>
              <w:rPr>
                <w:sz w:val="6"/>
                <w:szCs w:val="6"/>
                <w:color w:val="auto"/>
              </w:rPr>
            </w:pPr>
          </w:p>
        </w:tc>
        <w:tc>
          <w:tcPr>
            <w:tcW w:w="820" w:type="dxa"/>
            <w:vAlign w:val="bottom"/>
            <w:tcBorders>
              <w:top w:val="single" w:sz="8" w:color="2C2C2C"/>
            </w:tcBorders>
          </w:tcPr>
          <w:p>
            <w:pPr>
              <w:ind w:left="60"/>
              <w:spacing w:after="0" w:line="74" w:lineRule="exact"/>
              <w:rPr>
                <w:sz w:val="20"/>
                <w:szCs w:val="20"/>
                <w:color w:val="auto"/>
              </w:rPr>
            </w:pPr>
            <w:r>
              <w:rPr>
                <w:rFonts w:ascii="Arial" w:cs="Arial" w:eastAsia="Arial" w:hAnsi="Arial"/>
                <w:sz w:val="8"/>
                <w:szCs w:val="8"/>
                <w:b w:val="1"/>
                <w:bCs w:val="1"/>
                <w:color w:val="auto"/>
              </w:rPr>
              <w:t>Code (Instr.</w:t>
            </w:r>
          </w:p>
        </w:tc>
        <w:tc>
          <w:tcPr>
            <w:tcW w:w="740" w:type="dxa"/>
            <w:vAlign w:val="bottom"/>
            <w:tcBorders>
              <w:top w:val="single" w:sz="8" w:color="2C2C2C"/>
            </w:tcBorders>
          </w:tcPr>
          <w:p>
            <w:pPr>
              <w:ind w:left="80"/>
              <w:spacing w:after="0" w:line="74" w:lineRule="exact"/>
              <w:rPr>
                <w:sz w:val="20"/>
                <w:szCs w:val="20"/>
                <w:color w:val="auto"/>
              </w:rPr>
            </w:pPr>
            <w:r>
              <w:rPr>
                <w:rFonts w:ascii="Arial" w:cs="Arial" w:eastAsia="Arial" w:hAnsi="Arial"/>
                <w:sz w:val="8"/>
                <w:szCs w:val="8"/>
                <w:b w:val="1"/>
                <w:bCs w:val="1"/>
                <w:color w:val="auto"/>
              </w:rPr>
              <w:t>Derivative</w:t>
            </w:r>
          </w:p>
        </w:tc>
        <w:tc>
          <w:tcPr>
            <w:tcW w:w="1540" w:type="dxa"/>
            <w:vAlign w:val="bottom"/>
            <w:tcBorders>
              <w:top w:val="single" w:sz="8" w:color="2C2C2C"/>
            </w:tcBorders>
            <w:gridSpan w:val="2"/>
          </w:tcPr>
          <w:p>
            <w:pPr>
              <w:ind w:left="60"/>
              <w:spacing w:after="0" w:line="74" w:lineRule="exact"/>
              <w:rPr>
                <w:sz w:val="20"/>
                <w:szCs w:val="20"/>
                <w:color w:val="auto"/>
              </w:rPr>
            </w:pPr>
            <w:r>
              <w:rPr>
                <w:rFonts w:ascii="Arial" w:cs="Arial" w:eastAsia="Arial" w:hAnsi="Arial"/>
                <w:sz w:val="8"/>
                <w:szCs w:val="8"/>
                <w:b w:val="1"/>
                <w:bCs w:val="1"/>
                <w:color w:val="auto"/>
              </w:rPr>
              <w:t>(Month/Day/Year)</w:t>
            </w:r>
          </w:p>
        </w:tc>
        <w:tc>
          <w:tcPr>
            <w:tcW w:w="980" w:type="dxa"/>
            <w:vAlign w:val="bottom"/>
            <w:tcBorders>
              <w:top w:val="single" w:sz="8" w:color="2C2C2C"/>
            </w:tcBorders>
          </w:tcPr>
          <w:p>
            <w:pPr>
              <w:ind w:left="60"/>
              <w:spacing w:after="0" w:line="74" w:lineRule="exact"/>
              <w:rPr>
                <w:sz w:val="20"/>
                <w:szCs w:val="20"/>
                <w:color w:val="auto"/>
              </w:rPr>
            </w:pPr>
            <w:r>
              <w:rPr>
                <w:rFonts w:ascii="Arial" w:cs="Arial" w:eastAsia="Arial" w:hAnsi="Arial"/>
                <w:sz w:val="8"/>
                <w:szCs w:val="8"/>
                <w:b w:val="1"/>
                <w:bCs w:val="1"/>
                <w:color w:val="auto"/>
              </w:rPr>
              <w:t>Securities</w:t>
            </w:r>
          </w:p>
        </w:tc>
        <w:tc>
          <w:tcPr>
            <w:tcW w:w="80" w:type="dxa"/>
            <w:vAlign w:val="bottom"/>
          </w:tcPr>
          <w:p>
            <w:pPr>
              <w:spacing w:after="0"/>
              <w:rPr>
                <w:sz w:val="6"/>
                <w:szCs w:val="6"/>
                <w:color w:val="auto"/>
              </w:rPr>
            </w:pPr>
          </w:p>
        </w:tc>
        <w:tc>
          <w:tcPr>
            <w:tcW w:w="640" w:type="dxa"/>
            <w:vAlign w:val="bottom"/>
          </w:tcPr>
          <w:p>
            <w:pPr>
              <w:spacing w:after="0" w:line="74" w:lineRule="exact"/>
              <w:rPr>
                <w:sz w:val="20"/>
                <w:szCs w:val="20"/>
                <w:color w:val="auto"/>
              </w:rPr>
            </w:pPr>
            <w:r>
              <w:rPr>
                <w:rFonts w:ascii="Arial" w:cs="Arial" w:eastAsia="Arial" w:hAnsi="Arial"/>
                <w:sz w:val="8"/>
                <w:szCs w:val="8"/>
                <w:b w:val="1"/>
                <w:bCs w:val="1"/>
                <w:color w:val="auto"/>
              </w:rPr>
              <w:t>Security</w:t>
            </w: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Securities</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Form:</w:t>
            </w:r>
          </w:p>
        </w:tc>
        <w:tc>
          <w:tcPr>
            <w:tcW w:w="78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40" w:type="dxa"/>
            <w:vAlign w:val="bottom"/>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3 and 4)</w:t>
            </w: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ind w:left="80"/>
              <w:spacing w:after="0" w:line="80" w:lineRule="exact"/>
              <w:rPr>
                <w:sz w:val="20"/>
                <w:szCs w:val="20"/>
                <w:color w:val="auto"/>
              </w:rPr>
            </w:pPr>
            <w:r>
              <w:rPr>
                <w:rFonts w:ascii="Arial" w:cs="Arial" w:eastAsia="Arial" w:hAnsi="Arial"/>
                <w:sz w:val="8"/>
                <w:szCs w:val="8"/>
                <w:b w:val="1"/>
                <w:bCs w:val="1"/>
                <w:color w:val="auto"/>
              </w:rPr>
              <w:t>of (D)</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3, 4</w:t>
            </w: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right="260"/>
        <w:spacing w:after="0" w:line="184" w:lineRule="auto"/>
        <w:rPr>
          <w:sz w:val="20"/>
          <w:szCs w:val="20"/>
          <w:color w:val="auto"/>
        </w:rPr>
      </w:pPr>
      <w:r>
        <w:rPr>
          <w:rFonts w:ascii="Times New Roman" w:cs="Times New Roman" w:eastAsia="Times New Roman" w:hAnsi="Times New Roman"/>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00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00275"/>
                    </a:xfrm>
                    <a:prstGeom prst="rect">
                      <a:avLst/>
                    </a:prstGeom>
                    <a:noFill/>
                  </pic:spPr>
                </pic:pic>
              </a:graphicData>
            </a:graphic>
          </wp:anchor>
        </w:drawing>
        <w:t>1. On November 19, 2024, the reporting person transferred 141,356 shares of GeneDx Holdings Corp. Class A common stock from the reporting person's indirect holdings to the Jason Ryan 2024 GRAT (the "GRAT") for no consideration. The reporting person is the trustee of the GRAT, and the reporting person is the sole annuitant of the grantor</w:t>
      </w:r>
      <w:r>
        <w:rPr>
          <w:rFonts w:ascii="Arial" w:cs="Arial" w:eastAsia="Arial" w:hAnsi="Arial"/>
          <w:sz w:val="19"/>
          <w:szCs w:val="19"/>
          <w:b w:val="1"/>
          <w:bCs w:val="1"/>
          <w:color w:val="000000"/>
          <w:vertAlign w:val="superscript"/>
        </w:rPr>
        <w:t>Amount</w:t>
      </w:r>
      <w:r>
        <w:rPr>
          <w:rFonts w:ascii="Times New Roman" w:cs="Times New Roman" w:eastAsia="Times New Roman" w:hAnsi="Times New Roman"/>
          <w:sz w:val="11"/>
          <w:szCs w:val="11"/>
          <w:color w:val="008000"/>
        </w:rPr>
        <w:t>retained annuity trust. The reporting person remains the</w:t>
      </w:r>
    </w:p>
    <w:p>
      <w:pPr>
        <w:ind w:left="40"/>
        <w:spacing w:after="0" w:line="182" w:lineRule="auto"/>
        <w:tabs>
          <w:tab w:leader="none" w:pos="7320" w:val="left"/>
        </w:tabs>
        <w:rPr>
          <w:sz w:val="20"/>
          <w:szCs w:val="20"/>
          <w:color w:val="auto"/>
        </w:rPr>
      </w:pPr>
      <w:r>
        <w:rPr>
          <w:rFonts w:ascii="Times New Roman" w:cs="Times New Roman" w:eastAsia="Times New Roman" w:hAnsi="Times New Roman"/>
          <w:sz w:val="13"/>
          <w:szCs w:val="13"/>
          <w:color w:val="008000"/>
        </w:rPr>
        <w:t>beneficial owner of the securities held by the grantor retained annuity trust.</w:t>
      </w:r>
      <w:r>
        <w:rPr>
          <w:sz w:val="20"/>
          <w:szCs w:val="20"/>
          <w:color w:val="auto"/>
        </w:rPr>
        <w:tab/>
      </w:r>
      <w:r>
        <w:rPr>
          <w:rFonts w:ascii="Arial" w:cs="Arial" w:eastAsia="Arial" w:hAnsi="Arial"/>
          <w:sz w:val="15"/>
          <w:szCs w:val="15"/>
          <w:b w:val="1"/>
          <w:bCs w:val="1"/>
          <w:color w:val="auto"/>
          <w:vertAlign w:val="superscript"/>
        </w:rPr>
        <w:t>or</w:t>
      </w:r>
    </w:p>
    <w:p>
      <w:pPr>
        <w:ind w:left="7340"/>
        <w:spacing w:after="0" w:line="184" w:lineRule="auto"/>
        <w:rPr>
          <w:sz w:val="20"/>
          <w:szCs w:val="20"/>
          <w:color w:val="auto"/>
        </w:rPr>
      </w:pPr>
      <w:r>
        <w:rPr>
          <w:rFonts w:ascii="Arial" w:cs="Arial" w:eastAsia="Arial" w:hAnsi="Arial"/>
          <w:sz w:val="11"/>
          <w:szCs w:val="11"/>
          <w:b w:val="1"/>
          <w:bCs w:val="1"/>
          <w:color w:val="auto"/>
        </w:rPr>
        <w:t>Number</w:t>
      </w:r>
    </w:p>
    <w:p>
      <w:pPr>
        <w:ind w:left="40"/>
        <w:spacing w:after="0" w:line="190" w:lineRule="auto"/>
        <w:rPr>
          <w:sz w:val="20"/>
          <w:szCs w:val="20"/>
          <w:color w:val="auto"/>
        </w:rPr>
      </w:pPr>
      <w:r>
        <w:rPr>
          <w:rFonts w:ascii="Times New Roman" w:cs="Times New Roman" w:eastAsia="Times New Roman" w:hAnsi="Times New Roman"/>
          <w:sz w:val="10"/>
          <w:szCs w:val="10"/>
          <w:color w:val="008000"/>
        </w:rPr>
        <w:t>2. The reported price in Column 4 is a weighted average price. These shares were sold in multiple transactions</w:t>
      </w:r>
      <w:r>
        <w:rPr>
          <w:rFonts w:ascii="Arial" w:cs="Arial" w:eastAsia="Arial" w:hAnsi="Arial"/>
          <w:sz w:val="16"/>
          <w:szCs w:val="16"/>
          <w:b w:val="1"/>
          <w:bCs w:val="1"/>
          <w:color w:val="000000"/>
          <w:vertAlign w:val="subscript"/>
        </w:rPr>
        <w:t>Date</w:t>
      </w:r>
      <w:r>
        <w:rPr>
          <w:rFonts w:ascii="Times New Roman" w:cs="Times New Roman" w:eastAsia="Times New Roman" w:hAnsi="Times New Roman"/>
          <w:sz w:val="10"/>
          <w:szCs w:val="10"/>
          <w:color w:val="008000"/>
        </w:rPr>
        <w:t xml:space="preserve"> at prices</w:t>
      </w:r>
      <w:r>
        <w:rPr>
          <w:rFonts w:ascii="Arial" w:cs="Arial" w:eastAsia="Arial" w:hAnsi="Arial"/>
          <w:sz w:val="16"/>
          <w:szCs w:val="16"/>
          <w:b w:val="1"/>
          <w:bCs w:val="1"/>
          <w:color w:val="000000"/>
          <w:vertAlign w:val="subscript"/>
        </w:rPr>
        <w:t>Expiration</w:t>
      </w:r>
      <w:r>
        <w:rPr>
          <w:rFonts w:ascii="Times New Roman" w:cs="Times New Roman" w:eastAsia="Times New Roman" w:hAnsi="Times New Roman"/>
          <w:sz w:val="10"/>
          <w:szCs w:val="10"/>
          <w:color w:val="008000"/>
        </w:rPr>
        <w:t>ranging from $70</w:t>
      </w:r>
      <w:r>
        <w:rPr>
          <w:rFonts w:ascii="Arial" w:cs="Arial" w:eastAsia="Arial" w:hAnsi="Arial"/>
          <w:sz w:val="16"/>
          <w:szCs w:val="16"/>
          <w:b w:val="1"/>
          <w:bCs w:val="1"/>
          <w:color w:val="000000"/>
          <w:vertAlign w:val="subscript"/>
        </w:rPr>
        <w:t>of</w:t>
      </w:r>
      <w:r>
        <w:rPr>
          <w:rFonts w:ascii="Times New Roman" w:cs="Times New Roman" w:eastAsia="Times New Roman" w:hAnsi="Times New Roman"/>
          <w:sz w:val="10"/>
          <w:szCs w:val="10"/>
          <w:color w:val="008000"/>
        </w:rPr>
        <w:t>.026 to $71.02 per share, inclusive. The Reporting Person</w:t>
      </w:r>
    </w:p>
    <w:p>
      <w:pPr>
        <w:spacing w:after="0" w:line="1" w:lineRule="exact"/>
        <w:rPr>
          <w:sz w:val="20"/>
          <w:szCs w:val="20"/>
          <w:color w:val="auto"/>
        </w:rPr>
      </w:pPr>
    </w:p>
    <w:p>
      <w:pPr>
        <w:ind w:left="40" w:right="380"/>
        <w:spacing w:after="0" w:line="250" w:lineRule="auto"/>
        <w:rPr>
          <w:sz w:val="20"/>
          <w:szCs w:val="20"/>
          <w:color w:val="auto"/>
        </w:rPr>
      </w:pPr>
      <w:r>
        <w:rPr>
          <w:rFonts w:ascii="Times New Roman" w:cs="Times New Roman" w:eastAsia="Times New Roman" w:hAnsi="Times New Roman"/>
          <w:sz w:val="13"/>
          <w:szCs w:val="13"/>
          <w:color w:val="008000"/>
        </w:rPr>
        <w:t xml:space="preserve">undertakes to provide to the Issuer, any security holder of the Issuer, or </w:t>
      </w:r>
      <w:r>
        <w:rPr>
          <w:rFonts w:ascii="Arial" w:cs="Arial" w:eastAsia="Arial" w:hAnsi="Arial"/>
          <w:sz w:val="11"/>
          <w:szCs w:val="11"/>
          <w:b w:val="1"/>
          <w:bCs w:val="1"/>
          <w:color w:val="000000"/>
        </w:rPr>
        <w:t>Code</w:t>
      </w:r>
      <w:r>
        <w:rPr>
          <w:rFonts w:ascii="Times New Roman" w:cs="Times New Roman" w:eastAsia="Times New Roman" w:hAnsi="Times New Roman"/>
          <w:sz w:val="13"/>
          <w:szCs w:val="13"/>
          <w:color w:val="008000"/>
        </w:rPr>
        <w:t>thestaff</w:t>
      </w:r>
      <w:r>
        <w:rPr>
          <w:rFonts w:ascii="Arial" w:cs="Arial" w:eastAsia="Arial" w:hAnsi="Arial"/>
          <w:sz w:val="11"/>
          <w:szCs w:val="11"/>
          <w:b w:val="1"/>
          <w:bCs w:val="1"/>
          <w:color w:val="000000"/>
        </w:rPr>
        <w:t>V</w:t>
      </w:r>
      <w:r>
        <w:rPr>
          <w:rFonts w:ascii="Times New Roman" w:cs="Times New Roman" w:eastAsia="Times New Roman" w:hAnsi="Times New Roman"/>
          <w:sz w:val="13"/>
          <w:szCs w:val="13"/>
          <w:color w:val="008000"/>
        </w:rPr>
        <w:t>of the Securities</w:t>
      </w:r>
      <w:r>
        <w:rPr>
          <w:rFonts w:ascii="Arial" w:cs="Arial" w:eastAsia="Arial" w:hAnsi="Arial"/>
          <w:sz w:val="11"/>
          <w:szCs w:val="11"/>
          <w:b w:val="1"/>
          <w:bCs w:val="1"/>
          <w:color w:val="000000"/>
        </w:rPr>
        <w:t>(A)(D)</w:t>
      </w:r>
      <w:r>
        <w:rPr>
          <w:rFonts w:ascii="Times New Roman" w:cs="Times New Roman" w:eastAsia="Times New Roman" w:hAnsi="Times New Roman"/>
          <w:sz w:val="13"/>
          <w:szCs w:val="13"/>
          <w:color w:val="008000"/>
        </w:rPr>
        <w:t xml:space="preserve"> and</w:t>
      </w:r>
      <w:r>
        <w:rPr>
          <w:rFonts w:ascii="Arial" w:cs="Arial" w:eastAsia="Arial" w:hAnsi="Arial"/>
          <w:sz w:val="11"/>
          <w:szCs w:val="11"/>
          <w:b w:val="1"/>
          <w:bCs w:val="1"/>
          <w:color w:val="000000"/>
        </w:rPr>
        <w:t>Exercisable</w:t>
      </w:r>
      <w:r>
        <w:rPr>
          <w:rFonts w:ascii="Times New Roman" w:cs="Times New Roman" w:eastAsia="Times New Roman" w:hAnsi="Times New Roman"/>
          <w:sz w:val="13"/>
          <w:szCs w:val="13"/>
          <w:color w:val="008000"/>
        </w:rPr>
        <w:t>ExchangeCommission,</w:t>
      </w:r>
      <w:r>
        <w:rPr>
          <w:rFonts w:ascii="Arial" w:cs="Arial" w:eastAsia="Arial" w:hAnsi="Arial"/>
          <w:sz w:val="11"/>
          <w:szCs w:val="11"/>
          <w:b w:val="1"/>
          <w:bCs w:val="1"/>
          <w:color w:val="000000"/>
        </w:rPr>
        <w:t>Date</w:t>
      </w:r>
      <w:r>
        <w:rPr>
          <w:rFonts w:ascii="Times New Roman" w:cs="Times New Roman" w:eastAsia="Times New Roman" w:hAnsi="Times New Roman"/>
          <w:sz w:val="13"/>
          <w:szCs w:val="13"/>
          <w:color w:val="008000"/>
        </w:rPr>
        <w:t xml:space="preserve"> upon</w:t>
      </w:r>
      <w:r>
        <w:rPr>
          <w:rFonts w:ascii="Arial" w:cs="Arial" w:eastAsia="Arial" w:hAnsi="Arial"/>
          <w:sz w:val="11"/>
          <w:szCs w:val="11"/>
          <w:b w:val="1"/>
          <w:bCs w:val="1"/>
          <w:color w:val="000000"/>
        </w:rPr>
        <w:t>Title</w:t>
      </w:r>
      <w:r>
        <w:rPr>
          <w:rFonts w:ascii="Times New Roman" w:cs="Times New Roman" w:eastAsia="Times New Roman" w:hAnsi="Times New Roman"/>
          <w:sz w:val="13"/>
          <w:szCs w:val="13"/>
          <w:color w:val="008000"/>
        </w:rPr>
        <w:t>request,</w:t>
      </w:r>
      <w:r>
        <w:rPr>
          <w:rFonts w:ascii="Arial" w:cs="Arial" w:eastAsia="Arial" w:hAnsi="Arial"/>
          <w:sz w:val="11"/>
          <w:szCs w:val="11"/>
          <w:b w:val="1"/>
          <w:bCs w:val="1"/>
          <w:color w:val="000000"/>
        </w:rPr>
        <w:t>Shares</w:t>
      </w:r>
      <w:r>
        <w:rPr>
          <w:rFonts w:ascii="Times New Roman" w:cs="Times New Roman" w:eastAsia="Times New Roman" w:hAnsi="Times New Roman"/>
          <w:sz w:val="13"/>
          <w:szCs w:val="13"/>
          <w:color w:val="008000"/>
        </w:rPr>
        <w:t>fullinformation regarding the number of shares sold at each separate price within the range set forth in this footnote.</w:t>
      </w:r>
    </w:p>
    <w:p>
      <w:pPr>
        <w:spacing w:after="0" w:line="21" w:lineRule="exact"/>
        <w:rPr>
          <w:sz w:val="20"/>
          <w:szCs w:val="20"/>
          <w:color w:val="auto"/>
        </w:rPr>
      </w:pPr>
    </w:p>
    <w:p>
      <w:pPr>
        <w:ind w:left="40" w:right="380"/>
        <w:spacing w:after="0" w:line="253" w:lineRule="auto"/>
        <w:rPr>
          <w:sz w:val="20"/>
          <w:szCs w:val="20"/>
          <w:color w:val="auto"/>
        </w:rPr>
      </w:pPr>
      <w:r>
        <w:rPr>
          <w:rFonts w:ascii="Times New Roman" w:cs="Times New Roman" w:eastAsia="Times New Roman" w:hAnsi="Times New Roman"/>
          <w:sz w:val="13"/>
          <w:szCs w:val="13"/>
          <w:color w:val="008000"/>
        </w:rPr>
        <w:t>3. The reported price in Column 4 is a weighted average price. These shares were sold in multiple transactions at prices ranging from $71.04 to $72.0302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380"/>
        <w:spacing w:after="0" w:line="253" w:lineRule="auto"/>
        <w:rPr>
          <w:sz w:val="20"/>
          <w:szCs w:val="20"/>
          <w:color w:val="auto"/>
        </w:rPr>
      </w:pPr>
      <w:r>
        <w:rPr>
          <w:rFonts w:ascii="Times New Roman" w:cs="Times New Roman" w:eastAsia="Times New Roman" w:hAnsi="Times New Roman"/>
          <w:sz w:val="13"/>
          <w:szCs w:val="13"/>
          <w:color w:val="008000"/>
        </w:rPr>
        <w:t>4. The reported price in Column 4 is a weighted average price. These shares were sold in multiple transactions at prices ranging from $72.12 to $72.49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380"/>
        <w:spacing w:after="0" w:line="253" w:lineRule="auto"/>
        <w:rPr>
          <w:sz w:val="20"/>
          <w:szCs w:val="20"/>
          <w:color w:val="auto"/>
        </w:rPr>
      </w:pPr>
      <w:r>
        <w:rPr>
          <w:rFonts w:ascii="Times New Roman" w:cs="Times New Roman" w:eastAsia="Times New Roman" w:hAnsi="Times New Roman"/>
          <w:sz w:val="13"/>
          <w:szCs w:val="13"/>
          <w:color w:val="008000"/>
        </w:rPr>
        <w:t>5. The reported price in Column 4 is a weighted average price. These shares were sold in multiple transactions at prices ranging from $68.01 to $68.89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380"/>
        <w:spacing w:after="0" w:line="253" w:lineRule="auto"/>
        <w:rPr>
          <w:sz w:val="20"/>
          <w:szCs w:val="20"/>
          <w:color w:val="auto"/>
        </w:rPr>
      </w:pPr>
      <w:r>
        <w:rPr>
          <w:rFonts w:ascii="Times New Roman" w:cs="Times New Roman" w:eastAsia="Times New Roman" w:hAnsi="Times New Roman"/>
          <w:sz w:val="13"/>
          <w:szCs w:val="13"/>
          <w:color w:val="008000"/>
        </w:rPr>
        <w:t>6. The reported price in Column 4 is a weighted average price. These shares were sold in multiple transactions at prices ranging from $69.22 to $70.21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380"/>
        <w:spacing w:after="0" w:line="253" w:lineRule="auto"/>
        <w:rPr>
          <w:sz w:val="20"/>
          <w:szCs w:val="20"/>
          <w:color w:val="auto"/>
        </w:rPr>
      </w:pPr>
      <w:r>
        <w:rPr>
          <w:rFonts w:ascii="Times New Roman" w:cs="Times New Roman" w:eastAsia="Times New Roman" w:hAnsi="Times New Roman"/>
          <w:sz w:val="13"/>
          <w:szCs w:val="13"/>
          <w:color w:val="008000"/>
        </w:rPr>
        <w:t>7. The reported price in Column 4 is a weighted average price. These shares were sold in multiple transactions at prices ranging from $70.22 to $70.96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3"/>
          <w:szCs w:val="13"/>
          <w:color w:val="008000"/>
        </w:rPr>
        <w:t>Table I of the Form 4 filed on October 17, 2024 inadvertently omitted 141,356 shares indirectly held by Jason Ryan Trust u/a dtd 11/25/2018, which have since been transferred to the GRAT as described in footnote 1 above.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11/21/2024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5017"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2024-11-21T19:29:24Z</dcterms:created>
  <dcterms:modified xsi:type="dcterms:W3CDTF">2024-11-21T19:29:24Z</dcterms:modified>
</cp:coreProperties>
</file>