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484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98"/>
              </w:rPr>
              <w:t>PURSUANT TO SECTION 13 OR 15(D) OF THE</w:t>
            </w:r>
          </w:p>
        </w:tc>
        <w:tc>
          <w:tcPr>
            <w:tcW w:w="3180" w:type="dxa"/>
            <w:vAlign w:val="bottom"/>
          </w:tcPr>
          <w:p>
            <w:pPr>
              <w:spacing w:after="0"/>
              <w:rPr>
                <w:sz w:val="20"/>
                <w:szCs w:val="20"/>
                <w:color w:val="auto"/>
              </w:rPr>
            </w:pPr>
          </w:p>
        </w:tc>
      </w:tr>
      <w:tr>
        <w:trPr>
          <w:trHeight w:val="432"/>
        </w:trPr>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9"/>
              </w:rPr>
              <w:t>SECURITIES EXCHANGE ACT OF 1934</w:t>
            </w:r>
          </w:p>
        </w:tc>
        <w:tc>
          <w:tcPr>
            <w:tcW w:w="3180" w:type="dxa"/>
            <w:vAlign w:val="bottom"/>
          </w:tcPr>
          <w:p>
            <w:pPr>
              <w:spacing w:after="0"/>
              <w:rPr>
                <w:sz w:val="24"/>
                <w:szCs w:val="24"/>
                <w:color w:val="auto"/>
              </w:rPr>
            </w:pPr>
          </w:p>
        </w:tc>
      </w:tr>
      <w:tr>
        <w:trPr>
          <w:trHeight w:val="432"/>
        </w:trPr>
        <w:tc>
          <w:tcPr>
            <w:tcW w:w="3220" w:type="dxa"/>
            <w:vAlign w:val="bottom"/>
          </w:tcPr>
          <w:p>
            <w:pPr>
              <w:spacing w:after="0"/>
              <w:rPr>
                <w:sz w:val="24"/>
                <w:szCs w:val="24"/>
                <w:color w:val="auto"/>
              </w:rPr>
            </w:pPr>
          </w:p>
        </w:tc>
        <w:tc>
          <w:tcPr>
            <w:tcW w:w="4840" w:type="dxa"/>
            <w:vAlign w:val="bottom"/>
            <w:gridSpan w:val="7"/>
          </w:tcPr>
          <w:p>
            <w:pPr>
              <w:jc w:val="center"/>
              <w:ind w:right="40"/>
              <w:spacing w:after="0"/>
              <w:rPr>
                <w:sz w:val="20"/>
                <w:szCs w:val="20"/>
                <w:color w:val="auto"/>
              </w:rPr>
            </w:pPr>
            <w:r>
              <w:rPr>
                <w:rFonts w:ascii="Arial" w:cs="Arial" w:eastAsia="Arial" w:hAnsi="Arial"/>
                <w:sz w:val="18"/>
                <w:szCs w:val="18"/>
                <w:color w:val="auto"/>
                <w:w w:val="90"/>
              </w:rPr>
              <w:t>Date of Report (Date of earliest event reported): October 23, 2020</w:t>
            </w:r>
          </w:p>
        </w:tc>
        <w:tc>
          <w:tcPr>
            <w:tcW w:w="3180" w:type="dxa"/>
            <w:vAlign w:val="bottom"/>
          </w:tcPr>
          <w:p>
            <w:pPr>
              <w:spacing w:after="0"/>
              <w:rPr>
                <w:sz w:val="24"/>
                <w:szCs w:val="24"/>
                <w:color w:val="auto"/>
              </w:rPr>
            </w:pPr>
          </w:p>
        </w:tc>
      </w:tr>
      <w:tr>
        <w:trPr>
          <w:trHeight w:val="418"/>
        </w:trPr>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rPr>
              <w:t>CM LIFE SCIENCES, INC.</w:t>
            </w:r>
          </w:p>
        </w:tc>
        <w:tc>
          <w:tcPr>
            <w:tcW w:w="3180" w:type="dxa"/>
            <w:vAlign w:val="bottom"/>
          </w:tcPr>
          <w:p>
            <w:pPr>
              <w:spacing w:after="0"/>
              <w:rPr>
                <w:sz w:val="24"/>
                <w:szCs w:val="24"/>
                <w:color w:val="auto"/>
              </w:rPr>
            </w:pPr>
          </w:p>
        </w:tc>
      </w:tr>
      <w:tr>
        <w:trPr>
          <w:trHeight w:val="230"/>
        </w:trPr>
        <w:tc>
          <w:tcPr>
            <w:tcW w:w="3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40" w:type="dxa"/>
            <w:vAlign w:val="bottom"/>
            <w:gridSpan w:val="6"/>
          </w:tcPr>
          <w:p>
            <w:pPr>
              <w:jc w:val="center"/>
              <w:ind w:right="540"/>
              <w:spacing w:after="0"/>
              <w:rPr>
                <w:sz w:val="20"/>
                <w:szCs w:val="20"/>
                <w:color w:val="auto"/>
              </w:rPr>
            </w:pPr>
            <w:r>
              <w:rPr>
                <w:rFonts w:ascii="Arial" w:cs="Arial" w:eastAsia="Arial" w:hAnsi="Arial"/>
                <w:sz w:val="18"/>
                <w:szCs w:val="18"/>
                <w:color w:val="auto"/>
                <w:w w:val="90"/>
              </w:rPr>
              <w:t>(Exact name of registrant as specified in its charter)</w:t>
            </w:r>
          </w:p>
        </w:tc>
        <w:tc>
          <w:tcPr>
            <w:tcW w:w="3180" w:type="dxa"/>
            <w:vAlign w:val="bottom"/>
          </w:tcPr>
          <w:p>
            <w:pPr>
              <w:spacing w:after="0"/>
              <w:rPr>
                <w:sz w:val="20"/>
                <w:szCs w:val="20"/>
                <w:color w:val="auto"/>
              </w:rPr>
            </w:pPr>
          </w:p>
        </w:tc>
      </w:tr>
      <w:tr>
        <w:trPr>
          <w:trHeight w:val="439"/>
        </w:trPr>
        <w:tc>
          <w:tcPr>
            <w:tcW w:w="322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Delaware</w:t>
            </w:r>
          </w:p>
        </w:tc>
        <w:tc>
          <w:tcPr>
            <w:tcW w:w="3360" w:type="dxa"/>
            <w:vAlign w:val="bottom"/>
            <w:gridSpan w:val="4"/>
          </w:tcPr>
          <w:p>
            <w:pPr>
              <w:jc w:val="center"/>
              <w:ind w:left="1370"/>
              <w:spacing w:after="0"/>
              <w:rPr>
                <w:sz w:val="20"/>
                <w:szCs w:val="20"/>
                <w:color w:val="auto"/>
              </w:rPr>
            </w:pPr>
            <w:r>
              <w:rPr>
                <w:rFonts w:ascii="Arial" w:cs="Arial" w:eastAsia="Arial" w:hAnsi="Arial"/>
                <w:sz w:val="18"/>
                <w:szCs w:val="18"/>
                <w:b w:val="1"/>
                <w:bCs w:val="1"/>
                <w:color w:val="auto"/>
                <w:w w:val="90"/>
              </w:rPr>
              <w:t>001-39482</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jc w:val="right"/>
              <w:ind w:right="1330"/>
              <w:spacing w:after="0"/>
              <w:rPr>
                <w:sz w:val="20"/>
                <w:szCs w:val="20"/>
                <w:color w:val="auto"/>
              </w:rPr>
            </w:pPr>
            <w:r>
              <w:rPr>
                <w:rFonts w:ascii="Arial" w:cs="Arial" w:eastAsia="Arial" w:hAnsi="Arial"/>
                <w:sz w:val="18"/>
                <w:szCs w:val="18"/>
                <w:b w:val="1"/>
                <w:bCs w:val="1"/>
                <w:color w:val="auto"/>
              </w:rPr>
              <w:t>85-1966622</w:t>
            </w:r>
          </w:p>
        </w:tc>
      </w:tr>
      <w:tr>
        <w:trPr>
          <w:trHeight w:val="202"/>
        </w:trPr>
        <w:tc>
          <w:tcPr>
            <w:tcW w:w="3220" w:type="dxa"/>
            <w:vAlign w:val="bottom"/>
            <w:tcBorders>
              <w:top w:val="single" w:sz="8" w:color="auto"/>
            </w:tcBorders>
          </w:tcPr>
          <w:p>
            <w:pPr>
              <w:jc w:val="center"/>
              <w:ind w:left="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gridSpan w:val="3"/>
          </w:tcPr>
          <w:p>
            <w:pPr>
              <w:ind w:left="820"/>
              <w:spacing w:after="0" w:line="201" w:lineRule="exact"/>
              <w:rPr>
                <w:sz w:val="20"/>
                <w:szCs w:val="20"/>
                <w:color w:val="auto"/>
              </w:rPr>
            </w:pPr>
            <w:r>
              <w:rPr>
                <w:rFonts w:ascii="Arial" w:cs="Arial" w:eastAsia="Arial" w:hAnsi="Arial"/>
                <w:sz w:val="18"/>
                <w:szCs w:val="18"/>
                <w:color w:val="auto"/>
              </w:rPr>
              <w:t>(Commission File Number)</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9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220" w:type="dxa"/>
            <w:vAlign w:val="bottom"/>
          </w:tcPr>
          <w:p>
            <w:pPr>
              <w:jc w:val="center"/>
              <w:ind w:left="410"/>
              <w:spacing w:after="0"/>
              <w:rPr>
                <w:sz w:val="20"/>
                <w:szCs w:val="20"/>
                <w:color w:val="auto"/>
              </w:rPr>
            </w:pPr>
            <w:r>
              <w:rPr>
                <w:rFonts w:ascii="Arial" w:cs="Arial" w:eastAsia="Arial" w:hAnsi="Arial"/>
                <w:sz w:val="18"/>
                <w:szCs w:val="18"/>
                <w:color w:val="auto"/>
                <w:w w:val="94"/>
              </w:rPr>
              <w:t>incorporation)</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4"/>
        </w:trPr>
        <w:tc>
          <w:tcPr>
            <w:tcW w:w="806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w w:val="91"/>
              </w:rPr>
              <w:t>c/o Corvex Management LP</w:t>
            </w:r>
          </w:p>
        </w:tc>
        <w:tc>
          <w:tcPr>
            <w:tcW w:w="3180" w:type="dxa"/>
            <w:vAlign w:val="bottom"/>
          </w:tcPr>
          <w:p>
            <w:pPr>
              <w:spacing w:after="0"/>
              <w:rPr>
                <w:sz w:val="24"/>
                <w:szCs w:val="24"/>
                <w:color w:val="auto"/>
              </w:rPr>
            </w:pPr>
          </w:p>
        </w:tc>
      </w:tr>
      <w:tr>
        <w:trPr>
          <w:trHeight w:val="216"/>
        </w:trPr>
        <w:tc>
          <w:tcPr>
            <w:tcW w:w="3220" w:type="dxa"/>
            <w:vAlign w:val="bottom"/>
          </w:tcPr>
          <w:p>
            <w:pPr>
              <w:jc w:val="center"/>
              <w:ind w:left="1450"/>
              <w:spacing w:after="0"/>
              <w:rPr>
                <w:sz w:val="20"/>
                <w:szCs w:val="20"/>
                <w:color w:val="auto"/>
              </w:rPr>
            </w:pPr>
            <w:r>
              <w:rPr>
                <w:rFonts w:ascii="Arial" w:cs="Arial" w:eastAsia="Arial" w:hAnsi="Arial"/>
                <w:sz w:val="18"/>
                <w:szCs w:val="18"/>
                <w:b w:val="1"/>
                <w:bCs w:val="1"/>
                <w:color w:val="auto"/>
                <w:w w:val="89"/>
              </w:rPr>
              <w:t>667 Madison Avenue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41"/>
        </w:trPr>
        <w:tc>
          <w:tcPr>
            <w:tcW w:w="3220" w:type="dxa"/>
            <w:vAlign w:val="bottom"/>
            <w:tcBorders>
              <w:bottom w:val="single" w:sz="8" w:color="auto"/>
            </w:tcBorders>
          </w:tcPr>
          <w:p>
            <w:pPr>
              <w:jc w:val="center"/>
              <w:ind w:left="1430"/>
              <w:spacing w:after="0"/>
              <w:rPr>
                <w:sz w:val="20"/>
                <w:szCs w:val="20"/>
                <w:color w:val="auto"/>
              </w:rPr>
            </w:pPr>
            <w:r>
              <w:rPr>
                <w:rFonts w:ascii="Arial" w:cs="Arial" w:eastAsia="Arial" w:hAnsi="Arial"/>
                <w:sz w:val="18"/>
                <w:szCs w:val="18"/>
                <w:b w:val="1"/>
                <w:bCs w:val="1"/>
                <w:color w:val="auto"/>
                <w:w w:val="93"/>
              </w:rPr>
              <w:t>New York, New York</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ind w:right="2010"/>
              <w:spacing w:after="0"/>
              <w:rPr>
                <w:sz w:val="20"/>
                <w:szCs w:val="20"/>
                <w:color w:val="auto"/>
              </w:rPr>
            </w:pPr>
            <w:r>
              <w:rPr>
                <w:rFonts w:ascii="Arial" w:cs="Arial" w:eastAsia="Arial" w:hAnsi="Arial"/>
                <w:sz w:val="18"/>
                <w:szCs w:val="18"/>
                <w:b w:val="1"/>
                <w:bCs w:val="1"/>
                <w:color w:val="auto"/>
              </w:rPr>
              <w:t>10065</w:t>
            </w:r>
          </w:p>
        </w:tc>
      </w:tr>
      <w:tr>
        <w:trPr>
          <w:trHeight w:val="230"/>
        </w:trPr>
        <w:tc>
          <w:tcPr>
            <w:tcW w:w="474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40" w:type="dxa"/>
            <w:vAlign w:val="bottom"/>
          </w:tcPr>
          <w:p>
            <w:pPr>
              <w:spacing w:after="0"/>
              <w:rPr>
                <w:sz w:val="20"/>
                <w:szCs w:val="20"/>
                <w:color w:val="auto"/>
              </w:rPr>
            </w:pPr>
          </w:p>
        </w:tc>
        <w:tc>
          <w:tcPr>
            <w:tcW w:w="1480" w:type="dxa"/>
            <w:vAlign w:val="bottom"/>
            <w:gridSpan w:val="3"/>
          </w:tcPr>
          <w:p>
            <w:pPr>
              <w:spacing w:after="0"/>
              <w:rPr>
                <w:sz w:val="20"/>
                <w:szCs w:val="20"/>
                <w:color w:val="auto"/>
              </w:rPr>
            </w:pPr>
          </w:p>
        </w:tc>
        <w:tc>
          <w:tcPr>
            <w:tcW w:w="3180" w:type="dxa"/>
            <w:vAlign w:val="bottom"/>
          </w:tcPr>
          <w:p>
            <w:pPr>
              <w:jc w:val="center"/>
              <w:ind w:right="139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474-6745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223"/>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660" w:hanging="103"/>
        <w:spacing w:after="0" w:line="498" w:lineRule="auto"/>
        <w:tabs>
          <w:tab w:leader="none" w:pos="47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6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Trading Symbols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8"/>
        </w:trPr>
        <w:tc>
          <w:tcPr>
            <w:tcW w:w="608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7"/>
              </w:rPr>
              <w:t>Units, each consisting of one share of Class A common stock and one-third of</w:t>
            </w:r>
          </w:p>
        </w:tc>
        <w:tc>
          <w:tcPr>
            <w:tcW w:w="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rPr>
              <w:t>CMLFU</w:t>
            </w:r>
          </w:p>
        </w:tc>
        <w:tc>
          <w:tcPr>
            <w:tcW w:w="1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62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one redeemable warrant</w:t>
            </w:r>
          </w:p>
        </w:tc>
        <w:tc>
          <w:tcPr>
            <w:tcW w:w="2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16"/>
        </w:trPr>
        <w:tc>
          <w:tcPr>
            <w:tcW w:w="6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Class A common stock, par value $0.0001 per share</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CMLF</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198"/>
        </w:trPr>
        <w:tc>
          <w:tcPr>
            <w:tcW w:w="6200" w:type="dxa"/>
            <w:vAlign w:val="bottom"/>
            <w:gridSpan w:val="2"/>
            <w:shd w:val="clear" w:color="auto" w:fill="CCEEFF"/>
          </w:tcPr>
          <w:p>
            <w:pPr>
              <w:jc w:val="center"/>
              <w:ind w:right="100"/>
              <w:spacing w:after="0" w:line="198" w:lineRule="exact"/>
              <w:rPr>
                <w:sz w:val="20"/>
                <w:szCs w:val="20"/>
                <w:color w:val="auto"/>
              </w:rPr>
            </w:pPr>
            <w:r>
              <w:rPr>
                <w:rFonts w:ascii="Arial" w:cs="Arial" w:eastAsia="Arial" w:hAnsi="Arial"/>
                <w:sz w:val="18"/>
                <w:szCs w:val="18"/>
                <w:b w:val="1"/>
                <w:bCs w:val="1"/>
                <w:color w:val="auto"/>
                <w:w w:val="89"/>
              </w:rPr>
              <w:t>Redeemable warrants, each whole warrant exercisable for one share of Class A</w:t>
            </w:r>
          </w:p>
        </w:tc>
        <w:tc>
          <w:tcPr>
            <w:tcW w:w="2560" w:type="dxa"/>
            <w:vAlign w:val="bottom"/>
            <w:gridSpan w:val="2"/>
            <w:shd w:val="clear" w:color="auto" w:fill="CCEEFF"/>
          </w:tcPr>
          <w:p>
            <w:pPr>
              <w:jc w:val="center"/>
              <w:ind w:right="100"/>
              <w:spacing w:after="0" w:line="198" w:lineRule="exact"/>
              <w:rPr>
                <w:sz w:val="20"/>
                <w:szCs w:val="20"/>
                <w:color w:val="auto"/>
              </w:rPr>
            </w:pPr>
            <w:r>
              <w:rPr>
                <w:rFonts w:ascii="Arial" w:cs="Arial" w:eastAsia="Arial" w:hAnsi="Arial"/>
                <w:sz w:val="18"/>
                <w:szCs w:val="18"/>
                <w:b w:val="1"/>
                <w:bCs w:val="1"/>
                <w:color w:val="auto"/>
              </w:rPr>
              <w:t>CMLFW</w:t>
            </w:r>
          </w:p>
        </w:tc>
        <w:tc>
          <w:tcPr>
            <w:tcW w:w="248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6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7"/>
              </w:rPr>
              <w:t>common stock, each at an exercise price of $11.50 per share</w:t>
            </w:r>
          </w:p>
        </w:tc>
        <w:tc>
          <w:tcPr>
            <w:tcW w:w="2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October 23, 2020, CM Life Sciences, Inc. (the “</w:t>
      </w:r>
      <w:r>
        <w:rPr>
          <w:rFonts w:ascii="Arial" w:cs="Arial" w:eastAsia="Arial" w:hAnsi="Arial"/>
          <w:sz w:val="17"/>
          <w:szCs w:val="17"/>
          <w:b w:val="1"/>
          <w:bCs w:val="1"/>
          <w:color w:val="auto"/>
        </w:rPr>
        <w:t>Company</w:t>
      </w:r>
      <w:r>
        <w:rPr>
          <w:rFonts w:ascii="Arial" w:cs="Arial" w:eastAsia="Arial" w:hAnsi="Arial"/>
          <w:sz w:val="17"/>
          <w:szCs w:val="17"/>
          <w:color w:val="auto"/>
        </w:rPr>
        <w:t>”) issued a press release, a copy of which is attached as Exhibit 99.1 to this Current Report on Form 8-K, announcing that the holders of the Company’s units (the “</w:t>
      </w:r>
      <w:r>
        <w:rPr>
          <w:rFonts w:ascii="Arial" w:cs="Arial" w:eastAsia="Arial" w:hAnsi="Arial"/>
          <w:sz w:val="17"/>
          <w:szCs w:val="17"/>
          <w:b w:val="1"/>
          <w:bCs w:val="1"/>
          <w:color w:val="auto"/>
        </w:rPr>
        <w:t>Units</w:t>
      </w:r>
      <w:r>
        <w:rPr>
          <w:rFonts w:ascii="Arial" w:cs="Arial" w:eastAsia="Arial" w:hAnsi="Arial"/>
          <w:sz w:val="17"/>
          <w:szCs w:val="17"/>
          <w:color w:val="auto"/>
        </w:rPr>
        <w:t>”) may elect to separately trade the shares of Class A common stock, par value $0.0001 per share (“</w:t>
      </w:r>
      <w:r>
        <w:rPr>
          <w:rFonts w:ascii="Arial" w:cs="Arial" w:eastAsia="Arial" w:hAnsi="Arial"/>
          <w:sz w:val="17"/>
          <w:szCs w:val="17"/>
          <w:b w:val="1"/>
          <w:bCs w:val="1"/>
          <w:color w:val="auto"/>
        </w:rPr>
        <w:t>Class A Common Stock</w:t>
      </w:r>
      <w:r>
        <w:rPr>
          <w:rFonts w:ascii="Arial" w:cs="Arial" w:eastAsia="Arial" w:hAnsi="Arial"/>
          <w:sz w:val="17"/>
          <w:szCs w:val="17"/>
          <w:color w:val="auto"/>
        </w:rPr>
        <w:t>”), and warrants (the “</w:t>
      </w:r>
      <w:r>
        <w:rPr>
          <w:rFonts w:ascii="Arial" w:cs="Arial" w:eastAsia="Arial" w:hAnsi="Arial"/>
          <w:sz w:val="17"/>
          <w:szCs w:val="17"/>
          <w:b w:val="1"/>
          <w:bCs w:val="1"/>
          <w:color w:val="auto"/>
        </w:rPr>
        <w:t>Warrants</w:t>
      </w:r>
      <w:r>
        <w:rPr>
          <w:rFonts w:ascii="Arial" w:cs="Arial" w:eastAsia="Arial" w:hAnsi="Arial"/>
          <w:sz w:val="17"/>
          <w:szCs w:val="17"/>
          <w:color w:val="auto"/>
        </w:rPr>
        <w:t>”) included in the Units commencing on or about October 26, 2020. Each Unit consists of one share of Class A Common Stock and one-third of one redeemable Warrant to purchase one share of Class A Common Stock. Any Units not separated will continue to trade on The Nasdaq Capital Market (“</w:t>
      </w:r>
      <w:r>
        <w:rPr>
          <w:rFonts w:ascii="Arial" w:cs="Arial" w:eastAsia="Arial" w:hAnsi="Arial"/>
          <w:sz w:val="17"/>
          <w:szCs w:val="17"/>
          <w:b w:val="1"/>
          <w:bCs w:val="1"/>
          <w:color w:val="auto"/>
        </w:rPr>
        <w:t>Nasdaq</w:t>
      </w:r>
      <w:r>
        <w:rPr>
          <w:rFonts w:ascii="Arial" w:cs="Arial" w:eastAsia="Arial" w:hAnsi="Arial"/>
          <w:sz w:val="17"/>
          <w:szCs w:val="17"/>
          <w:color w:val="auto"/>
        </w:rPr>
        <w:t>”) under the symbol “CMLFU,” and the shares of Class A Common Stock and redeemable Warrants will separately trade on Nasdaq under the symbols “CMLF” and “CMLFW,” respectively. No fractional Warrants will be issued upon separation of the Units and only whole Warrants will trade.</w:t>
      </w:r>
    </w:p>
    <w:p>
      <w:pPr>
        <w:spacing w:after="0" w:line="1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Holders of Units will need to have their brokers contact Continental Stock Transfer &amp; Trust Company, the Company’s transfer agent, in order to separate the Units into shares of Class A Common Stock and Warrants.</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auto"/>
            </w:tcBorders>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October 23, 2020.</w:t>
              </w:r>
            </w:hyperlink>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3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7020" w:type="dxa"/>
            <w:vAlign w:val="bottom"/>
            <w:gridSpan w:val="2"/>
          </w:tcPr>
          <w:p>
            <w:pPr>
              <w:ind w:left="2540"/>
              <w:spacing w:after="0"/>
              <w:rPr>
                <w:sz w:val="20"/>
                <w:szCs w:val="20"/>
                <w:color w:val="auto"/>
              </w:rPr>
            </w:pPr>
            <w:r>
              <w:rPr>
                <w:rFonts w:ascii="Arial" w:cs="Arial" w:eastAsia="Arial" w:hAnsi="Arial"/>
                <w:sz w:val="18"/>
                <w:szCs w:val="18"/>
                <w:b w:val="1"/>
                <w:bCs w:val="1"/>
                <w:color w:val="auto"/>
              </w:rPr>
              <w:t>CM LIFE SCIENCES, INC.</w:t>
            </w:r>
          </w:p>
        </w:tc>
      </w:tr>
      <w:tr>
        <w:trPr>
          <w:trHeight w:val="439"/>
        </w:trPr>
        <w:tc>
          <w:tcPr>
            <w:tcW w:w="4220" w:type="dxa"/>
            <w:vAlign w:val="bottom"/>
          </w:tcPr>
          <w:p>
            <w:pPr>
              <w:spacing w:after="0"/>
              <w:rPr>
                <w:sz w:val="20"/>
                <w:szCs w:val="20"/>
                <w:color w:val="auto"/>
              </w:rPr>
            </w:pPr>
            <w:r>
              <w:rPr>
                <w:rFonts w:ascii="Arial" w:cs="Arial" w:eastAsia="Arial" w:hAnsi="Arial"/>
                <w:sz w:val="18"/>
                <w:szCs w:val="18"/>
                <w:color w:val="auto"/>
              </w:rPr>
              <w:t>Date: October 23, 2020</w:t>
            </w:r>
          </w:p>
        </w:tc>
        <w:tc>
          <w:tcPr>
            <w:tcW w:w="3320" w:type="dxa"/>
            <w:vAlign w:val="bottom"/>
          </w:tcPr>
          <w:p>
            <w:pPr>
              <w:ind w:left="276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Emes</w:t>
            </w:r>
          </w:p>
        </w:tc>
      </w:tr>
      <w:tr>
        <w:trPr>
          <w:trHeight w:val="202"/>
        </w:trPr>
        <w:tc>
          <w:tcPr>
            <w:tcW w:w="4220" w:type="dxa"/>
            <w:vAlign w:val="bottom"/>
          </w:tcPr>
          <w:p>
            <w:pPr>
              <w:spacing w:after="0"/>
              <w:rPr>
                <w:sz w:val="17"/>
                <w:szCs w:val="17"/>
                <w:color w:val="auto"/>
              </w:rPr>
            </w:pPr>
          </w:p>
        </w:tc>
        <w:tc>
          <w:tcPr>
            <w:tcW w:w="3320" w:type="dxa"/>
            <w:vAlign w:val="bottom"/>
          </w:tcPr>
          <w:p>
            <w:pPr>
              <w:ind w:left="276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Brian Emes</w:t>
            </w:r>
          </w:p>
        </w:tc>
      </w:tr>
      <w:tr>
        <w:trPr>
          <w:trHeight w:val="230"/>
        </w:trPr>
        <w:tc>
          <w:tcPr>
            <w:tcW w:w="4220" w:type="dxa"/>
            <w:vAlign w:val="bottom"/>
          </w:tcPr>
          <w:p>
            <w:pPr>
              <w:spacing w:after="0"/>
              <w:rPr>
                <w:sz w:val="20"/>
                <w:szCs w:val="20"/>
                <w:color w:val="auto"/>
              </w:rPr>
            </w:pPr>
          </w:p>
        </w:tc>
        <w:tc>
          <w:tcPr>
            <w:tcW w:w="3320" w:type="dxa"/>
            <w:vAlign w:val="bottom"/>
          </w:tcPr>
          <w:p>
            <w:pPr>
              <w:ind w:left="276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 Secretary</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CM Life Sciences, Inc. Announces Separate Trading of its Shares of Class A Common Stock and Warrants, on or about October 26, 2020</w:t>
      </w:r>
    </w:p>
    <w:p>
      <w:pPr>
        <w:spacing w:after="0" w:line="18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October 23, 2020 – New York, NY – CM Life Sciences, Inc. (Nasdaq: CMLFU) (the “</w:t>
      </w:r>
      <w:r>
        <w:rPr>
          <w:rFonts w:ascii="Arial" w:cs="Arial" w:eastAsia="Arial" w:hAnsi="Arial"/>
          <w:sz w:val="18"/>
          <w:szCs w:val="18"/>
          <w:b w:val="1"/>
          <w:bCs w:val="1"/>
          <w:color w:val="auto"/>
        </w:rPr>
        <w:t>Company</w:t>
      </w:r>
      <w:r>
        <w:rPr>
          <w:rFonts w:ascii="Arial" w:cs="Arial" w:eastAsia="Arial" w:hAnsi="Arial"/>
          <w:sz w:val="18"/>
          <w:szCs w:val="18"/>
          <w:color w:val="auto"/>
        </w:rPr>
        <w:t>”) today announced that holders of the Company’s units sold in its initial public offering may elect to separately trade the shares of Class A common stock and redeemable warrants included in its units commencing on or about October 26, 2020.</w:t>
      </w:r>
    </w:p>
    <w:p>
      <w:pPr>
        <w:spacing w:after="0" w:line="12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shares of Class A common stock and warrants that are separated will trade on The Nasdaq Capital Market (“</w:t>
      </w:r>
      <w:r>
        <w:rPr>
          <w:rFonts w:ascii="Arial" w:cs="Arial" w:eastAsia="Arial" w:hAnsi="Arial"/>
          <w:sz w:val="18"/>
          <w:szCs w:val="18"/>
          <w:b w:val="1"/>
          <w:bCs w:val="1"/>
          <w:color w:val="auto"/>
        </w:rPr>
        <w:t>Nasdaq</w:t>
      </w:r>
      <w:r>
        <w:rPr>
          <w:rFonts w:ascii="Arial" w:cs="Arial" w:eastAsia="Arial" w:hAnsi="Arial"/>
          <w:sz w:val="18"/>
          <w:szCs w:val="18"/>
          <w:color w:val="auto"/>
        </w:rPr>
        <w:t>”) under the symbols “CMLF” and “CMLFW,” respectively. Those units not separated will continue to trade on Nasdaq under the symbol “CMLFU.” No fractional warrants will be issued upon separation of the units and only whole warrants will trade.</w:t>
      </w:r>
    </w:p>
    <w:p>
      <w:pPr>
        <w:spacing w:after="0" w:line="126"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Holders of the Company’s units will need to have their brokers contact Continental Stock Transfer &amp; Trust Company, the Company’s transfer agent, in order to separate such units into shares of Class A common stock and redeemable warrants.</w:t>
      </w:r>
    </w:p>
    <w:p>
      <w:pPr>
        <w:spacing w:after="0" w:line="116"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Registration statements relating to these securities became effective on September 1, 2020. 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offering was made only by means of a prospectus. Copies of the prospectus relating to this offering may be obtained from Jefferies LLC, Attn: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Syndicate Prospectus Department, 520 Madison Avenue, 2nd Floor, New York, NY 10022, by telephone: 877-821-7388 or by 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Prospectus_Department@Jefferies.com.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a blank check company formed for the purpose of effecting a business combination. The Company intends to focus its search for business combination targets in three separate areas of the life sciences industry that are often fragmented – life sciences tools, synthetic biology and diagnostics. The Company, sponsored by affiliates of Casdin Capital, LLC and Corvex Management LP, is led by Chief Executive Officer Eli Casdin and Chairman Keith Meister.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Concerning Forward-Looking Statements</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This press release contains statements that constitute “forward-looking statements,” including with respect to the Company’s search for an initial business combination. Forward-looking statements are subject to numerous conditions, many of which are beyond the control of the Company, including those set forth in the Risk Factors section of the Company’s registration statement and final prospectus for the initial public offering filed with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Copies are available on the SEC’s website, www.sec.gov. The Company undertakes no obligation to update these statements for revisions or changes after the date of this release, except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Alex Fisk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554-4963</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2020-10-23T16:33:40Z</dcterms:created>
  <dcterms:modified xsi:type="dcterms:W3CDTF">2020-10-23T16:33:40Z</dcterms:modified>
</cp:coreProperties>
</file>