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7214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21487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Casdin Eli</w:t>
              </w:r>
            </w:hyperlink>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gridSpan w:val="6"/>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GeneDx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WGS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0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1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20" w:type="dxa"/>
            <w:vAlign w:val="bottom"/>
            <w:gridSpan w:val="3"/>
            <w:vMerge w:val="restart"/>
          </w:tcPr>
          <w:p>
            <w:pPr>
              <w:ind w:left="5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20" w:type="dxa"/>
            <w:vAlign w:val="bottom"/>
            <w:gridSpan w:val="3"/>
            <w:vMerge w:val="restart"/>
          </w:tcPr>
          <w:p>
            <w:pPr>
              <w:ind w:left="5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62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20" w:type="dxa"/>
            <w:vAlign w:val="bottom"/>
            <w:gridSpan w:val="6"/>
            <w:vMerge w:val="continue"/>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980" w:type="dxa"/>
            <w:vAlign w:val="bottom"/>
          </w:tcPr>
          <w:p>
            <w:pPr>
              <w:ind w:left="560"/>
              <w:spacing w:after="0" w:line="121"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05/02/2023</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3"/>
              </w:rPr>
              <w:t>C/O GENEDX HOLDINGS CORP.</w:t>
            </w:r>
          </w:p>
        </w:tc>
        <w:tc>
          <w:tcPr>
            <w:tcW w:w="62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6TH FL.</w:t>
            </w: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7"/>
            <w:vMerge w:val="continue"/>
          </w:tcPr>
          <w:p>
            <w:pPr>
              <w:spacing w:after="0"/>
              <w:rPr>
                <w:sz w:val="8"/>
                <w:szCs w:val="8"/>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3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3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gridSpan w:val="5"/>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1380" w:type="dxa"/>
            <w:vAlign w:val="bottom"/>
          </w:tcPr>
          <w:p>
            <w:pPr>
              <w:ind w:left="160"/>
              <w:spacing w:after="0"/>
              <w:rPr>
                <w:sz w:val="20"/>
                <w:szCs w:val="20"/>
                <w:color w:val="auto"/>
              </w:rPr>
            </w:pPr>
            <w:r>
              <w:rPr>
                <w:rFonts w:ascii="Arial" w:cs="Arial" w:eastAsia="Arial" w:hAnsi="Arial"/>
                <w:sz w:val="17"/>
                <w:szCs w:val="17"/>
                <w:color w:val="0000FF"/>
              </w:rPr>
              <w:t>CT</w:t>
            </w:r>
          </w:p>
        </w:tc>
        <w:tc>
          <w:tcPr>
            <w:tcW w:w="620" w:type="dxa"/>
            <w:vAlign w:val="bottom"/>
          </w:tcPr>
          <w:p>
            <w:pPr>
              <w:spacing w:after="0"/>
              <w:rPr>
                <w:sz w:val="20"/>
                <w:szCs w:val="20"/>
                <w:color w:val="auto"/>
              </w:rPr>
            </w:pPr>
            <w:r>
              <w:rPr>
                <w:rFonts w:ascii="Arial" w:cs="Arial" w:eastAsia="Arial" w:hAnsi="Arial"/>
                <w:sz w:val="17"/>
                <w:szCs w:val="17"/>
                <w:color w:val="0000FF"/>
              </w:rPr>
              <w:t>06902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620" w:type="dxa"/>
            <w:vAlign w:val="bottom"/>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80" w:type="dxa"/>
            <w:vAlign w:val="bottom"/>
            <w:tcBorders>
              <w:top w:val="single" w:sz="8" w:color="2C2C2C"/>
            </w:tcBorders>
            <w:gridSpan w:val="14"/>
          </w:tcPr>
          <w:p>
            <w:pPr>
              <w:ind w:left="1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4"/>
                <w:szCs w:val="14"/>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gridSpan w:val="4"/>
          </w:tcPr>
          <w:p>
            <w:pPr>
              <w:ind w:left="14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4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89"/>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620" w:type="dxa"/>
            <w:vAlign w:val="bottom"/>
          </w:tcPr>
          <w:p>
            <w:pPr>
              <w:spacing w:after="0"/>
              <w:rPr>
                <w:sz w:val="22"/>
                <w:szCs w:val="22"/>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7"/>
                <w:szCs w:val="17"/>
                <w:color w:val="0000FF"/>
              </w:rPr>
              <w:t>05/02/2023</w:t>
            </w:r>
          </w:p>
        </w:tc>
        <w:tc>
          <w:tcPr>
            <w:tcW w:w="1080" w:type="dxa"/>
            <w:vAlign w:val="bottom"/>
          </w:tcPr>
          <w:p>
            <w:pPr>
              <w:spacing w:after="0"/>
              <w:rPr>
                <w:sz w:val="22"/>
                <w:szCs w:val="22"/>
                <w:color w:val="auto"/>
              </w:rPr>
            </w:pPr>
          </w:p>
        </w:tc>
        <w:tc>
          <w:tcPr>
            <w:tcW w:w="78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45,454</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right"/>
              <w:ind w:right="4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58,290</w:t>
            </w:r>
          </w:p>
        </w:tc>
        <w:tc>
          <w:tcPr>
            <w:tcW w:w="980" w:type="dxa"/>
            <w:vAlign w:val="bottom"/>
          </w:tcPr>
          <w:p>
            <w:pPr>
              <w:ind w:left="4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Casdin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87,866,042</w:t>
            </w:r>
          </w:p>
        </w:tc>
        <w:tc>
          <w:tcPr>
            <w:tcW w:w="98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Master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ind w:left="20"/>
              <w:spacing w:after="0" w:line="266"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Casdin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14,285,743</w:t>
            </w:r>
          </w:p>
        </w:tc>
        <w:tc>
          <w:tcPr>
            <w:tcW w:w="98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FO1-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MSV,</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ind w:left="20"/>
              <w:spacing w:after="0" w:line="266"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10,993,750</w:t>
            </w:r>
          </w:p>
        </w:tc>
        <w:tc>
          <w:tcPr>
            <w:tcW w:w="98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CMLS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(3)</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(5)</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45,454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05/02/2023</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45,454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vMerge w:val="restart"/>
          </w:tcPr>
          <w:p>
            <w:pPr>
              <w:ind w:left="440"/>
              <w:spacing w:after="0" w:line="142"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jc w:val="both"/>
        <w:ind w:left="40" w:right="38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87,866,042 shares of Class A Common Stock reported in the table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31" w:lineRule="exact"/>
        <w:rPr>
          <w:rFonts w:ascii="Arial" w:cs="Arial" w:eastAsia="Arial" w:hAnsi="Arial"/>
          <w:sz w:val="13"/>
          <w:szCs w:val="13"/>
          <w:color w:val="008000"/>
        </w:rPr>
      </w:pPr>
    </w:p>
    <w:p>
      <w:pPr>
        <w:ind w:left="40" w:right="20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14,285,743 shares of Class A Common Stock reported in the table above are owned directly by Casdin Partners FO1-MSV, LP and may be deemed to be indirectly beneficially owned by (i) Casdin Capital, LLC, the investment adviser to Casdin Partners FO1-MSV, LP, (ii) Casdin Partners GP, LLC, the general partner of Casdin Partners FO1-MSV,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31" w:lineRule="exact"/>
        <w:rPr>
          <w:rFonts w:ascii="Arial" w:cs="Arial" w:eastAsia="Arial" w:hAnsi="Arial"/>
          <w:sz w:val="13"/>
          <w:szCs w:val="13"/>
          <w:color w:val="008000"/>
        </w:rPr>
      </w:pPr>
    </w:p>
    <w:p>
      <w:pPr>
        <w:ind w:left="40" w:right="220" w:firstLine="2"/>
        <w:spacing w:after="0" w:line="23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10,993,750 shares of Class A Common Stock reported in the table above are owned directly by CMLS Holdings LLC ("CMLS Holdings"). The Board of Managers of CMLS Holdings LLC is comprised of Mr. Casdin and Mr. Keith Meister who share voting and investment discretion with respect to the Class A common stock held of record by CMLS Holdings LLC. C-LSH LLC and M-LSH LLC are the members of CMLS Holdings LLC, and Messrs. Casdin and Meister are the managing members of C-LSH LLC and M-LSH LLC, respectively. As such, Mr. Casdin may be deemed to have or share beneficial ownership of the securities held directly by CMLS Holdings LLC. Each of C-LSH LLC and Mr. Casdin disclaims beneficial ownership of these shares except to the extent of its or his respective pecuniary interest therein.</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underlying shares shall vest on the earlier of the (a) date of the 2023 annual meeting of the Issuer's stockholders, and (b) first anniversary of the grant date, subject to the Reporting Person continuing to provide services to the Issuer on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1" w:right="359" w:bottom="0" w:gutter="0" w:footer="0" w:header="0"/>
          <w:type w:val="continuous"/>
        </w:sectPr>
      </w:pPr>
    </w:p>
    <w:p>
      <w:pPr>
        <w:spacing w:after="0" w:line="58" w:lineRule="exact"/>
        <w:rPr>
          <w:sz w:val="20"/>
          <w:szCs w:val="20"/>
          <w:color w:val="auto"/>
        </w:rPr>
      </w:pPr>
    </w:p>
    <w:p>
      <w:pPr>
        <w:ind w:left="40" w:right="300"/>
        <w:spacing w:after="0" w:line="249" w:lineRule="auto"/>
        <w:rPr>
          <w:sz w:val="20"/>
          <w:szCs w:val="20"/>
          <w:color w:val="auto"/>
        </w:rPr>
      </w:pPr>
      <w:r>
        <w:rPr>
          <w:rFonts w:ascii="Arial" w:cs="Arial" w:eastAsia="Arial" w:hAnsi="Arial"/>
          <w:sz w:val="13"/>
          <w:szCs w:val="13"/>
          <w:color w:val="008000"/>
        </w:rPr>
        <w:t>For avoidance of doubt, all numbers above are presented before giving effect to the 33:1 reverse stock split the Issuer's stockholders approved on April 14, 2023, which was previously disclosed in the Current Reports on Form 8-K filed by the Issuer on April 17, 2023 and April 28, 2023, and which shall become effective on May 4, 2023.</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Eli Casdin</w:t>
            </w:r>
          </w:p>
        </w:tc>
        <w:tc>
          <w:tcPr>
            <w:tcW w:w="760" w:type="dxa"/>
            <w:vAlign w:val="bottom"/>
          </w:tcPr>
          <w:p>
            <w:pPr>
              <w:spacing w:after="0"/>
              <w:rPr>
                <w:sz w:val="20"/>
                <w:szCs w:val="20"/>
                <w:color w:val="auto"/>
              </w:rPr>
            </w:pPr>
            <w:r>
              <w:rPr>
                <w:rFonts w:ascii="Arial" w:cs="Arial" w:eastAsia="Arial" w:hAnsi="Arial"/>
                <w:sz w:val="17"/>
                <w:szCs w:val="17"/>
                <w:color w:val="0000FF"/>
                <w:w w:val="86"/>
              </w:rPr>
              <w:t>05/04/2023</w:t>
            </w:r>
          </w:p>
        </w:tc>
      </w:tr>
      <w:tr>
        <w:trPr>
          <w:trHeight w:val="20"/>
        </w:trPr>
        <w:tc>
          <w:tcPr>
            <w:tcW w:w="9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2023-05-04T15:16:36Z</dcterms:created>
  <dcterms:modified xsi:type="dcterms:W3CDTF">2023-05-04T15:16:36Z</dcterms:modified>
</cp:coreProperties>
</file>