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312025_081022.xml.htm"/>
      <w:bookmarkStart w:id="1" w:name="ksform410312025_0810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136.54</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3,757</w:t>
            </w:r>
            <w:r>
              <w:rPr>
                <w:rFonts w:ascii="Times;serif" w:hAnsi="Times;serif"/>
                <w:color w:val="008000"/>
                <w:position w:val="7"/>
                <w:sz w:val="16"/>
                <w:sz w:val="20"/>
                <w:shd w:fill="FFFFFF" w:val="clear"/>
              </w:rPr>
              <w:t>(3)</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Following the reported sale undertaken to satisfy tax withholding liabilities, in addition to the 3,757 shares of Class A Common Stock beneficially owned by the Reporting Person, the Reporting Person beneficially owned RSUs representing contingent rights to receive up to an aggregate of 123,880 shares of Class A Common Stock and options to purchase up to an aggregate of 25,906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total award vested on each of April 29, 2023 and April 29, 2024, and an additional 6.25% of the total award vested or vests thereafter on each quarterly anniversary, subject to the Reporting Person's continued service to the Issuer on each vesting date, with the last tranche scheduled to vest on April 29, 2026.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4391</Characters>
  <CharactersWithSpaces>5147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