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694690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720090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9"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Washington, D.C. 20549</w:t>
      </w:r>
    </w:p>
    <w:p>
      <w:pPr>
        <w:spacing w:after="0" w:line="145"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9" w:lineRule="exact"/>
        <w:rPr>
          <w:sz w:val="24"/>
          <w:szCs w:val="24"/>
          <w:color w:val="auto"/>
        </w:rPr>
      </w:pPr>
    </w:p>
    <w:p>
      <w:pPr>
        <w:ind w:left="480" w:right="480" w:hanging="456"/>
        <w:spacing w:after="0" w:line="192" w:lineRule="auto"/>
        <w:tabs>
          <w:tab w:leader="none" w:pos="480" w:val="left"/>
        </w:tabs>
        <w:numPr>
          <w:ilvl w:val="0"/>
          <w:numId w:val="1"/>
        </w:numPr>
        <w:rPr>
          <w:rFonts w:ascii="Arial" w:cs="Arial" w:eastAsia="Arial" w:hAnsi="Arial"/>
          <w:sz w:val="35"/>
          <w:szCs w:val="35"/>
          <w:color w:val="auto"/>
          <w:vertAlign w:val="superscript"/>
        </w:rPr>
      </w:pPr>
      <w:r>
        <w:rPr>
          <w:rFonts w:ascii="Arial" w:cs="Arial" w:eastAsia="Arial" w:hAnsi="Arial"/>
          <w:sz w:val="21"/>
          <w:szCs w:val="21"/>
          <w:b w:val="1"/>
          <w:bCs w:val="1"/>
          <w:color w:val="auto"/>
        </w:rPr>
        <w:t>QUARTERLY REPORT PURSUANT TO SECTION 13 OR 15(d) OF THE SECURITIES EXCHANGE ACT OF 1934</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60"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OR</w:t>
      </w:r>
    </w:p>
    <w:p>
      <w:pPr>
        <w:spacing w:after="0" w:line="218" w:lineRule="exact"/>
        <w:rPr>
          <w:sz w:val="24"/>
          <w:szCs w:val="24"/>
          <w:color w:val="auto"/>
        </w:rPr>
      </w:pPr>
    </w:p>
    <w:p>
      <w:pPr>
        <w:ind w:left="480" w:right="460" w:hanging="456"/>
        <w:spacing w:after="0" w:line="209" w:lineRule="auto"/>
        <w:tabs>
          <w:tab w:leader="none" w:pos="480" w:val="left"/>
        </w:tabs>
        <w:numPr>
          <w:ilvl w:val="0"/>
          <w:numId w:val="2"/>
        </w:numPr>
        <w:rPr>
          <w:rFonts w:ascii="MS PGothic" w:cs="MS PGothic" w:eastAsia="MS PGothic" w:hAnsi="MS PGothic"/>
          <w:sz w:val="35"/>
          <w:szCs w:val="35"/>
          <w:color w:val="auto"/>
          <w:vertAlign w:val="superscript"/>
        </w:rPr>
      </w:pPr>
      <w:r>
        <w:rPr>
          <w:rFonts w:ascii="Arial" w:cs="Arial" w:eastAsia="Arial" w:hAnsi="Arial"/>
          <w:sz w:val="21"/>
          <w:szCs w:val="21"/>
          <w:b w:val="1"/>
          <w:bCs w:val="1"/>
          <w:color w:val="auto"/>
        </w:rPr>
        <w:t>TRANSITION REPORT PURSUANT TO SECTION 13 OR 15(d) OF THE SECURITIES EXCHANGE ACT OF 1934</w:t>
      </w:r>
    </w:p>
    <w:p>
      <w:pPr>
        <w:spacing w:after="0" w:line="90"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16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115570</wp:posOffset>
            </wp:positionV>
            <wp:extent cx="1892935" cy="5721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2935" cy="5721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1560" w:type="dxa"/>
        <w:tblCellMar>
          <w:top w:w="0" w:type="dxa"/>
          <w:left w:w="0" w:type="dxa"/>
          <w:bottom w:w="0" w:type="dxa"/>
          <w:right w:w="0" w:type="dxa"/>
        </w:tblCellMar>
      </w:tblPr>
      <w:tr>
        <w:trPr>
          <w:trHeight w:val="368"/>
        </w:trPr>
        <w:tc>
          <w:tcPr>
            <w:tcW w:w="6000" w:type="dxa"/>
            <w:vAlign w:val="bottom"/>
          </w:tcPr>
          <w:p>
            <w:pPr>
              <w:ind w:left="2700"/>
              <w:spacing w:after="0"/>
              <w:rPr>
                <w:sz w:val="20"/>
                <w:szCs w:val="20"/>
                <w:color w:val="auto"/>
              </w:rPr>
            </w:pPr>
            <w:r>
              <w:rPr>
                <w:rFonts w:ascii="Arial" w:cs="Arial" w:eastAsia="Arial" w:hAnsi="Arial"/>
                <w:sz w:val="28"/>
                <w:szCs w:val="28"/>
                <w:b w:val="1"/>
                <w:bCs w:val="1"/>
                <w:color w:val="auto"/>
              </w:rPr>
              <w:t>Sema4 Holdings Corp.</w:t>
            </w:r>
          </w:p>
        </w:tc>
        <w:tc>
          <w:tcPr>
            <w:tcW w:w="1880" w:type="dxa"/>
            <w:vAlign w:val="bottom"/>
          </w:tcPr>
          <w:p>
            <w:pPr>
              <w:spacing w:after="0"/>
              <w:rPr>
                <w:sz w:val="24"/>
                <w:szCs w:val="24"/>
                <w:color w:val="auto"/>
              </w:rPr>
            </w:pPr>
          </w:p>
        </w:tc>
      </w:tr>
      <w:tr>
        <w:trPr>
          <w:trHeight w:val="430"/>
        </w:trPr>
        <w:tc>
          <w:tcPr>
            <w:tcW w:w="7880" w:type="dxa"/>
            <w:vAlign w:val="bottom"/>
            <w:gridSpan w:val="2"/>
          </w:tcPr>
          <w:p>
            <w:pPr>
              <w:jc w:val="right"/>
              <w:ind w:right="1232"/>
              <w:spacing w:after="0"/>
              <w:rPr>
                <w:sz w:val="20"/>
                <w:szCs w:val="20"/>
                <w:color w:val="auto"/>
              </w:rPr>
            </w:pPr>
            <w:r>
              <w:rPr>
                <w:rFonts w:ascii="Arial" w:cs="Arial" w:eastAsia="Arial" w:hAnsi="Arial"/>
                <w:sz w:val="21"/>
                <w:szCs w:val="21"/>
                <w:b w:val="1"/>
                <w:bCs w:val="1"/>
                <w:color w:val="auto"/>
              </w:rPr>
              <w:t>(Exact name of registrant as specified in its charter)</w:t>
            </w:r>
          </w:p>
        </w:tc>
      </w:tr>
      <w:tr>
        <w:trPr>
          <w:trHeight w:val="399"/>
        </w:trPr>
        <w:tc>
          <w:tcPr>
            <w:tcW w:w="6000" w:type="dxa"/>
            <w:vAlign w:val="bottom"/>
          </w:tcPr>
          <w:p>
            <w:pPr>
              <w:jc w:val="center"/>
              <w:ind w:right="2703"/>
              <w:spacing w:after="0"/>
              <w:rPr>
                <w:sz w:val="20"/>
                <w:szCs w:val="20"/>
                <w:color w:val="auto"/>
              </w:rPr>
            </w:pPr>
            <w:r>
              <w:rPr>
                <w:rFonts w:ascii="Arial" w:cs="Arial" w:eastAsia="Arial" w:hAnsi="Arial"/>
                <w:sz w:val="18"/>
                <w:szCs w:val="18"/>
                <w:b w:val="1"/>
                <w:bCs w:val="1"/>
                <w:color w:val="auto"/>
                <w:w w:val="91"/>
              </w:rPr>
              <w:t>Delaware</w:t>
            </w:r>
          </w:p>
        </w:tc>
        <w:tc>
          <w:tcPr>
            <w:tcW w:w="1880" w:type="dxa"/>
            <w:vAlign w:val="bottom"/>
          </w:tcPr>
          <w:p>
            <w:pPr>
              <w:jc w:val="right"/>
              <w:ind w:right="172"/>
              <w:spacing w:after="0"/>
              <w:rPr>
                <w:sz w:val="20"/>
                <w:szCs w:val="20"/>
                <w:color w:val="auto"/>
              </w:rPr>
            </w:pPr>
            <w:r>
              <w:rPr>
                <w:rFonts w:ascii="Arial" w:cs="Arial" w:eastAsia="Arial" w:hAnsi="Arial"/>
                <w:sz w:val="18"/>
                <w:szCs w:val="18"/>
                <w:b w:val="1"/>
                <w:bCs w:val="1"/>
                <w:color w:val="auto"/>
              </w:rPr>
              <w:t>85-1966622</w:t>
            </w:r>
          </w:p>
        </w:tc>
      </w:tr>
      <w:tr>
        <w:trPr>
          <w:trHeight w:val="227"/>
        </w:trPr>
        <w:tc>
          <w:tcPr>
            <w:tcW w:w="6000" w:type="dxa"/>
            <w:vAlign w:val="bottom"/>
          </w:tcPr>
          <w:p>
            <w:pPr>
              <w:jc w:val="center"/>
              <w:ind w:right="2703"/>
              <w:spacing w:after="0"/>
              <w:rPr>
                <w:sz w:val="20"/>
                <w:szCs w:val="20"/>
                <w:color w:val="auto"/>
              </w:rPr>
            </w:pPr>
            <w:r>
              <w:rPr>
                <w:rFonts w:ascii="Arial" w:cs="Arial" w:eastAsia="Arial" w:hAnsi="Arial"/>
                <w:sz w:val="18"/>
                <w:szCs w:val="18"/>
                <w:color w:val="auto"/>
                <w:w w:val="90"/>
              </w:rPr>
              <w:t>(State or other jurisdiction of</w:t>
            </w:r>
          </w:p>
        </w:tc>
        <w:tc>
          <w:tcPr>
            <w:tcW w:w="1880" w:type="dxa"/>
            <w:vAlign w:val="bottom"/>
          </w:tcPr>
          <w:p>
            <w:pPr>
              <w:jc w:val="center"/>
              <w:ind w:left="472"/>
              <w:spacing w:after="0"/>
              <w:rPr>
                <w:sz w:val="20"/>
                <w:szCs w:val="20"/>
                <w:color w:val="auto"/>
              </w:rPr>
            </w:pPr>
            <w:r>
              <w:rPr>
                <w:rFonts w:ascii="Arial" w:cs="Arial" w:eastAsia="Arial" w:hAnsi="Arial"/>
                <w:sz w:val="18"/>
                <w:szCs w:val="18"/>
                <w:color w:val="auto"/>
                <w:w w:val="90"/>
              </w:rPr>
              <w:t>(I.R.S. Employer</w:t>
            </w:r>
          </w:p>
        </w:tc>
      </w:tr>
      <w:tr>
        <w:trPr>
          <w:trHeight w:val="223"/>
        </w:trPr>
        <w:tc>
          <w:tcPr>
            <w:tcW w:w="6000" w:type="dxa"/>
            <w:vAlign w:val="bottom"/>
          </w:tcPr>
          <w:p>
            <w:pPr>
              <w:jc w:val="center"/>
              <w:ind w:right="2703"/>
              <w:spacing w:after="0"/>
              <w:rPr>
                <w:sz w:val="20"/>
                <w:szCs w:val="20"/>
                <w:color w:val="auto"/>
              </w:rPr>
            </w:pPr>
            <w:r>
              <w:rPr>
                <w:rFonts w:ascii="Arial" w:cs="Arial" w:eastAsia="Arial" w:hAnsi="Arial"/>
                <w:sz w:val="18"/>
                <w:szCs w:val="18"/>
                <w:color w:val="auto"/>
                <w:w w:val="90"/>
              </w:rPr>
              <w:t>incorporation or organization)</w:t>
            </w:r>
          </w:p>
        </w:tc>
        <w:tc>
          <w:tcPr>
            <w:tcW w:w="1880" w:type="dxa"/>
            <w:vAlign w:val="bottom"/>
          </w:tcPr>
          <w:p>
            <w:pPr>
              <w:jc w:val="center"/>
              <w:ind w:left="472"/>
              <w:spacing w:after="0"/>
              <w:rPr>
                <w:sz w:val="20"/>
                <w:szCs w:val="20"/>
                <w:color w:val="auto"/>
              </w:rPr>
            </w:pPr>
            <w:r>
              <w:rPr>
                <w:rFonts w:ascii="Arial" w:cs="Arial" w:eastAsia="Arial" w:hAnsi="Arial"/>
                <w:sz w:val="18"/>
                <w:szCs w:val="18"/>
                <w:color w:val="auto"/>
                <w:w w:val="94"/>
              </w:rPr>
              <w:t>Identification No.)</w:t>
            </w:r>
          </w:p>
        </w:tc>
      </w:tr>
      <w:tr>
        <w:trPr>
          <w:trHeight w:val="274"/>
        </w:trPr>
        <w:tc>
          <w:tcPr>
            <w:tcW w:w="6000" w:type="dxa"/>
            <w:vAlign w:val="bottom"/>
          </w:tcPr>
          <w:p>
            <w:pPr>
              <w:jc w:val="center"/>
              <w:ind w:right="2703"/>
              <w:spacing w:after="0"/>
              <w:rPr>
                <w:sz w:val="20"/>
                <w:szCs w:val="20"/>
                <w:color w:val="auto"/>
              </w:rPr>
            </w:pPr>
            <w:r>
              <w:rPr>
                <w:rFonts w:ascii="Arial" w:cs="Arial" w:eastAsia="Arial" w:hAnsi="Arial"/>
                <w:sz w:val="18"/>
                <w:szCs w:val="18"/>
                <w:b w:val="1"/>
                <w:bCs w:val="1"/>
                <w:color w:val="auto"/>
                <w:w w:val="89"/>
              </w:rPr>
              <w:t>333 Ludlow Street, North Tower, 8th Floor</w:t>
            </w:r>
          </w:p>
        </w:tc>
        <w:tc>
          <w:tcPr>
            <w:tcW w:w="1880" w:type="dxa"/>
            <w:vAlign w:val="bottom"/>
          </w:tcPr>
          <w:p>
            <w:pPr>
              <w:spacing w:after="0"/>
              <w:rPr>
                <w:sz w:val="23"/>
                <w:szCs w:val="23"/>
                <w:color w:val="auto"/>
              </w:rPr>
            </w:pPr>
          </w:p>
        </w:tc>
      </w:tr>
      <w:tr>
        <w:trPr>
          <w:trHeight w:val="229"/>
        </w:trPr>
        <w:tc>
          <w:tcPr>
            <w:tcW w:w="6000" w:type="dxa"/>
            <w:vAlign w:val="bottom"/>
          </w:tcPr>
          <w:p>
            <w:pPr>
              <w:jc w:val="center"/>
              <w:ind w:right="2703"/>
              <w:spacing w:after="0"/>
              <w:rPr>
                <w:sz w:val="20"/>
                <w:szCs w:val="20"/>
                <w:color w:val="auto"/>
              </w:rPr>
            </w:pPr>
            <w:r>
              <w:rPr>
                <w:rFonts w:ascii="Arial" w:cs="Arial" w:eastAsia="Arial" w:hAnsi="Arial"/>
                <w:sz w:val="18"/>
                <w:szCs w:val="18"/>
                <w:b w:val="1"/>
                <w:bCs w:val="1"/>
                <w:color w:val="auto"/>
                <w:w w:val="89"/>
              </w:rPr>
              <w:t>Stamford, Connecticut</w:t>
            </w:r>
          </w:p>
        </w:tc>
        <w:tc>
          <w:tcPr>
            <w:tcW w:w="1880" w:type="dxa"/>
            <w:vAlign w:val="bottom"/>
          </w:tcPr>
          <w:p>
            <w:pPr>
              <w:jc w:val="center"/>
              <w:ind w:left="472"/>
              <w:spacing w:after="0"/>
              <w:rPr>
                <w:sz w:val="20"/>
                <w:szCs w:val="20"/>
                <w:color w:val="auto"/>
              </w:rPr>
            </w:pPr>
            <w:r>
              <w:rPr>
                <w:rFonts w:ascii="Arial" w:cs="Arial" w:eastAsia="Arial" w:hAnsi="Arial"/>
                <w:sz w:val="18"/>
                <w:szCs w:val="18"/>
                <w:b w:val="1"/>
                <w:bCs w:val="1"/>
                <w:color w:val="auto"/>
                <w:w w:val="87"/>
              </w:rPr>
              <w:t>06902</w:t>
            </w:r>
          </w:p>
        </w:tc>
      </w:tr>
      <w:tr>
        <w:trPr>
          <w:trHeight w:val="252"/>
        </w:trPr>
        <w:tc>
          <w:tcPr>
            <w:tcW w:w="6000" w:type="dxa"/>
            <w:vAlign w:val="bottom"/>
          </w:tcPr>
          <w:p>
            <w:pPr>
              <w:jc w:val="center"/>
              <w:ind w:right="2703"/>
              <w:spacing w:after="0"/>
              <w:rPr>
                <w:sz w:val="20"/>
                <w:szCs w:val="20"/>
                <w:color w:val="auto"/>
              </w:rPr>
            </w:pPr>
            <w:r>
              <w:rPr>
                <w:rFonts w:ascii="Arial" w:cs="Arial" w:eastAsia="Arial" w:hAnsi="Arial"/>
                <w:sz w:val="18"/>
                <w:szCs w:val="18"/>
                <w:color w:val="auto"/>
                <w:w w:val="91"/>
              </w:rPr>
              <w:t>(Address of Principal Executive Offices)</w:t>
            </w:r>
          </w:p>
        </w:tc>
        <w:tc>
          <w:tcPr>
            <w:tcW w:w="1880" w:type="dxa"/>
            <w:vAlign w:val="bottom"/>
          </w:tcPr>
          <w:p>
            <w:pPr>
              <w:jc w:val="center"/>
              <w:ind w:left="452"/>
              <w:spacing w:after="0"/>
              <w:rPr>
                <w:sz w:val="20"/>
                <w:szCs w:val="20"/>
                <w:color w:val="auto"/>
              </w:rPr>
            </w:pPr>
            <w:r>
              <w:rPr>
                <w:rFonts w:ascii="Arial" w:cs="Arial" w:eastAsia="Arial" w:hAnsi="Arial"/>
                <w:sz w:val="18"/>
                <w:szCs w:val="18"/>
                <w:color w:val="auto"/>
                <w:w w:val="91"/>
              </w:rPr>
              <w:t>(Zip Code)</w:t>
            </w:r>
          </w:p>
        </w:tc>
      </w:tr>
    </w:tbl>
    <w:p>
      <w:pPr>
        <w:spacing w:after="0" w:line="26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 298-6470</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Registrant's telephone number, including area code</w:t>
      </w:r>
    </w:p>
    <w:p>
      <w:pPr>
        <w:spacing w:after="0" w:line="206"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8"/>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r>
      <w:tr>
        <w:trPr>
          <w:trHeight w:val="250"/>
        </w:trPr>
        <w:tc>
          <w:tcPr>
            <w:tcW w:w="462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Class A common stock, par value $0.0001 per share</w:t>
            </w:r>
          </w:p>
        </w:tc>
        <w:tc>
          <w:tcPr>
            <w:tcW w:w="1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SMFR</w:t>
            </w:r>
          </w:p>
        </w:tc>
        <w:tc>
          <w:tcPr>
            <w:tcW w:w="4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The Nasdaq Global Select Market</w:t>
            </w:r>
          </w:p>
        </w:tc>
      </w:tr>
      <w:tr>
        <w:trPr>
          <w:trHeight w:val="187"/>
        </w:trPr>
        <w:tc>
          <w:tcPr>
            <w:tcW w:w="4620" w:type="dxa"/>
            <w:vAlign w:val="bottom"/>
            <w:tcBorders>
              <w:top w:val="single" w:sz="8" w:color="auto"/>
              <w:left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86"/>
              </w:rPr>
              <w:t>Warrants to purchase one share of Class A common stock,</w:t>
            </w:r>
          </w:p>
        </w:tc>
        <w:tc>
          <w:tcPr>
            <w:tcW w:w="1880" w:type="dxa"/>
            <w:vAlign w:val="bottom"/>
            <w:tcBorders>
              <w:top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9"/>
              </w:rPr>
              <w:t>SMFRW</w:t>
            </w:r>
          </w:p>
        </w:tc>
        <w:tc>
          <w:tcPr>
            <w:tcW w:w="4760" w:type="dxa"/>
            <w:vAlign w:val="bottom"/>
            <w:tcBorders>
              <w:top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0"/>
              </w:rPr>
              <w:t>The Nasdaq Global Select Market</w:t>
            </w:r>
          </w:p>
        </w:tc>
      </w:tr>
      <w:tr>
        <w:trPr>
          <w:trHeight w:val="229"/>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each at an exercise price of $11.50 per share</w:t>
            </w:r>
          </w:p>
        </w:tc>
        <w:tc>
          <w:tcPr>
            <w:tcW w:w="1880" w:type="dxa"/>
            <w:vAlign w:val="bottom"/>
            <w:tcBorders>
              <w:right w:val="single" w:sz="8" w:color="auto"/>
            </w:tcBorders>
          </w:tcPr>
          <w:p>
            <w:pPr>
              <w:spacing w:after="0"/>
              <w:rPr>
                <w:sz w:val="19"/>
                <w:szCs w:val="19"/>
                <w:color w:val="auto"/>
              </w:rPr>
            </w:pPr>
          </w:p>
        </w:tc>
        <w:tc>
          <w:tcPr>
            <w:tcW w:w="4760" w:type="dxa"/>
            <w:vAlign w:val="bottom"/>
            <w:tcBorders>
              <w:right w:val="single" w:sz="8" w:color="auto"/>
            </w:tcBorders>
          </w:tcPr>
          <w:p>
            <w:pPr>
              <w:spacing w:after="0"/>
              <w:rPr>
                <w:sz w:val="19"/>
                <w:szCs w:val="19"/>
                <w:color w:val="auto"/>
              </w:rPr>
            </w:pP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r>
    </w:tbl>
    <w:p>
      <w:pPr>
        <w:spacing w:after="0" w:line="226"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5"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35"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5"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20" w:type="dxa"/>
            <w:vAlign w:val="bottom"/>
          </w:tcPr>
          <w:p>
            <w:pPr>
              <w:ind w:left="740"/>
              <w:spacing w:after="0"/>
              <w:rPr>
                <w:sz w:val="20"/>
                <w:szCs w:val="20"/>
                <w:color w:val="auto"/>
              </w:rPr>
            </w:pPr>
            <w:r>
              <w:rPr>
                <w:rFonts w:ascii="Arial" w:cs="Arial" w:eastAsia="Arial" w:hAnsi="Arial"/>
                <w:sz w:val="18"/>
                <w:szCs w:val="18"/>
                <w:color w:val="auto"/>
              </w:rPr>
              <w:t>o</w:t>
            </w:r>
          </w:p>
        </w:tc>
        <w:tc>
          <w:tcPr>
            <w:tcW w:w="472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ind w:left="1120"/>
              <w:spacing w:after="0"/>
              <w:rPr>
                <w:sz w:val="20"/>
                <w:szCs w:val="20"/>
                <w:color w:val="auto"/>
              </w:rPr>
            </w:pPr>
            <w:r>
              <w:rPr>
                <w:rFonts w:ascii="Arial" w:cs="Arial" w:eastAsia="Arial" w:hAnsi="Arial"/>
                <w:sz w:val="18"/>
                <w:szCs w:val="18"/>
                <w:color w:val="auto"/>
                <w:w w:val="79"/>
              </w:rPr>
              <w:t>o</w:t>
            </w:r>
          </w:p>
        </w:tc>
      </w:tr>
      <w:tr>
        <w:trPr>
          <w:trHeight w:val="252"/>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520" w:type="dxa"/>
            <w:vAlign w:val="bottom"/>
          </w:tcPr>
          <w:p>
            <w:pPr>
              <w:ind w:left="740"/>
              <w:spacing w:after="0"/>
              <w:rPr>
                <w:sz w:val="20"/>
                <w:szCs w:val="20"/>
                <w:color w:val="auto"/>
              </w:rPr>
            </w:pPr>
            <w:r>
              <w:rPr>
                <w:rFonts w:ascii="Arial" w:cs="Arial" w:eastAsia="Arial" w:hAnsi="Arial"/>
                <w:sz w:val="18"/>
                <w:szCs w:val="18"/>
                <w:color w:val="auto"/>
              </w:rPr>
              <w:t>x</w:t>
            </w:r>
          </w:p>
        </w:tc>
        <w:tc>
          <w:tcPr>
            <w:tcW w:w="472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1220" w:type="dxa"/>
            <w:vAlign w:val="bottom"/>
          </w:tcPr>
          <w:p>
            <w:pPr>
              <w:ind w:left="1120"/>
              <w:spacing w:after="0"/>
              <w:rPr>
                <w:sz w:val="20"/>
                <w:szCs w:val="20"/>
                <w:color w:val="auto"/>
              </w:rPr>
            </w:pPr>
            <w:r>
              <w:rPr>
                <w:rFonts w:ascii="Arial" w:cs="Arial" w:eastAsia="Arial" w:hAnsi="Arial"/>
                <w:sz w:val="18"/>
                <w:szCs w:val="18"/>
                <w:color w:val="auto"/>
                <w:w w:val="88"/>
              </w:rPr>
              <w:t>x</w:t>
            </w:r>
          </w:p>
        </w:tc>
      </w:tr>
      <w:tr>
        <w:trPr>
          <w:trHeight w:val="252"/>
        </w:trPr>
        <w:tc>
          <w:tcPr>
            <w:tcW w:w="23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72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1220" w:type="dxa"/>
            <w:vAlign w:val="bottom"/>
          </w:tcPr>
          <w:p>
            <w:pPr>
              <w:ind w:left="1120"/>
              <w:spacing w:after="0"/>
              <w:rPr>
                <w:sz w:val="20"/>
                <w:szCs w:val="20"/>
                <w:color w:val="auto"/>
              </w:rPr>
            </w:pPr>
            <w:r>
              <w:rPr>
                <w:rFonts w:ascii="Arial" w:cs="Arial" w:eastAsia="Arial" w:hAnsi="Arial"/>
                <w:sz w:val="18"/>
                <w:szCs w:val="18"/>
                <w:color w:val="auto"/>
                <w:w w:val="88"/>
              </w:rPr>
              <w:t>x</w:t>
            </w:r>
          </w:p>
        </w:tc>
      </w:tr>
    </w:tbl>
    <w:p>
      <w:pPr>
        <w:spacing w:after="0" w:line="26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ectPr>
          <w:pgSz w:w="11900" w:h="16838" w:orient="portrait"/>
          <w:cols w:equalWidth="0" w:num="1">
            <w:col w:w="11260"/>
          </w:cols>
          <w:pgMar w:left="320" w:top="1370" w:right="319" w:bottom="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t>The registrant had outstanding 386,795,130 shares of Class A common stock as of 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819785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193040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39"/>
          </w:cols>
          <w:pgMar w:left="320" w:top="36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120" w:type="dxa"/>
            <w:vAlign w:val="bottom"/>
            <w:gridSpan w:val="7"/>
          </w:tcPr>
          <w:p>
            <w:pPr>
              <w:ind w:left="6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ind w:left="6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Explanatory Note</w:t>
            </w:r>
          </w:p>
        </w:tc>
        <w:tc>
          <w:tcPr>
            <w:tcW w:w="8740" w:type="dxa"/>
            <w:vAlign w:val="bottom"/>
            <w:gridSpan w:val="16"/>
          </w:tcPr>
          <w:p>
            <w:pPr>
              <w:spacing w:after="0"/>
              <w:rPr>
                <w:sz w:val="18"/>
                <w:szCs w:val="18"/>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Cautionary Note Regarding Forward Looking Statements</w:t>
            </w:r>
          </w:p>
        </w:tc>
        <w:tc>
          <w:tcPr>
            <w:tcW w:w="5940" w:type="dxa"/>
            <w:vAlign w:val="bottom"/>
            <w:gridSpan w:val="9"/>
          </w:tcPr>
          <w:p>
            <w:pPr>
              <w:spacing w:after="0"/>
              <w:rPr>
                <w:sz w:val="20"/>
                <w:szCs w:val="20"/>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0000FF"/>
              </w:rPr>
              <w:t>Part I. Financial Information</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FF"/>
              </w:rPr>
              <w:t>Item 1.</w:t>
            </w: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Unaudited Condensed Consolidated Financial Statements</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8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5"/>
              </w:rPr>
              <w:t>Condensed Consolidated Balance Sheets</w:t>
            </w:r>
          </w:p>
        </w:tc>
        <w:tc>
          <w:tcPr>
            <w:tcW w:w="1020" w:type="dxa"/>
            <w:vAlign w:val="bottom"/>
            <w:tcBorders>
              <w:top w:val="single" w:sz="8" w:color="0000FF"/>
            </w:tcBorders>
            <w:gridSpan w:val="2"/>
          </w:tcPr>
          <w:p>
            <w:pPr>
              <w:spacing w:after="0"/>
              <w:rPr>
                <w:sz w:val="20"/>
                <w:szCs w:val="20"/>
                <w:color w:val="auto"/>
              </w:rPr>
            </w:pPr>
          </w:p>
        </w:tc>
        <w:tc>
          <w:tcPr>
            <w:tcW w:w="4860" w:type="dxa"/>
            <w:vAlign w:val="bottom"/>
            <w:gridSpan w:val="6"/>
          </w:tcPr>
          <w:p>
            <w:pPr>
              <w:spacing w:after="0"/>
              <w:rPr>
                <w:sz w:val="20"/>
                <w:szCs w:val="20"/>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6"/>
              </w:rPr>
              <w:t>Condensed Consolidated Statements of Operations and Comprehensive Loss</w:t>
            </w:r>
          </w:p>
        </w:tc>
        <w:tc>
          <w:tcPr>
            <w:tcW w:w="3340" w:type="dxa"/>
            <w:vAlign w:val="bottom"/>
            <w:gridSpan w:val="3"/>
          </w:tcPr>
          <w:p>
            <w:pPr>
              <w:spacing w:after="0"/>
              <w:rPr>
                <w:sz w:val="20"/>
                <w:szCs w:val="20"/>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40" w:type="dxa"/>
            <w:vAlign w:val="bottom"/>
            <w:gridSpan w:val="16"/>
          </w:tcPr>
          <w:p>
            <w:pPr>
              <w:spacing w:after="0"/>
              <w:rPr>
                <w:sz w:val="20"/>
                <w:szCs w:val="20"/>
                <w:color w:val="auto"/>
              </w:rPr>
            </w:pPr>
            <w:r>
              <w:rPr>
                <w:rFonts w:ascii="Arial" w:cs="Arial" w:eastAsia="Arial" w:hAnsi="Arial"/>
                <w:sz w:val="18"/>
                <w:szCs w:val="18"/>
                <w:color w:val="0000FF"/>
                <w:w w:val="95"/>
              </w:rPr>
              <w:t>Condensed Consolidated Statement of Redeemable Convertible Preferred Stock and Stockholders' Equity (Deficit)</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8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660" w:type="dxa"/>
            <w:vAlign w:val="bottom"/>
          </w:tcPr>
          <w:p>
            <w:pPr>
              <w:spacing w:after="0"/>
              <w:rPr>
                <w:sz w:val="20"/>
                <w:szCs w:val="20"/>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vMerge w:val="restart"/>
          </w:tcPr>
          <w:p>
            <w:pPr>
              <w:jc w:val="center"/>
              <w:ind w:left="31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gridSpan w:val="12"/>
            <w:vMerge w:val="restart"/>
          </w:tcPr>
          <w:p>
            <w:pPr>
              <w:spacing w:after="0"/>
              <w:rPr>
                <w:sz w:val="20"/>
                <w:szCs w:val="20"/>
                <w:color w:val="auto"/>
              </w:rPr>
            </w:pPr>
            <w:r>
              <w:rPr>
                <w:rFonts w:ascii="Arial" w:cs="Arial" w:eastAsia="Arial" w:hAnsi="Arial"/>
                <w:sz w:val="18"/>
                <w:szCs w:val="18"/>
                <w:color w:val="0000FF"/>
                <w:w w:val="87"/>
              </w:rPr>
              <w:t>Notes to Unaudited Condensed Consolidated Financial Statements</w:t>
            </w:r>
          </w:p>
        </w:tc>
        <w:tc>
          <w:tcPr>
            <w:tcW w:w="4060" w:type="dxa"/>
            <w:vAlign w:val="bottom"/>
            <w:gridSpan w:val="4"/>
            <w:vMerge w:val="restart"/>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80" w:type="dxa"/>
            <w:vAlign w:val="bottom"/>
            <w:tcBorders>
              <w:bottom w:val="single" w:sz="8" w:color="0000FF"/>
            </w:tcBorders>
            <w:gridSpan w:val="12"/>
            <w:vMerge w:val="continue"/>
          </w:tcPr>
          <w:p>
            <w:pPr>
              <w:spacing w:after="0"/>
              <w:rPr>
                <w:sz w:val="4"/>
                <w:szCs w:val="4"/>
                <w:color w:val="auto"/>
              </w:rPr>
            </w:pPr>
          </w:p>
        </w:tc>
        <w:tc>
          <w:tcPr>
            <w:tcW w:w="406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2.</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220" w:type="dxa"/>
            <w:vAlign w:val="bottom"/>
          </w:tcPr>
          <w:p>
            <w:pPr>
              <w:jc w:val="center"/>
              <w:ind w:left="312"/>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tcBorders>
              <w:left w:val="single" w:sz="8" w:color="0000FF"/>
            </w:tcBorders>
            <w:gridSpan w:val="3"/>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3.</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Quantitative and Qualitative Disclosures About Market Risk</w:t>
            </w:r>
          </w:p>
        </w:tc>
        <w:tc>
          <w:tcPr>
            <w:tcW w:w="1220" w:type="dxa"/>
            <w:vAlign w:val="bottom"/>
          </w:tcPr>
          <w:p>
            <w:pPr>
              <w:jc w:val="center"/>
              <w:ind w:left="312"/>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660" w:type="dxa"/>
            <w:vAlign w:val="bottom"/>
            <w:tcBorders>
              <w:left w:val="single" w:sz="8" w:color="0000FF"/>
            </w:tcBorders>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Controls and Procedures</w:t>
            </w:r>
          </w:p>
        </w:tc>
        <w:tc>
          <w:tcPr>
            <w:tcW w:w="1220" w:type="dxa"/>
            <w:vAlign w:val="bottom"/>
          </w:tcPr>
          <w:p>
            <w:pPr>
              <w:jc w:val="center"/>
              <w:ind w:left="312"/>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0" w:type="dxa"/>
            <w:vAlign w:val="bottom"/>
          </w:tcPr>
          <w:p>
            <w:pPr>
              <w:spacing w:after="0"/>
              <w:rPr>
                <w:sz w:val="24"/>
                <w:szCs w:val="24"/>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0000FF"/>
              </w:rPr>
              <w:t>Part II. Other Information</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1.</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Legal Proceedings</w:t>
            </w:r>
          </w:p>
        </w:tc>
        <w:tc>
          <w:tcPr>
            <w:tcW w:w="1220" w:type="dxa"/>
            <w:vAlign w:val="bottom"/>
          </w:tcPr>
          <w:p>
            <w:pPr>
              <w:jc w:val="center"/>
              <w:ind w:left="312"/>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280" w:type="dxa"/>
            <w:vAlign w:val="bottom"/>
            <w:gridSpan w:val="2"/>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Risk Factors</w:t>
            </w:r>
          </w:p>
        </w:tc>
        <w:tc>
          <w:tcPr>
            <w:tcW w:w="1220" w:type="dxa"/>
            <w:vAlign w:val="bottom"/>
          </w:tcPr>
          <w:p>
            <w:pPr>
              <w:jc w:val="center"/>
              <w:ind w:left="312"/>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Unregistered Sales of Equity Securities and Use of Proceeds</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93"/>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3.</w:t>
            </w:r>
          </w:p>
        </w:tc>
        <w:tc>
          <w:tcPr>
            <w:tcW w:w="2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Defaults Upon Senior Securities</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93"/>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640" w:type="dxa"/>
            <w:vAlign w:val="bottom"/>
            <w:gridSpan w:val="1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Mine Safety Disclosures</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93"/>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180" w:type="dxa"/>
            <w:vAlign w:val="bottom"/>
            <w:gridSpan w:val="11"/>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5.</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Other Information</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93"/>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6.</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Exhibits</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93"/>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111</w:t>
            </w:r>
          </w:p>
        </w:tc>
        <w:tc>
          <w:tcPr>
            <w:tcW w:w="0" w:type="dxa"/>
            <w:vAlign w:val="bottom"/>
          </w:tcPr>
          <w:p>
            <w:pPr>
              <w:spacing w:after="0"/>
              <w:rPr>
                <w:sz w:val="1"/>
                <w:szCs w:val="1"/>
                <w:color w:val="auto"/>
              </w:rPr>
            </w:pPr>
          </w:p>
        </w:tc>
      </w:tr>
      <w:tr>
        <w:trPr>
          <w:trHeight w:val="1033"/>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 w:name="page4"/>
    <w:bookmarkEnd w:id="3"/>
    <w:p>
      <w:pPr>
        <w:ind w:left="5000"/>
        <w:spacing w:after="0"/>
        <w:rPr>
          <w:sz w:val="20"/>
          <w:szCs w:val="20"/>
          <w:color w:val="auto"/>
        </w:rPr>
      </w:pPr>
      <w:r>
        <w:rPr>
          <w:rFonts w:ascii="Arial" w:cs="Arial" w:eastAsia="Arial" w:hAnsi="Arial"/>
          <w:sz w:val="18"/>
          <w:szCs w:val="18"/>
          <w:b w:val="1"/>
          <w:bCs w:val="1"/>
          <w:color w:val="auto"/>
        </w:rPr>
        <w:t>EXPLANATORY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in this report or the context otherwise requires, references to:</w:t>
      </w:r>
    </w:p>
    <w:p>
      <w:pPr>
        <w:spacing w:after="0" w:line="45" w:lineRule="exact"/>
        <w:rPr>
          <w:sz w:val="20"/>
          <w:szCs w:val="20"/>
          <w:color w:val="auto"/>
        </w:rPr>
      </w:pPr>
    </w:p>
    <w:p>
      <w:pPr>
        <w:jc w:val="both"/>
        <w:ind w:left="640" w:hanging="316"/>
        <w:spacing w:after="0" w:line="242"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the “Company,” “Sema4” and “we,” “us” and “our” refer to (i) Mount Sinai Genomics, Inc. d/b/a as Sema4, or Legacy Sema4, prior to the consummation of our business combination with CM Life Sciences, Inc., or CMLS, on July 22, 2021 and (ii) Sema4 Holdings Corp. and its consolidated subsidiaries following the consummation of our business combination.</w:t>
      </w:r>
    </w:p>
    <w:p>
      <w:pPr>
        <w:spacing w:after="0" w:line="28" w:lineRule="exact"/>
        <w:rPr>
          <w:rFonts w:ascii="Arial" w:cs="Arial" w:eastAsia="Arial" w:hAnsi="Arial"/>
          <w:sz w:val="21"/>
          <w:szCs w:val="21"/>
          <w:color w:val="auto"/>
        </w:rPr>
      </w:pPr>
    </w:p>
    <w:p>
      <w:pPr>
        <w:ind w:left="640" w:hanging="316"/>
        <w:spacing w:after="0" w:line="232"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“GeneDx” refer to GeneDx, LLC, a Delaware limited liability company (formerly, GeneDx, Inc., a New Jersey corporation), which we acquired on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29" w:lineRule="exact"/>
        <w:rPr>
          <w:sz w:val="20"/>
          <w:szCs w:val="20"/>
          <w:color w:val="auto"/>
        </w:rPr>
      </w:pPr>
    </w:p>
    <w:p>
      <w:pPr>
        <w:ind w:left="1280" w:right="20" w:hanging="638"/>
        <w:spacing w:after="0" w:line="232" w:lineRule="auto"/>
        <w:tabs>
          <w:tab w:leader="none" w:pos="1275"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spacing w:after="0" w:line="3" w:lineRule="exact"/>
        <w:rPr>
          <w:rFonts w:ascii="Arial" w:cs="Arial" w:eastAsia="Arial" w:hAnsi="Arial"/>
          <w:sz w:val="21"/>
          <w:szCs w:val="21"/>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losses;</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w:t>
      </w:r>
    </w:p>
    <w:p>
      <w:pPr>
        <w:spacing w:after="0" w:line="18" w:lineRule="exact"/>
        <w:rPr>
          <w:rFonts w:ascii="Arial" w:cs="Arial" w:eastAsia="Arial" w:hAnsi="Arial"/>
          <w:sz w:val="18"/>
          <w:szCs w:val="18"/>
          <w:color w:val="auto"/>
        </w:rPr>
      </w:pPr>
    </w:p>
    <w:p>
      <w:pPr>
        <w:ind w:left="1280" w:hanging="638"/>
        <w:spacing w:after="0" w:line="246"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including supply chain interruptions and manufacturing constraints, arising from or related to the ongoing COVID-19 pandemic;</w:t>
      </w:r>
    </w:p>
    <w:p>
      <w:pPr>
        <w:ind w:left="1280" w:hanging="638"/>
        <w:spacing w:after="0" w:line="230"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benefits expected from our April 2022 acquisition of GeneDx;</w:t>
      </w:r>
    </w:p>
    <w:p>
      <w:pPr>
        <w:jc w:val="both"/>
        <w:ind w:left="1280" w:right="140" w:hanging="638"/>
        <w:spacing w:after="0" w:line="234"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plans to pursue a new strategic direction, exit our reproductive and women’s health testing business and our ability to scale to profitability, as well as our plans to exit our somatic tumor testing business and the associated cost savings and impact on our gross margins;</w:t>
      </w:r>
    </w:p>
    <w:p>
      <w:pPr>
        <w:spacing w:after="0" w:line="3"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or ability to enter into service, collaboration and other partnership agreements;</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scale market and sell our products;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or authorizations by the U.S. Food and Drug Administration, or the FDA, or other regulatory authorities;</w:t>
      </w:r>
    </w:p>
    <w:p>
      <w:pPr>
        <w:spacing w:after="0" w:line="18" w:lineRule="exact"/>
        <w:rPr>
          <w:rFonts w:ascii="Arial" w:cs="Arial" w:eastAsia="Arial" w:hAnsi="Arial"/>
          <w:sz w:val="18"/>
          <w:szCs w:val="18"/>
          <w:color w:val="auto"/>
        </w:rPr>
      </w:pPr>
    </w:p>
    <w:p>
      <w:pPr>
        <w:ind w:left="1280" w:hanging="638"/>
        <w:spacing w:after="0" w:line="261"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governmental regulation and other legal obligations, including privacy, data protection, information security, consumer protection, and anti-corruption and anti-bribery;</w:t>
      </w: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existing and emerging technologies;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5"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payor reimbursement and coverage decisions, negotiations and settlements;</w:t>
      </w:r>
    </w:p>
    <w:p>
      <w:pPr>
        <w:spacing w:after="0" w:line="4" w:lineRule="exact"/>
        <w:rPr>
          <w:rFonts w:ascii="Arial" w:cs="Arial" w:eastAsia="Arial" w:hAnsi="Arial"/>
          <w:sz w:val="18"/>
          <w:szCs w:val="18"/>
          <w:color w:val="auto"/>
        </w:rPr>
      </w:pPr>
    </w:p>
    <w:p>
      <w:pPr>
        <w:ind w:left="1280" w:hanging="638"/>
        <w:spacing w:after="0" w:line="253"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laboratories and service providers for our test volume in connection with our diagnostic solutions and data programs;</w:t>
      </w: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Nasdaq listing rules;</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future capital requirements;</w:t>
      </w:r>
    </w:p>
    <w:p>
      <w:pPr>
        <w:spacing w:after="0" w:line="16" w:lineRule="exact"/>
        <w:rPr>
          <w:rFonts w:ascii="Arial" w:cs="Arial" w:eastAsia="Arial" w:hAnsi="Arial"/>
          <w:sz w:val="18"/>
          <w:szCs w:val="18"/>
          <w:color w:val="auto"/>
        </w:rPr>
      </w:pPr>
    </w:p>
    <w:p>
      <w:pPr>
        <w:jc w:val="both"/>
        <w:ind w:left="1280" w:hanging="638"/>
        <w:spacing w:after="0" w:line="261" w:lineRule="auto"/>
        <w:tabs>
          <w:tab w:leader="none" w:pos="127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accounting estimates and judgments, including our expectations regarding our ability to continue as a going concern, the adequacy of our reserves for third party payor claims, our estimates of the fair value of the milestone payments related to the GeneDx acquisition and our conclusions regarding the appropriateness of the carrying value of intangible assets and goodwill; and</w:t>
      </w: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strategy.</w:t>
      </w:r>
    </w:p>
    <w:p>
      <w:pPr>
        <w:spacing w:after="0" w:line="17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5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0"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88"/>
              </w:rPr>
              <w:t>September 30, 2022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04"/>
        </w:trPr>
        <w:tc>
          <w:tcPr>
            <w:tcW w:w="8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81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191,360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42,669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26,509</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33,456</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19,154</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9,698</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306,610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483,544</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44,033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62,719</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190,156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181,468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14,370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19"/>
        </w:trPr>
        <w:tc>
          <w:tcPr>
            <w:tcW w:w="81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828,974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554,093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64,801</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Due to related parties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Short-term lease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4,996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18"/>
        </w:trPr>
        <w:tc>
          <w:tcPr>
            <w:tcW w:w="81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162,331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101,284</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62,336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21,907</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21,555</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Earn-out contingent liabilities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267,680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0" w:type="dxa"/>
            <w:vAlign w:val="bottom"/>
          </w:tcPr>
          <w:p>
            <w:pPr>
              <w:spacing w:after="0"/>
              <w:rPr>
                <w:sz w:val="1"/>
                <w:szCs w:val="1"/>
                <w:color w:val="auto"/>
              </w:rPr>
            </w:pPr>
          </w:p>
        </w:tc>
      </w:tr>
      <w:tr>
        <w:trPr>
          <w:trHeight w:val="205"/>
        </w:trPr>
        <w:tc>
          <w:tcPr>
            <w:tcW w:w="8180" w:type="dxa"/>
            <w:vAlign w:val="bottom"/>
          </w:tcPr>
          <w:p>
            <w:pPr>
              <w:ind w:left="20"/>
              <w:spacing w:after="0" w:line="204" w:lineRule="exact"/>
              <w:rPr>
                <w:sz w:val="20"/>
                <w:szCs w:val="20"/>
                <w:color w:val="auto"/>
              </w:rPr>
            </w:pPr>
            <w:r>
              <w:rPr>
                <w:rFonts w:ascii="Arial" w:cs="Arial" w:eastAsia="Arial" w:hAnsi="Arial"/>
                <w:sz w:val="18"/>
                <w:szCs w:val="18"/>
                <w:color w:val="auto"/>
              </w:rPr>
              <w:t>Commitments and contingencies (Note 10)</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line="173" w:lineRule="exact"/>
              <w:rPr>
                <w:sz w:val="20"/>
                <w:szCs w:val="20"/>
                <w:color w:val="auto"/>
              </w:rPr>
            </w:pPr>
            <w:r>
              <w:rPr>
                <w:rFonts w:ascii="Arial" w:cs="Arial" w:eastAsia="Arial" w:hAnsi="Arial"/>
                <w:sz w:val="18"/>
                <w:szCs w:val="18"/>
                <w:color w:val="auto"/>
                <w:w w:val="87"/>
              </w:rPr>
              <w:t>Preferred Stock, $0.0001 par value: 1,000,000 and 0 shares authorized at September 30, 2022 and December 31,</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180" w:type="dxa"/>
            <w:vAlign w:val="bottom"/>
          </w:tcPr>
          <w:p>
            <w:pPr>
              <w:ind w:left="340"/>
              <w:spacing w:after="0" w:line="186" w:lineRule="exact"/>
              <w:rPr>
                <w:sz w:val="20"/>
                <w:szCs w:val="20"/>
                <w:color w:val="auto"/>
              </w:rPr>
            </w:pPr>
            <w:r>
              <w:rPr>
                <w:rFonts w:ascii="Arial" w:cs="Arial" w:eastAsia="Arial" w:hAnsi="Arial"/>
                <w:sz w:val="18"/>
                <w:szCs w:val="18"/>
                <w:color w:val="auto"/>
                <w:w w:val="97"/>
              </w:rPr>
              <w:t>2021, respectively; 0 shares issued and outstanding at September 30, 2022 and December 31, 2021,</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18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89"/>
              </w:rPr>
              <w:t>Class A common stock, $0.0001 par value: 1,000,000,000 and 380,000,000 shares authorized at September 30,</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180" w:type="dxa"/>
            <w:vAlign w:val="bottom"/>
            <w:shd w:val="clear" w:color="auto" w:fill="CCEEFF"/>
          </w:tcPr>
          <w:p>
            <w:pPr>
              <w:ind w:left="340"/>
              <w:spacing w:after="0" w:line="186" w:lineRule="exact"/>
              <w:rPr>
                <w:sz w:val="20"/>
                <w:szCs w:val="20"/>
                <w:color w:val="auto"/>
              </w:rPr>
            </w:pPr>
            <w:r>
              <w:rPr>
                <w:rFonts w:ascii="Arial" w:cs="Arial" w:eastAsia="Arial" w:hAnsi="Arial"/>
                <w:sz w:val="18"/>
                <w:szCs w:val="18"/>
                <w:color w:val="auto"/>
                <w:w w:val="90"/>
              </w:rPr>
              <w:t>2022 and December 31, 2021, respectively; 381,428,905 and 242,647,604 shares issued and outstanding at</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2022 and December 31, 2021, respectively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1,376,916</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963,520</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(815,660)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(575,441)</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561,294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388,103</w:t>
            </w:r>
          </w:p>
        </w:tc>
        <w:tc>
          <w:tcPr>
            <w:tcW w:w="0" w:type="dxa"/>
            <w:vAlign w:val="bottom"/>
          </w:tcPr>
          <w:p>
            <w:pPr>
              <w:spacing w:after="0"/>
              <w:rPr>
                <w:sz w:val="1"/>
                <w:szCs w:val="1"/>
                <w:color w:val="auto"/>
              </w:rPr>
            </w:pPr>
          </w:p>
        </w:tc>
      </w:tr>
      <w:tr>
        <w:trPr>
          <w:trHeight w:val="23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828,974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5"/>
                <w:szCs w:val="15"/>
                <w:color w:val="auto"/>
              </w:rPr>
            </w:pPr>
          </w:p>
        </w:tc>
        <w:tc>
          <w:tcPr>
            <w:tcW w:w="244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4"/>
        </w:trPr>
        <w:tc>
          <w:tcPr>
            <w:tcW w:w="5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5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 (1)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 (1)</w:t>
            </w: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73"/>
        </w:trPr>
        <w:tc>
          <w:tcPr>
            <w:tcW w:w="5860" w:type="dxa"/>
            <w:vAlign w:val="bottom"/>
          </w:tcPr>
          <w:p>
            <w:pPr>
              <w:ind w:left="180"/>
              <w:spacing w:after="0" w:line="173" w:lineRule="exact"/>
              <w:rPr>
                <w:sz w:val="20"/>
                <w:szCs w:val="20"/>
                <w:color w:val="auto"/>
              </w:rPr>
            </w:pPr>
            <w:r>
              <w:rPr>
                <w:rFonts w:ascii="Arial" w:cs="Arial" w:eastAsia="Arial" w:hAnsi="Arial"/>
                <w:sz w:val="18"/>
                <w:szCs w:val="18"/>
                <w:color w:val="auto"/>
                <w:w w:val="93"/>
              </w:rPr>
              <w:t>Diagnostic test revenue (including related party revenue of $809 and $20 for</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5860" w:type="dxa"/>
            <w:vAlign w:val="bottom"/>
          </w:tcPr>
          <w:p>
            <w:pPr>
              <w:ind w:left="340"/>
              <w:spacing w:after="0" w:line="186" w:lineRule="exact"/>
              <w:rPr>
                <w:sz w:val="20"/>
                <w:szCs w:val="20"/>
                <w:color w:val="auto"/>
              </w:rPr>
            </w:pPr>
            <w:r>
              <w:rPr>
                <w:rFonts w:ascii="Arial" w:cs="Arial" w:eastAsia="Arial" w:hAnsi="Arial"/>
                <w:sz w:val="18"/>
                <w:szCs w:val="18"/>
                <w:color w:val="auto"/>
                <w:w w:val="96"/>
              </w:rPr>
              <w:t>the three months ended and $1,392 and $90 for the nine months ended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4"/>
        </w:trPr>
        <w:tc>
          <w:tcPr>
            <w:tcW w:w="5860" w:type="dxa"/>
            <w:vAlign w:val="bottom"/>
          </w:tcPr>
          <w:p>
            <w:pPr>
              <w:ind w:left="340"/>
              <w:spacing w:after="0"/>
              <w:rPr>
                <w:sz w:val="20"/>
                <w:szCs w:val="20"/>
                <w:color w:val="auto"/>
              </w:rPr>
            </w:pPr>
            <w:r>
              <w:rPr>
                <w:rFonts w:ascii="Arial" w:cs="Arial" w:eastAsia="Arial" w:hAnsi="Arial"/>
                <w:sz w:val="18"/>
                <w:szCs w:val="18"/>
                <w:color w:val="auto"/>
              </w:rPr>
              <w:t>September 30, 2022 and 2021,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81,490</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41,410</w:t>
            </w:r>
          </w:p>
        </w:tc>
        <w:tc>
          <w:tcPr>
            <w:tcW w:w="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167,989</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148,973</w:t>
            </w:r>
          </w:p>
        </w:tc>
      </w:tr>
      <w:tr>
        <w:trPr>
          <w:trHeight w:val="174"/>
        </w:trPr>
        <w:tc>
          <w:tcPr>
            <w:tcW w:w="58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2"/>
              </w:rPr>
              <w:t>Other revenue (including related party revenue of $149 and $65 for the three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6"/>
        </w:trPr>
        <w:tc>
          <w:tcPr>
            <w:tcW w:w="5860" w:type="dxa"/>
            <w:vAlign w:val="bottom"/>
            <w:shd w:val="clear" w:color="auto" w:fill="CCEEFF"/>
          </w:tcPr>
          <w:p>
            <w:pPr>
              <w:ind w:left="340"/>
              <w:spacing w:after="0" w:line="186" w:lineRule="exact"/>
              <w:rPr>
                <w:sz w:val="20"/>
                <w:szCs w:val="20"/>
                <w:color w:val="auto"/>
              </w:rPr>
            </w:pPr>
            <w:r>
              <w:rPr>
                <w:rFonts w:ascii="Arial" w:cs="Arial" w:eastAsia="Arial" w:hAnsi="Arial"/>
                <w:sz w:val="18"/>
                <w:szCs w:val="18"/>
                <w:color w:val="auto"/>
                <w:w w:val="91"/>
              </w:rPr>
              <w:t>months and $296 and $153 for the nine months ended September 30, 2022</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4"/>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2021,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r>
      <w:tr>
        <w:trPr>
          <w:trHeight w:val="218"/>
        </w:trPr>
        <w:tc>
          <w:tcPr>
            <w:tcW w:w="58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173,344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154,394</w:t>
            </w:r>
          </w:p>
        </w:tc>
      </w:tr>
      <w:tr>
        <w:trPr>
          <w:trHeight w:val="154"/>
        </w:trPr>
        <w:tc>
          <w:tcPr>
            <w:tcW w:w="58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Cost of services (including related party expenses of $1,103 and $656 for the</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5"/>
        </w:trPr>
        <w:tc>
          <w:tcPr>
            <w:tcW w:w="5860" w:type="dxa"/>
            <w:vAlign w:val="bottom"/>
            <w:shd w:val="clear" w:color="auto" w:fill="CCEEFF"/>
          </w:tcPr>
          <w:p>
            <w:pPr>
              <w:ind w:left="180"/>
              <w:spacing w:after="0" w:line="186" w:lineRule="exact"/>
              <w:rPr>
                <w:sz w:val="20"/>
                <w:szCs w:val="20"/>
                <w:color w:val="auto"/>
              </w:rPr>
            </w:pPr>
            <w:r>
              <w:rPr>
                <w:rFonts w:ascii="Arial" w:cs="Arial" w:eastAsia="Arial" w:hAnsi="Arial"/>
                <w:sz w:val="18"/>
                <w:szCs w:val="18"/>
                <w:color w:val="auto"/>
              </w:rPr>
              <w:t>three months ended and $3,507 and $1,942 for the nine months ended</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4"/>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2022 and 2021,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168,190</w:t>
            </w:r>
          </w:p>
        </w:tc>
      </w:tr>
      <w:tr>
        <w:trPr>
          <w:trHeight w:val="218"/>
        </w:trPr>
        <w:tc>
          <w:tcPr>
            <w:tcW w:w="58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Gross profit (loss)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(13,796)</w:t>
            </w: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82,916</w:t>
            </w:r>
          </w:p>
        </w:tc>
      </w:tr>
      <w:tr>
        <w:trPr>
          <w:trHeight w:val="225"/>
        </w:trPr>
        <w:tc>
          <w:tcPr>
            <w:tcW w:w="58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103,116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82,092</w:t>
            </w:r>
          </w:p>
        </w:tc>
      </w:tr>
      <w:tr>
        <w:trPr>
          <w:trHeight w:val="22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148,033</w:t>
            </w:r>
          </w:p>
        </w:tc>
      </w:tr>
      <w:tr>
        <w:trPr>
          <w:trHeight w:val="225"/>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r>
      <w:tr>
        <w:trPr>
          <w:trHeight w:val="218"/>
        </w:trPr>
        <w:tc>
          <w:tcPr>
            <w:tcW w:w="5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(88,264)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(342,770)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(330,369)</w:t>
            </w:r>
          </w:p>
        </w:tc>
      </w:tr>
      <w:tr>
        <w:trPr>
          <w:trHeight w:val="193"/>
        </w:trPr>
        <w:tc>
          <w:tcPr>
            <w:tcW w:w="5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5"/>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5860" w:type="dxa"/>
            <w:vAlign w:val="bottom"/>
          </w:tcPr>
          <w:p>
            <w:pPr>
              <w:ind w:left="180"/>
              <w:spacing w:after="0"/>
              <w:rPr>
                <w:sz w:val="20"/>
                <w:szCs w:val="20"/>
                <w:color w:val="auto"/>
              </w:rPr>
            </w:pPr>
            <w:r>
              <w:rPr>
                <w:rFonts w:ascii="Arial" w:cs="Arial" w:eastAsia="Arial" w:hAnsi="Arial"/>
                <w:sz w:val="18"/>
                <w:szCs w:val="18"/>
                <w:color w:val="auto"/>
                <w:w w:val="98"/>
              </w:rPr>
              <w:t>Change in fair market value of warrant and earn-out contingent liabilities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122,171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54,350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122,171</w:t>
            </w:r>
          </w:p>
        </w:tc>
      </w:tr>
      <w:tr>
        <w:trPr>
          <w:trHeight w:val="22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5"/>
        </w:trPr>
        <w:tc>
          <w:tcPr>
            <w:tcW w:w="58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(2,128)</w:t>
            </w:r>
          </w:p>
        </w:tc>
      </w:tr>
      <w:tr>
        <w:trPr>
          <w:trHeight w:val="22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r>
      <w:tr>
        <w:trPr>
          <w:trHeight w:val="218"/>
        </w:trPr>
        <w:tc>
          <w:tcPr>
            <w:tcW w:w="5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120,995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125,164</w:t>
            </w: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(205,205)</w:t>
            </w:r>
          </w:p>
        </w:tc>
      </w:tr>
      <w:tr>
        <w:trPr>
          <w:trHeight w:val="225"/>
        </w:trPr>
        <w:tc>
          <w:tcPr>
            <w:tcW w:w="58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and comprehensive (loss)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(77,581)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(240,219)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(205,205)</w:t>
            </w:r>
          </w:p>
        </w:tc>
      </w:tr>
      <w:tr>
        <w:trPr>
          <w:trHeight w:val="218"/>
        </w:trPr>
        <w:tc>
          <w:tcPr>
            <w:tcW w:w="586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380,764,176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185,680,394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321,461,266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63,121,738</w:t>
            </w:r>
          </w:p>
        </w:tc>
      </w:tr>
      <w:tr>
        <w:trPr>
          <w:trHeight w:val="174"/>
        </w:trPr>
        <w:tc>
          <w:tcPr>
            <w:tcW w:w="58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7"/>
              </w:rPr>
              <w:t>Weighted average shares outstanding of Class A common stock for diluted</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8"/>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380,764,176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210,330,946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321,461,266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63,121,738</w:t>
            </w:r>
          </w:p>
        </w:tc>
      </w:tr>
      <w:tr>
        <w:trPr>
          <w:trHeight w:val="225"/>
        </w:trPr>
        <w:tc>
          <w:tcPr>
            <w:tcW w:w="5860" w:type="dxa"/>
            <w:vAlign w:val="bottom"/>
          </w:tcPr>
          <w:p>
            <w:pPr>
              <w:ind w:left="20"/>
              <w:spacing w:after="0"/>
              <w:rPr>
                <w:sz w:val="20"/>
                <w:szCs w:val="20"/>
                <w:color w:val="auto"/>
              </w:rPr>
            </w:pPr>
            <w:r>
              <w:rPr>
                <w:rFonts w:ascii="Arial" w:cs="Arial" w:eastAsia="Arial" w:hAnsi="Arial"/>
                <w:sz w:val="18"/>
                <w:szCs w:val="18"/>
                <w:color w:val="auto"/>
              </w:rPr>
              <w:t>Basic net (loss) income per share, Class A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(0.75)</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income per share, Class A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bl>
    <w:p>
      <w:pPr>
        <w:spacing w:after="0" w:line="229" w:lineRule="exact"/>
        <w:rPr>
          <w:sz w:val="20"/>
          <w:szCs w:val="20"/>
          <w:color w:val="auto"/>
        </w:rPr>
      </w:pPr>
    </w:p>
    <w:p>
      <w:pPr>
        <w:ind w:firstLine="6"/>
        <w:spacing w:after="0" w:line="246" w:lineRule="auto"/>
        <w:tabs>
          <w:tab w:leader="none" w:pos="225"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22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 of Redeemable Convertible Preferred Stock and Stockholders' Equity (Deficit)</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Three months ended September 30, 2022</w:t>
      </w:r>
    </w:p>
    <w:p>
      <w:pPr>
        <w:spacing w:after="0" w:line="44"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5"/>
            <w:vMerge w:val="restart"/>
          </w:tcPr>
          <w:p>
            <w:pPr>
              <w:jc w:val="right"/>
              <w:ind w:right="81"/>
              <w:spacing w:after="0"/>
              <w:rPr>
                <w:sz w:val="20"/>
                <w:szCs w:val="20"/>
                <w:color w:val="auto"/>
              </w:rPr>
            </w:pPr>
            <w:r>
              <w:rPr>
                <w:rFonts w:ascii="Arial" w:cs="Arial" w:eastAsia="Arial" w:hAnsi="Arial"/>
                <w:sz w:val="14"/>
                <w:szCs w:val="14"/>
                <w:b w:val="1"/>
                <w:bCs w:val="1"/>
                <w:color w:val="auto"/>
              </w:rPr>
              <w:t>Class A 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4"/>
            <w:vMerge w:val="restart"/>
          </w:tcPr>
          <w:p>
            <w:pPr>
              <w:jc w:val="right"/>
              <w:ind w:right="140"/>
              <w:spacing w:after="0" w:line="126" w:lineRule="exact"/>
              <w:rPr>
                <w:sz w:val="20"/>
                <w:szCs w:val="20"/>
                <w:color w:val="auto"/>
              </w:rPr>
            </w:pPr>
            <w:r>
              <w:rPr>
                <w:rFonts w:ascii="Arial" w:cs="Arial" w:eastAsia="Arial" w:hAnsi="Arial"/>
                <w:sz w:val="14"/>
                <w:szCs w:val="14"/>
                <w:b w:val="1"/>
                <w:bCs w:val="1"/>
                <w:color w:val="auto"/>
                <w:w w:val="94"/>
              </w:rPr>
              <w:t>Additional paid-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4"/>
            <w:vMerge w:val="restart"/>
          </w:tcPr>
          <w:p>
            <w:pPr>
              <w:spacing w:after="0" w:line="126"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1120" w:type="dxa"/>
            <w:vAlign w:val="bottom"/>
            <w:gridSpan w:val="3"/>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24"/>
        </w:trPr>
        <w:tc>
          <w:tcPr>
            <w:tcW w:w="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Par value</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in capital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1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225"/>
        </w:trPr>
        <w:tc>
          <w:tcPr>
            <w:tcW w:w="2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June 30, 2022</w:t>
            </w:r>
          </w:p>
        </w:tc>
        <w:tc>
          <w:tcPr>
            <w:tcW w:w="2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379,896,799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1,375,315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(738,079)</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80" w:type="dxa"/>
            <w:vAlign w:val="bottom"/>
            <w:gridSpan w:val="3"/>
          </w:tcPr>
          <w:p>
            <w:pPr>
              <w:ind w:left="160"/>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(77,581)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option exercises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615,309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80" w:type="dxa"/>
            <w:vAlign w:val="bottom"/>
            <w:gridSpan w:val="3"/>
          </w:tcPr>
          <w:p>
            <w:pPr>
              <w:ind w:left="160"/>
              <w:spacing w:after="0" w:line="173" w:lineRule="exact"/>
              <w:rPr>
                <w:sz w:val="20"/>
                <w:szCs w:val="20"/>
                <w:color w:val="auto"/>
              </w:rPr>
            </w:pPr>
            <w:r>
              <w:rPr>
                <w:rFonts w:ascii="Arial" w:cs="Arial" w:eastAsia="Arial" w:hAnsi="Arial"/>
                <w:sz w:val="18"/>
                <w:szCs w:val="18"/>
                <w:color w:val="auto"/>
              </w:rPr>
              <w:t>Stock based compensation</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80" w:type="dxa"/>
            <w:vAlign w:val="bottom"/>
            <w:gridSpan w:val="3"/>
          </w:tcPr>
          <w:p>
            <w:pPr>
              <w:ind w:left="160"/>
              <w:spacing w:after="0"/>
              <w:rPr>
                <w:sz w:val="20"/>
                <w:szCs w:val="20"/>
                <w:color w:val="auto"/>
              </w:rPr>
            </w:pPr>
            <w:r>
              <w:rPr>
                <w:rFonts w:ascii="Arial" w:cs="Arial" w:eastAsia="Arial" w:hAnsi="Arial"/>
                <w:sz w:val="18"/>
                <w:szCs w:val="18"/>
                <w:color w:val="auto"/>
              </w:rPr>
              <w:t>expense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780" w:type="dxa"/>
            <w:vAlign w:val="bottom"/>
            <w:gridSpan w:val="3"/>
            <w:shd w:val="clear" w:color="auto" w:fill="CCEEFF"/>
          </w:tcPr>
          <w:p>
            <w:pPr>
              <w:ind w:left="160"/>
              <w:spacing w:after="0" w:line="174" w:lineRule="exact"/>
              <w:rPr>
                <w:sz w:val="20"/>
                <w:szCs w:val="20"/>
                <w:color w:val="auto"/>
              </w:rPr>
            </w:pPr>
            <w:r>
              <w:rPr>
                <w:rFonts w:ascii="Arial" w:cs="Arial" w:eastAsia="Arial" w:hAnsi="Arial"/>
                <w:sz w:val="18"/>
                <w:szCs w:val="18"/>
                <w:color w:val="auto"/>
              </w:rPr>
              <w:t>Vested restricted stock units</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converted to common stock</w:t>
            </w: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916,797</w:t>
            </w: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w w:val="90"/>
              </w:rPr>
              <w:t>Balances at September 30, 2022</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2"/>
                <w:szCs w:val="22"/>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88"/>
              </w:rPr>
              <w:t>—</w:t>
            </w:r>
          </w:p>
        </w:tc>
        <w:tc>
          <w:tcPr>
            <w:tcW w:w="60" w:type="dxa"/>
            <w:vAlign w:val="bottom"/>
            <w:tcBorders>
              <w:bottom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381,428,905</w:t>
            </w:r>
          </w:p>
        </w:tc>
        <w:tc>
          <w:tcPr>
            <w:tcW w:w="80" w:type="dxa"/>
            <w:vAlign w:val="bottom"/>
          </w:tcPr>
          <w:p>
            <w:pPr>
              <w:spacing w:after="0"/>
              <w:rPr>
                <w:sz w:val="22"/>
                <w:szCs w:val="22"/>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38</w:t>
            </w:r>
          </w:p>
        </w:tc>
        <w:tc>
          <w:tcPr>
            <w:tcW w:w="80" w:type="dxa"/>
            <w:vAlign w:val="bottom"/>
          </w:tcPr>
          <w:p>
            <w:pPr>
              <w:spacing w:after="0"/>
              <w:rPr>
                <w:sz w:val="22"/>
                <w:szCs w:val="22"/>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1,376,916</w:t>
            </w:r>
          </w:p>
        </w:tc>
        <w:tc>
          <w:tcPr>
            <w:tcW w:w="80" w:type="dxa"/>
            <w:vAlign w:val="bottom"/>
          </w:tcPr>
          <w:p>
            <w:pPr>
              <w:spacing w:after="0"/>
              <w:rPr>
                <w:sz w:val="22"/>
                <w:szCs w:val="22"/>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(815,660)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561,294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gridSpan w:val="15"/>
          </w:tcPr>
          <w:p>
            <w:pPr>
              <w:spacing w:after="0"/>
              <w:rPr>
                <w:sz w:val="20"/>
                <w:szCs w:val="20"/>
                <w:color w:val="auto"/>
              </w:rPr>
            </w:pPr>
            <w:r>
              <w:rPr>
                <w:rFonts w:ascii="Arial" w:cs="Arial" w:eastAsia="Arial" w:hAnsi="Arial"/>
                <w:sz w:val="16"/>
                <w:szCs w:val="16"/>
                <w:b w:val="1"/>
                <w:bCs w:val="1"/>
                <w:color w:val="auto"/>
                <w:w w:val="88"/>
              </w:rPr>
              <w:t>Nine months ended September 30, 2022</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6"/>
            <w:vMerge w:val="restart"/>
          </w:tcPr>
          <w:p>
            <w:pPr>
              <w:ind w:left="46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Class A Common Stock</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vMerge w:val="restart"/>
          </w:tcPr>
          <w:p>
            <w:pPr>
              <w:jc w:val="right"/>
              <w:ind w:right="20"/>
              <w:spacing w:after="0" w:line="122" w:lineRule="exact"/>
              <w:rPr>
                <w:sz w:val="20"/>
                <w:szCs w:val="20"/>
                <w:color w:val="auto"/>
              </w:rPr>
            </w:pPr>
            <w:r>
              <w:rPr>
                <w:rFonts w:ascii="Arial" w:cs="Arial" w:eastAsia="Arial" w:hAnsi="Arial"/>
                <w:sz w:val="14"/>
                <w:szCs w:val="14"/>
                <w:b w:val="1"/>
                <w:bCs w:val="1"/>
                <w:color w:val="auto"/>
                <w:w w:val="98"/>
              </w:rPr>
              <w:t>Additional paid-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center"/>
              <w:ind w:right="120"/>
              <w:spacing w:after="0" w:line="122" w:lineRule="exact"/>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24"/>
        </w:trPr>
        <w:tc>
          <w:tcPr>
            <w:tcW w:w="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4"/>
          </w:tcPr>
          <w:p>
            <w:pPr>
              <w:ind w:left="140"/>
              <w:spacing w:after="0"/>
              <w:rPr>
                <w:sz w:val="20"/>
                <w:szCs w:val="20"/>
                <w:color w:val="auto"/>
              </w:rPr>
            </w:pPr>
            <w:r>
              <w:rPr>
                <w:rFonts w:ascii="Arial" w:cs="Arial" w:eastAsia="Arial" w:hAnsi="Arial"/>
                <w:sz w:val="14"/>
                <w:szCs w:val="14"/>
                <w:b w:val="1"/>
                <w:bCs w:val="1"/>
                <w:color w:val="auto"/>
              </w:rPr>
              <w:t>Par value</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Par value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 capital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2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2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2"/>
              </w:rPr>
              <w:t>Balances at December 31, 2021</w:t>
            </w:r>
          </w:p>
        </w:tc>
        <w:tc>
          <w:tcPr>
            <w:tcW w:w="900" w:type="dxa"/>
            <w:vAlign w:val="bottom"/>
            <w:tcBorders>
              <w:top w:val="single" w:sz="8" w:color="auto"/>
            </w:tcBorders>
            <w:gridSpan w:val="3"/>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87"/>
              </w:rPr>
              <w:t>242,647,604</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81"/>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963,520</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(575,441)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388,103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gridSpan w:val="4"/>
          </w:tcPr>
          <w:p>
            <w:pPr>
              <w:ind w:lef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(240,219)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(240,219)</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92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gridSpan w:val="2"/>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6,940,485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2520" w:type="dxa"/>
            <w:vAlign w:val="bottom"/>
            <w:gridSpan w:val="2"/>
          </w:tcPr>
          <w:p>
            <w:pPr>
              <w:ind w:left="180"/>
              <w:spacing w:after="0" w:line="187" w:lineRule="exact"/>
              <w:rPr>
                <w:sz w:val="20"/>
                <w:szCs w:val="20"/>
                <w:color w:val="auto"/>
              </w:rPr>
            </w:pPr>
            <w:r>
              <w:rPr>
                <w:rFonts w:ascii="Arial" w:cs="Arial" w:eastAsia="Arial" w:hAnsi="Arial"/>
                <w:sz w:val="18"/>
                <w:szCs w:val="18"/>
                <w:color w:val="auto"/>
              </w:rPr>
              <w:t>Stock based compensation</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41,552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920" w:type="dxa"/>
            <w:vAlign w:val="bottom"/>
            <w:gridSpan w:val="4"/>
          </w:tcPr>
          <w:p>
            <w:pPr>
              <w:ind w:lef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41,552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2520" w:type="dxa"/>
            <w:vAlign w:val="bottom"/>
            <w:gridSpan w:val="2"/>
            <w:shd w:val="clear" w:color="auto" w:fill="CCEEFF"/>
          </w:tcPr>
          <w:p>
            <w:pPr>
              <w:ind w:left="180"/>
              <w:spacing w:after="0" w:line="187" w:lineRule="exact"/>
              <w:rPr>
                <w:sz w:val="20"/>
                <w:szCs w:val="20"/>
                <w:color w:val="auto"/>
              </w:rPr>
            </w:pPr>
            <w:r>
              <w:rPr>
                <w:rFonts w:ascii="Arial" w:cs="Arial" w:eastAsia="Arial" w:hAnsi="Arial"/>
                <w:sz w:val="18"/>
                <w:szCs w:val="18"/>
                <w:color w:val="auto"/>
                <w:w w:val="96"/>
              </w:rPr>
              <w:t>Shares issued for PIPE, net of</w:t>
            </w: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197,659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92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gridSpan w:val="2"/>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197,654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w w:val="90"/>
              </w:rPr>
              <w:t>Shares issued for acquisition (1)</w:t>
            </w:r>
          </w:p>
        </w:tc>
        <w:tc>
          <w:tcPr>
            <w:tcW w:w="920" w:type="dxa"/>
            <w:vAlign w:val="bottom"/>
            <w:gridSpan w:val="4"/>
          </w:tcPr>
          <w:p>
            <w:pPr>
              <w:ind w:lef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gridSpan w:val="3"/>
          </w:tcPr>
          <w:p>
            <w:pPr>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gridSpan w:val="2"/>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80,000,000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171,992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2520" w:type="dxa"/>
            <w:vAlign w:val="bottom"/>
            <w:gridSpan w:val="2"/>
            <w:shd w:val="clear" w:color="auto" w:fill="CCEEFF"/>
          </w:tcPr>
          <w:p>
            <w:pPr>
              <w:ind w:left="180"/>
              <w:spacing w:after="0" w:line="187" w:lineRule="exact"/>
              <w:rPr>
                <w:sz w:val="20"/>
                <w:szCs w:val="20"/>
                <w:color w:val="auto"/>
              </w:rPr>
            </w:pPr>
            <w:r>
              <w:rPr>
                <w:rFonts w:ascii="Arial" w:cs="Arial" w:eastAsia="Arial" w:hAnsi="Arial"/>
                <w:sz w:val="18"/>
                <w:szCs w:val="18"/>
                <w:color w:val="auto"/>
              </w:rPr>
              <w:t>Vested restricted stock units</w:t>
            </w: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converted to common stock</w:t>
            </w:r>
          </w:p>
        </w:tc>
        <w:tc>
          <w:tcPr>
            <w:tcW w:w="92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gridSpan w:val="2"/>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1,840,816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Balances at September 30, 2022</w:t>
            </w:r>
          </w:p>
        </w:tc>
        <w:tc>
          <w:tcPr>
            <w:tcW w:w="900" w:type="dxa"/>
            <w:vAlign w:val="bottom"/>
            <w:tcBorders>
              <w:top w:val="single" w:sz="8" w:color="auto"/>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381,428,905</w:t>
            </w: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38</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1,376,916</w:t>
            </w:r>
          </w:p>
        </w:tc>
        <w:tc>
          <w:tcPr>
            <w:tcW w:w="6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(815,660)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561,294</w:t>
            </w:r>
          </w:p>
        </w:tc>
        <w:tc>
          <w:tcPr>
            <w:tcW w:w="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firstLine="6"/>
        <w:spacing w:after="0" w:line="265" w:lineRule="auto"/>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Of the 80 million shares issued for acquisition, 8.3 million shares are held by the escrow agent for one year escrow period During this period, the seller retains all rights with respect to the escrow shares, including voting rights and rights to receive dividends and other distributions on such escrow shares.</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 of Redeemable Convertible Preferred Stock and Stockholders' Equity (Deficit)</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Three months ended September 30, 2021 (1)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gridSpan w:val="8"/>
          </w:tcPr>
          <w:p>
            <w:pPr>
              <w:ind w:left="24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8"/>
            <w:vMerge w:val="restart"/>
          </w:tcPr>
          <w:p>
            <w:pPr>
              <w:jc w:val="right"/>
              <w:ind w:right="153"/>
              <w:spacing w:after="0"/>
              <w:rPr>
                <w:sz w:val="20"/>
                <w:szCs w:val="20"/>
                <w:color w:val="auto"/>
              </w:rPr>
            </w:pPr>
            <w:r>
              <w:rPr>
                <w:rFonts w:ascii="Arial" w:cs="Arial" w:eastAsia="Arial" w:hAnsi="Arial"/>
                <w:sz w:val="14"/>
                <w:szCs w:val="14"/>
                <w:b w:val="1"/>
                <w:bCs w:val="1"/>
                <w:color w:val="auto"/>
                <w:w w:val="93"/>
              </w:rPr>
              <w:t>Class A Common Stock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Class B Common Stock</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Preferred Stock</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8"/>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9"/>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6"/>
          </w:tcPr>
          <w:p>
            <w:pPr>
              <w:jc w:val="center"/>
              <w:ind w:right="80"/>
              <w:spacing w:after="0" w:line="123"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0"/>
                <w:szCs w:val="10"/>
                <w:color w:val="auto"/>
              </w:rPr>
            </w:pPr>
          </w:p>
        </w:tc>
        <w:tc>
          <w:tcPr>
            <w:tcW w:w="9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4"/>
          </w:tcPr>
          <w:p>
            <w:pPr>
              <w:jc w:val="center"/>
              <w:ind w:right="320"/>
              <w:spacing w:after="0" w:line="12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2"/>
                <w:szCs w:val="12"/>
                <w:color w:val="auto"/>
              </w:rPr>
            </w:pPr>
          </w:p>
        </w:tc>
        <w:tc>
          <w:tcPr>
            <w:tcW w:w="1000" w:type="dxa"/>
            <w:vAlign w:val="bottom"/>
            <w:tcBorders>
              <w:right w:val="single" w:sz="8" w:color="auto"/>
            </w:tcBorders>
            <w:gridSpan w:val="5"/>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840" w:type="dxa"/>
            <w:vAlign w:val="bottom"/>
            <w:gridSpan w:val="3"/>
            <w:vMerge w:val="restart"/>
          </w:tcPr>
          <w:p>
            <w:pPr>
              <w:jc w:val="right"/>
              <w:ind w:right="53"/>
              <w:spacing w:after="0"/>
              <w:rPr>
                <w:sz w:val="20"/>
                <w:szCs w:val="20"/>
                <w:color w:val="auto"/>
              </w:rPr>
            </w:pPr>
            <w:r>
              <w:rPr>
                <w:rFonts w:ascii="Arial" w:cs="Arial" w:eastAsia="Arial" w:hAnsi="Arial"/>
                <w:sz w:val="14"/>
                <w:szCs w:val="14"/>
                <w:b w:val="1"/>
                <w:bCs w:val="1"/>
                <w:color w:val="auto"/>
              </w:rPr>
              <w:t>Par value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2"/>
                <w:szCs w:val="12"/>
                <w:color w:val="auto"/>
              </w:rPr>
            </w:pPr>
          </w:p>
        </w:tc>
        <w:tc>
          <w:tcPr>
            <w:tcW w:w="8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Par Value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paid-in</w:t>
            </w:r>
          </w:p>
        </w:tc>
        <w:tc>
          <w:tcPr>
            <w:tcW w:w="2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5"/>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right w:val="single" w:sz="8" w:color="auto"/>
            </w:tcBorders>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capital</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w w:val="89"/>
              </w:rPr>
              <w:t>deficit (1)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24"/>
        </w:trPr>
        <w:tc>
          <w:tcPr>
            <w:tcW w:w="2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Balances at June 30, 2021</w:t>
            </w:r>
          </w:p>
        </w:tc>
        <w:tc>
          <w:tcPr>
            <w:tcW w:w="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171,535,213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center"/>
              <w:ind w:right="18"/>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334,439</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gridSpan w:val="3"/>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4,458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1,383,736</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1,483</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(567,987)</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(566,504)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32,731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32,731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2"/>
              </w:rPr>
              <w:t>Conversion of Preferred Stock</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(171,535,213)</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shd w:val="clear" w:color="auto" w:fill="CCEEFF"/>
          </w:tcPr>
          <w:p>
            <w:pPr>
              <w:spacing w:after="0"/>
              <w:rPr>
                <w:sz w:val="19"/>
                <w:szCs w:val="19"/>
                <w:color w:val="auto"/>
              </w:rPr>
            </w:pPr>
          </w:p>
        </w:tc>
        <w:tc>
          <w:tcPr>
            <w:tcW w:w="1040" w:type="dxa"/>
            <w:vAlign w:val="bottom"/>
            <w:gridSpan w:val="5"/>
            <w:shd w:val="clear" w:color="auto" w:fill="CCEEFF"/>
          </w:tcPr>
          <w:p>
            <w:pPr>
              <w:jc w:val="right"/>
              <w:ind w:right="1"/>
              <w:spacing w:after="0"/>
              <w:rPr>
                <w:sz w:val="20"/>
                <w:szCs w:val="20"/>
                <w:color w:val="auto"/>
              </w:rPr>
            </w:pPr>
            <w:r>
              <w:rPr>
                <w:rFonts w:ascii="Arial" w:cs="Arial" w:eastAsia="Arial" w:hAnsi="Arial"/>
                <w:sz w:val="18"/>
                <w:szCs w:val="18"/>
                <w:color w:val="auto"/>
                <w:w w:val="93"/>
              </w:rPr>
              <w:t>148,543,062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104,517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104,532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280" w:type="dxa"/>
            <w:vAlign w:val="bottom"/>
            <w:gridSpan w:val="3"/>
          </w:tcPr>
          <w:p>
            <w:pPr>
              <w:ind w:left="20"/>
              <w:spacing w:after="0" w:line="173" w:lineRule="exact"/>
              <w:rPr>
                <w:sz w:val="20"/>
                <w:szCs w:val="20"/>
                <w:color w:val="auto"/>
              </w:rPr>
            </w:pPr>
            <w:r>
              <w:rPr>
                <w:rFonts w:ascii="Arial" w:cs="Arial" w:eastAsia="Arial" w:hAnsi="Arial"/>
                <w:sz w:val="18"/>
                <w:szCs w:val="18"/>
                <w:color w:val="auto"/>
              </w:rPr>
              <w:t>Conversion of Class B</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1"/>
              <w:spacing w:after="0"/>
              <w:rPr>
                <w:sz w:val="20"/>
                <w:szCs w:val="20"/>
                <w:color w:val="auto"/>
              </w:rPr>
            </w:pPr>
            <w:r>
              <w:rPr>
                <w:rFonts w:ascii="Arial" w:cs="Arial" w:eastAsia="Arial" w:hAnsi="Arial"/>
                <w:sz w:val="18"/>
                <w:szCs w:val="18"/>
                <w:color w:val="auto"/>
                <w:w w:val="89"/>
              </w:rPr>
              <w:t>1,309,320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(1,383,736)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(744)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280" w:type="dxa"/>
            <w:vAlign w:val="bottom"/>
            <w:gridSpan w:val="3"/>
            <w:shd w:val="clear" w:color="auto" w:fill="CCEEFF"/>
          </w:tcPr>
          <w:p>
            <w:pPr>
              <w:ind w:left="20"/>
              <w:spacing w:after="0" w:line="174" w:lineRule="exact"/>
              <w:rPr>
                <w:sz w:val="20"/>
                <w:szCs w:val="20"/>
                <w:color w:val="auto"/>
              </w:rPr>
            </w:pPr>
            <w:r>
              <w:rPr>
                <w:rFonts w:ascii="Arial" w:cs="Arial" w:eastAsia="Arial" w:hAnsi="Arial"/>
                <w:sz w:val="18"/>
                <w:szCs w:val="18"/>
                <w:color w:val="auto"/>
              </w:rPr>
              <w:t>Net equity infusion from the</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 Combination</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
              <w:spacing w:after="0"/>
              <w:rPr>
                <w:sz w:val="20"/>
                <w:szCs w:val="20"/>
                <w:color w:val="auto"/>
              </w:rPr>
            </w:pPr>
            <w:r>
              <w:rPr>
                <w:rFonts w:ascii="Arial" w:cs="Arial" w:eastAsia="Arial" w:hAnsi="Arial"/>
                <w:sz w:val="18"/>
                <w:szCs w:val="18"/>
                <w:color w:val="auto"/>
              </w:rPr>
              <w:t>90,333,562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510,742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510,751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280" w:type="dxa"/>
            <w:vAlign w:val="bottom"/>
            <w:gridSpan w:val="3"/>
          </w:tcPr>
          <w:p>
            <w:pPr>
              <w:ind w:left="20"/>
              <w:spacing w:after="0" w:line="173" w:lineRule="exact"/>
              <w:rPr>
                <w:sz w:val="20"/>
                <w:szCs w:val="20"/>
                <w:color w:val="auto"/>
              </w:rPr>
            </w:pPr>
            <w:r>
              <w:rPr>
                <w:rFonts w:ascii="Arial" w:cs="Arial" w:eastAsia="Arial" w:hAnsi="Arial"/>
                <w:sz w:val="18"/>
                <w:szCs w:val="18"/>
                <w:color w:val="auto"/>
              </w:rPr>
              <w:t>Stock based compensation</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modification reclassification</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2"/>
              </w:rPr>
              <w:t>304,837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2"/>
              </w:rPr>
              <w:t>304,837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280" w:type="dxa"/>
            <w:vAlign w:val="bottom"/>
            <w:gridSpan w:val="3"/>
            <w:shd w:val="clear" w:color="auto" w:fill="CCEEFF"/>
          </w:tcPr>
          <w:p>
            <w:pPr>
              <w:ind w:left="20"/>
              <w:spacing w:after="0" w:line="174" w:lineRule="exact"/>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right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5,418</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240" w:type="dxa"/>
            <w:vAlign w:val="bottom"/>
            <w:gridSpan w:val="2"/>
          </w:tcPr>
          <w:p>
            <w:pPr>
              <w:ind w:left="20"/>
              <w:spacing w:after="0" w:line="152" w:lineRule="exact"/>
              <w:rPr>
                <w:sz w:val="20"/>
                <w:szCs w:val="20"/>
                <w:color w:val="auto"/>
              </w:rPr>
            </w:pPr>
            <w:r>
              <w:rPr>
                <w:rFonts w:ascii="Arial" w:cs="Arial" w:eastAsia="Arial" w:hAnsi="Arial"/>
                <w:sz w:val="17"/>
                <w:szCs w:val="17"/>
                <w:b w:val="1"/>
                <w:bCs w:val="1"/>
                <w:color w:val="auto"/>
              </w:rPr>
              <w:t>Balances at September 30,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3"/>
                <w:szCs w:val="13"/>
                <w:color w:val="auto"/>
              </w:rPr>
            </w:pPr>
          </w:p>
        </w:tc>
        <w:tc>
          <w:tcPr>
            <w:tcW w:w="240" w:type="dxa"/>
            <w:vAlign w:val="bottom"/>
            <w:vMerge w:val="restart"/>
          </w:tcPr>
          <w:p>
            <w:pPr>
              <w:jc w:val="center"/>
              <w:ind w:right="18"/>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980" w:type="dxa"/>
            <w:vAlign w:val="bottom"/>
            <w:gridSpan w:val="4"/>
            <w:vMerge w:val="restart"/>
          </w:tcPr>
          <w:p>
            <w:pPr>
              <w:jc w:val="right"/>
              <w:ind w:right="1"/>
              <w:spacing w:after="0"/>
              <w:rPr>
                <w:sz w:val="20"/>
                <w:szCs w:val="20"/>
                <w:color w:val="auto"/>
              </w:rPr>
            </w:pPr>
            <w:r>
              <w:rPr>
                <w:rFonts w:ascii="Arial" w:cs="Arial" w:eastAsia="Arial" w:hAnsi="Arial"/>
                <w:sz w:val="18"/>
                <w:szCs w:val="18"/>
                <w:color w:val="auto"/>
                <w:w w:val="87"/>
              </w:rPr>
              <w:t>240,190,402</w:t>
            </w:r>
          </w:p>
        </w:tc>
        <w:tc>
          <w:tcPr>
            <w:tcW w:w="20" w:type="dxa"/>
            <w:vAlign w:val="bottom"/>
          </w:tcPr>
          <w:p>
            <w:pPr>
              <w:spacing w:after="0"/>
              <w:rPr>
                <w:sz w:val="13"/>
                <w:szCs w:val="13"/>
                <w:color w:val="auto"/>
              </w:rPr>
            </w:pPr>
          </w:p>
        </w:tc>
        <w:tc>
          <w:tcPr>
            <w:tcW w:w="60" w:type="dxa"/>
            <w:vAlign w:val="bottom"/>
            <w:vMerge w:val="restart"/>
          </w:tcPr>
          <w:p>
            <w:pPr>
              <w:spacing w:after="0"/>
              <w:rPr>
                <w:sz w:val="13"/>
                <w:szCs w:val="13"/>
                <w:color w:val="auto"/>
              </w:rPr>
            </w:pPr>
          </w:p>
        </w:tc>
        <w:tc>
          <w:tcPr>
            <w:tcW w:w="220" w:type="dxa"/>
            <w:vAlign w:val="bottom"/>
            <w:vMerge w:val="restart"/>
          </w:tcPr>
          <w:p>
            <w:pPr>
              <w:jc w:val="right"/>
              <w:ind w:right="38"/>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40" w:type="dxa"/>
            <w:vAlign w:val="bottom"/>
            <w:vMerge w:val="restart"/>
          </w:tcPr>
          <w:p>
            <w:pPr>
              <w:jc w:val="right"/>
              <w:ind w:right="58"/>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3"/>
                <w:szCs w:val="13"/>
                <w:color w:val="auto"/>
              </w:rPr>
            </w:pP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gridSpan w:val="4"/>
            <w:vMerge w:val="restart"/>
          </w:tcPr>
          <w:p>
            <w:pPr>
              <w:jc w:val="right"/>
              <w:spacing w:after="0"/>
              <w:rPr>
                <w:sz w:val="20"/>
                <w:szCs w:val="20"/>
                <w:color w:val="auto"/>
              </w:rPr>
            </w:pPr>
            <w:r>
              <w:rPr>
                <w:rFonts w:ascii="Arial" w:cs="Arial" w:eastAsia="Arial" w:hAnsi="Arial"/>
                <w:sz w:val="18"/>
                <w:szCs w:val="18"/>
                <w:color w:val="auto"/>
                <w:w w:val="92"/>
              </w:rPr>
              <w:t>926,253</w:t>
            </w:r>
          </w:p>
        </w:tc>
        <w:tc>
          <w:tcPr>
            <w:tcW w:w="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vMerge w:val="restart"/>
          </w:tcPr>
          <w:p>
            <w:pPr>
              <w:jc w:val="right"/>
              <w:spacing w:after="0"/>
              <w:rPr>
                <w:sz w:val="20"/>
                <w:szCs w:val="20"/>
                <w:color w:val="auto"/>
              </w:rPr>
            </w:pPr>
            <w:r>
              <w:rPr>
                <w:rFonts w:ascii="Arial" w:cs="Arial" w:eastAsia="Arial" w:hAnsi="Arial"/>
                <w:sz w:val="18"/>
                <w:szCs w:val="18"/>
                <w:color w:val="auto"/>
                <w:w w:val="90"/>
              </w:rPr>
              <w:t>(535,256)</w:t>
            </w:r>
          </w:p>
        </w:tc>
        <w:tc>
          <w:tcPr>
            <w:tcW w:w="80" w:type="dxa"/>
            <w:vAlign w:val="bottom"/>
            <w:vMerge w:val="restart"/>
          </w:tcPr>
          <w:p>
            <w:pPr>
              <w:spacing w:after="0"/>
              <w:rPr>
                <w:sz w:val="13"/>
                <w:szCs w:val="13"/>
                <w:color w:val="auto"/>
              </w:rPr>
            </w:pPr>
          </w:p>
        </w:tc>
        <w:tc>
          <w:tcPr>
            <w:tcW w:w="240" w:type="dxa"/>
            <w:vAlign w:val="bottom"/>
            <w:vMerge w:val="restart"/>
          </w:tcPr>
          <w:p>
            <w:pPr>
              <w:jc w:val="center"/>
              <w:ind w:right="18"/>
              <w:spacing w:after="0"/>
              <w:rPr>
                <w:sz w:val="20"/>
                <w:szCs w:val="20"/>
                <w:color w:val="auto"/>
              </w:rPr>
            </w:pPr>
            <w:r>
              <w:rPr>
                <w:rFonts w:ascii="Arial" w:cs="Arial" w:eastAsia="Arial" w:hAnsi="Arial"/>
                <w:sz w:val="18"/>
                <w:szCs w:val="18"/>
                <w:color w:val="auto"/>
                <w:w w:val="99"/>
              </w:rPr>
              <w:t>$</w:t>
            </w:r>
          </w:p>
        </w:tc>
        <w:tc>
          <w:tcPr>
            <w:tcW w:w="680" w:type="dxa"/>
            <w:vAlign w:val="bottom"/>
            <w:gridSpan w:val="3"/>
            <w:vMerge w:val="restart"/>
          </w:tcPr>
          <w:p>
            <w:pPr>
              <w:jc w:val="right"/>
              <w:spacing w:after="0"/>
              <w:rPr>
                <w:sz w:val="20"/>
                <w:szCs w:val="20"/>
                <w:color w:val="auto"/>
              </w:rPr>
            </w:pPr>
            <w:r>
              <w:rPr>
                <w:rFonts w:ascii="Arial" w:cs="Arial" w:eastAsia="Arial" w:hAnsi="Arial"/>
                <w:sz w:val="18"/>
                <w:szCs w:val="18"/>
                <w:color w:val="auto"/>
                <w:w w:val="92"/>
              </w:rPr>
              <w:t>391,021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0" w:type="dxa"/>
            <w:vAlign w:val="bottom"/>
            <w:tcBorders>
              <w:right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980" w:type="dxa"/>
            <w:vAlign w:val="bottom"/>
            <w:tcBorders>
              <w:bottom w:val="single" w:sz="8" w:color="auto"/>
            </w:tcBorders>
            <w:gridSpan w:val="4"/>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gridSpan w:val="3"/>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680" w:type="dxa"/>
            <w:vAlign w:val="bottom"/>
            <w:tcBorders>
              <w:bottom w:val="single" w:sz="8" w:color="auto"/>
            </w:tcBorders>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18"/>
          </w:tcPr>
          <w:p>
            <w:pPr>
              <w:jc w:val="right"/>
              <w:ind w:right="320"/>
              <w:spacing w:after="0"/>
              <w:rPr>
                <w:sz w:val="20"/>
                <w:szCs w:val="20"/>
                <w:color w:val="auto"/>
              </w:rPr>
            </w:pPr>
            <w:r>
              <w:rPr>
                <w:rFonts w:ascii="Arial" w:cs="Arial" w:eastAsia="Arial" w:hAnsi="Arial"/>
                <w:sz w:val="16"/>
                <w:szCs w:val="16"/>
                <w:b w:val="1"/>
                <w:bCs w:val="1"/>
                <w:color w:val="auto"/>
                <w:w w:val="98"/>
              </w:rPr>
              <w:t>Nine months ended September 30, 2021 (1)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7"/>
          </w:tcPr>
          <w:p>
            <w:pPr>
              <w:jc w:val="center"/>
              <w:ind w:left="140"/>
              <w:spacing w:after="0"/>
              <w:rPr>
                <w:sz w:val="20"/>
                <w:szCs w:val="20"/>
                <w:color w:val="auto"/>
              </w:rPr>
            </w:pPr>
            <w:r>
              <w:rPr>
                <w:rFonts w:ascii="Arial" w:cs="Arial" w:eastAsia="Arial" w:hAnsi="Arial"/>
                <w:sz w:val="14"/>
                <w:szCs w:val="14"/>
                <w:b w:val="1"/>
                <w:bCs w:val="1"/>
                <w:color w:val="auto"/>
                <w:w w:val="90"/>
              </w:rPr>
              <w:t>Redeemable Convertible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8"/>
            <w:vMerge w:val="restart"/>
          </w:tcPr>
          <w:p>
            <w:pPr>
              <w:jc w:val="right"/>
              <w:ind w:right="132"/>
              <w:spacing w:after="0"/>
              <w:rPr>
                <w:sz w:val="20"/>
                <w:szCs w:val="20"/>
                <w:color w:val="auto"/>
              </w:rPr>
            </w:pPr>
            <w:r>
              <w:rPr>
                <w:rFonts w:ascii="Arial" w:cs="Arial" w:eastAsia="Arial" w:hAnsi="Arial"/>
                <w:sz w:val="14"/>
                <w:szCs w:val="14"/>
                <w:b w:val="1"/>
                <w:bCs w:val="1"/>
                <w:color w:val="auto"/>
              </w:rPr>
              <w:t>Class A Common Stock</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9"/>
            <w:vMerge w:val="restart"/>
          </w:tcPr>
          <w:p>
            <w:pPr>
              <w:ind w:left="220"/>
              <w:spacing w:after="0"/>
              <w:rPr>
                <w:sz w:val="20"/>
                <w:szCs w:val="20"/>
                <w:color w:val="auto"/>
              </w:rPr>
            </w:pPr>
            <w:r>
              <w:rPr>
                <w:rFonts w:ascii="Arial" w:cs="Arial" w:eastAsia="Arial" w:hAnsi="Arial"/>
                <w:sz w:val="14"/>
                <w:szCs w:val="14"/>
                <w:b w:val="1"/>
                <w:bCs w:val="1"/>
                <w:color w:val="auto"/>
              </w:rPr>
              <w:t>Class B Common Stock</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Borders>
              <w:bottom w:val="single" w:sz="8" w:color="auto"/>
            </w:tcBorders>
            <w:gridSpan w:val="7"/>
          </w:tcPr>
          <w:p>
            <w:pPr>
              <w:jc w:val="center"/>
              <w:ind w:left="140"/>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Borders>
              <w:bottom w:val="single" w:sz="8" w:color="auto"/>
            </w:tcBorders>
            <w:gridSpan w:val="8"/>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Borders>
              <w:bottom w:val="single" w:sz="8" w:color="auto"/>
            </w:tcBorders>
            <w:gridSpan w:val="9"/>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4"/>
          </w:tcPr>
          <w:p>
            <w:pPr>
              <w:jc w:val="right"/>
              <w:spacing w:after="0" w:line="123" w:lineRule="exact"/>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80"/>
              <w:spacing w:after="0" w:line="12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vMerge w:val="restart"/>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jc w:val="right"/>
              <w:ind w:right="32"/>
              <w:spacing w:after="0"/>
              <w:rPr>
                <w:sz w:val="20"/>
                <w:szCs w:val="20"/>
                <w:color w:val="auto"/>
              </w:rPr>
            </w:pPr>
            <w:r>
              <w:rPr>
                <w:rFonts w:ascii="Arial" w:cs="Arial" w:eastAsia="Arial" w:hAnsi="Arial"/>
                <w:sz w:val="14"/>
                <w:szCs w:val="14"/>
                <w:b w:val="1"/>
                <w:bCs w:val="1"/>
                <w:color w:val="auto"/>
              </w:rPr>
              <w:t>Par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 Value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ind w:left="120"/>
              <w:spacing w:after="0" w:line="146"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spacing w:after="0" w:line="146" w:lineRule="exact"/>
              <w:rPr>
                <w:sz w:val="20"/>
                <w:szCs w:val="20"/>
                <w:color w:val="auto"/>
              </w:rPr>
            </w:pPr>
            <w:r>
              <w:rPr>
                <w:rFonts w:ascii="Arial" w:cs="Arial" w:eastAsia="Arial" w:hAnsi="Arial"/>
                <w:sz w:val="14"/>
                <w:szCs w:val="14"/>
                <w:b w:val="1"/>
                <w:bCs w:val="1"/>
                <w:color w:val="auto"/>
                <w:w w:val="91"/>
              </w:rPr>
              <w:t>stockholde</w:t>
            </w: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85"/>
              </w:rPr>
              <w:t>capital</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4"/>
                <w:szCs w:val="14"/>
                <w:b w:val="1"/>
                <w:bCs w:val="1"/>
                <w:color w:val="auto"/>
              </w:rPr>
              <w:t>deficit (1)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196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8"/>
                <w:szCs w:val="18"/>
                <w:b w:val="1"/>
                <w:bCs w:val="1"/>
                <w:color w:val="auto"/>
                <w:w w:val="86"/>
              </w:rPr>
              <w:t>Balances at December 31,</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4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171,535,213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334,439</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124</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8"/>
                <w:szCs w:val="18"/>
                <w:b w:val="1"/>
                <w:bCs w:val="1"/>
                <w:color w:val="auto"/>
                <w:w w:val="99"/>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130,557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(330,051)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(330,0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77"/>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(205,205)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 exercises</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10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1,253,179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300" w:type="dxa"/>
            <w:vAlign w:val="bottom"/>
            <w:gridSpan w:val="6"/>
          </w:tcPr>
          <w:p>
            <w:pPr>
              <w:ind w:left="20"/>
              <w:spacing w:after="0"/>
              <w:rPr>
                <w:sz w:val="20"/>
                <w:szCs w:val="20"/>
                <w:color w:val="auto"/>
              </w:rPr>
            </w:pPr>
            <w:r>
              <w:rPr>
                <w:rFonts w:ascii="Arial" w:cs="Arial" w:eastAsia="Arial" w:hAnsi="Arial"/>
                <w:sz w:val="18"/>
                <w:szCs w:val="18"/>
                <w:color w:val="auto"/>
                <w:w w:val="91"/>
              </w:rPr>
              <w:t>Conversion of Preferred Stock (171,535,213)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w w:val="93"/>
              </w:rPr>
              <w:t>(334,439)</w:t>
            </w:r>
          </w:p>
        </w:tc>
        <w:tc>
          <w:tcPr>
            <w:tcW w:w="100" w:type="dxa"/>
            <w:vAlign w:val="bottom"/>
            <w:tcBorders>
              <w:right w:val="single" w:sz="8" w:color="auto"/>
            </w:tcBorders>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w w:val="93"/>
              </w:rPr>
              <w:t>148,543,062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104,517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196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8"/>
                <w:szCs w:val="18"/>
                <w:color w:val="auto"/>
              </w:rPr>
              <w:t>Conversion of Class B</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10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1,309,320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(1,383,736)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2980" w:type="dxa"/>
            <w:vAlign w:val="bottom"/>
            <w:gridSpan w:val="4"/>
          </w:tcPr>
          <w:p>
            <w:pPr>
              <w:ind w:left="20"/>
              <w:spacing w:after="0" w:line="187" w:lineRule="exact"/>
              <w:rPr>
                <w:sz w:val="20"/>
                <w:szCs w:val="20"/>
                <w:color w:val="auto"/>
              </w:rPr>
            </w:pPr>
            <w:r>
              <w:rPr>
                <w:rFonts w:ascii="Arial" w:cs="Arial" w:eastAsia="Arial" w:hAnsi="Arial"/>
                <w:sz w:val="18"/>
                <w:szCs w:val="18"/>
                <w:color w:val="auto"/>
              </w:rPr>
              <w:t>Net equity infusion from the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Business Combination</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77"/>
              </w:rPr>
              <w:t>—</w:t>
            </w:r>
          </w:p>
        </w:tc>
        <w:tc>
          <w:tcPr>
            <w:tcW w:w="100" w:type="dxa"/>
            <w:vAlign w:val="bottom"/>
            <w:tcBorders>
              <w:right w:val="single" w:sz="8" w:color="auto"/>
            </w:tcBorders>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90,333,562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510,742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196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8"/>
                <w:szCs w:val="18"/>
                <w:color w:val="auto"/>
                <w:w w:val="88"/>
              </w:rPr>
              <w:t>Stock based compensation</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29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modification reclassification</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304,837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960" w:type="dxa"/>
            <w:vAlign w:val="bottom"/>
            <w:gridSpan w:val="2"/>
          </w:tcPr>
          <w:p>
            <w:pPr>
              <w:ind w:left="20"/>
              <w:spacing w:after="0" w:line="187" w:lineRule="exact"/>
              <w:rPr>
                <w:sz w:val="20"/>
                <w:szCs w:val="20"/>
                <w:color w:val="auto"/>
              </w:rPr>
            </w:pPr>
            <w:r>
              <w:rPr>
                <w:rFonts w:ascii="Arial" w:cs="Arial" w:eastAsia="Arial" w:hAnsi="Arial"/>
                <w:sz w:val="18"/>
                <w:szCs w:val="18"/>
                <w:color w:val="auto"/>
                <w:w w:val="88"/>
              </w:rPr>
              <w:t>Stock based compensation</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1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expense</w:t>
            </w:r>
          </w:p>
        </w:tc>
        <w:tc>
          <w:tcPr>
            <w:tcW w:w="2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7"/>
              </w:rPr>
              <w:t>—</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5,418</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3"/>
                <w:szCs w:val="13"/>
                <w:color w:val="auto"/>
              </w:rPr>
            </w:pPr>
          </w:p>
        </w:tc>
        <w:tc>
          <w:tcPr>
            <w:tcW w:w="2240" w:type="dxa"/>
            <w:vAlign w:val="bottom"/>
            <w:gridSpan w:val="3"/>
            <w:shd w:val="clear" w:color="auto" w:fill="CCEEFF"/>
          </w:tcPr>
          <w:p>
            <w:pPr>
              <w:ind w:left="20"/>
              <w:spacing w:after="0" w:line="161" w:lineRule="exact"/>
              <w:rPr>
                <w:sz w:val="20"/>
                <w:szCs w:val="20"/>
                <w:color w:val="auto"/>
              </w:rPr>
            </w:pPr>
            <w:r>
              <w:rPr>
                <w:rFonts w:ascii="Arial" w:cs="Arial" w:eastAsia="Arial" w:hAnsi="Arial"/>
                <w:sz w:val="18"/>
                <w:szCs w:val="18"/>
                <w:b w:val="1"/>
                <w:bCs w:val="1"/>
                <w:color w:val="auto"/>
                <w:w w:val="96"/>
              </w:rPr>
              <w:t>Balances at September 30,</w:t>
            </w:r>
          </w:p>
        </w:tc>
        <w:tc>
          <w:tcPr>
            <w:tcW w:w="74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100" w:type="dxa"/>
            <w:vAlign w:val="bottom"/>
            <w:tcBorders>
              <w:right w:val="single" w:sz="8" w:color="auto"/>
            </w:tcBorders>
            <w:shd w:val="clear" w:color="auto" w:fill="CCEEFF"/>
          </w:tcPr>
          <w:p>
            <w:pPr>
              <w:spacing w:after="0"/>
              <w:rPr>
                <w:sz w:val="13"/>
                <w:szCs w:val="13"/>
                <w:color w:val="auto"/>
              </w:rPr>
            </w:pPr>
          </w:p>
        </w:tc>
        <w:tc>
          <w:tcPr>
            <w:tcW w:w="102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240,190,402</w:t>
            </w: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926,253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 (535,256)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19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2021</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5"/>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720" w:type="dxa"/>
            <w:vAlign w:val="bottom"/>
            <w:gridSpan w:val="4"/>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6"/>
        <w:spacing w:after="0" w:line="246" w:lineRule="auto"/>
        <w:tabs>
          <w:tab w:leader="none" w:pos="200" w:val="left"/>
        </w:tabs>
        <w:numPr>
          <w:ilvl w:val="0"/>
          <w:numId w:val="7"/>
        </w:numPr>
        <w:rPr>
          <w:rFonts w:ascii="Arial" w:cs="Arial" w:eastAsia="Arial" w:hAnsi="Arial"/>
          <w:sz w:val="14"/>
          <w:szCs w:val="14"/>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which impacted previously reported net loss for the third quarter of 2021 and the adjusted net loss is reflected as disclosed.</w:t>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4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7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79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 (1)</w:t>
            </w:r>
          </w:p>
        </w:tc>
      </w:tr>
      <w:tr>
        <w:trPr>
          <w:trHeight w:val="212"/>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(240,219)</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(205,205)</w:t>
            </w:r>
          </w:p>
        </w:tc>
      </w:tr>
      <w:tr>
        <w:trPr>
          <w:trHeight w:val="239"/>
        </w:trPr>
        <w:tc>
          <w:tcPr>
            <w:tcW w:w="7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16,012</w:t>
            </w:r>
          </w:p>
        </w:tc>
      </w:tr>
      <w:tr>
        <w:trPr>
          <w:trHeight w:val="225"/>
        </w:trPr>
        <w:tc>
          <w:tcPr>
            <w:tcW w:w="79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182,454</w:t>
            </w:r>
          </w:p>
        </w:tc>
      </w:tr>
      <w:tr>
        <w:trPr>
          <w:trHeight w:val="252"/>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Change in fair value of warrant and earn-out contingent liabilities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(122,171)</w:t>
            </w:r>
          </w:p>
        </w:tc>
      </w:tr>
      <w:tr>
        <w:trPr>
          <w:trHeight w:val="238"/>
        </w:trPr>
        <w:tc>
          <w:tcPr>
            <w:tcW w:w="7920" w:type="dxa"/>
            <w:vAlign w:val="bottom"/>
          </w:tcPr>
          <w:p>
            <w:pPr>
              <w:ind w:left="180"/>
              <w:spacing w:after="0"/>
              <w:rPr>
                <w:sz w:val="20"/>
                <w:szCs w:val="20"/>
                <w:color w:val="auto"/>
              </w:rPr>
            </w:pPr>
            <w:r>
              <w:rPr>
                <w:rFonts w:ascii="Arial" w:cs="Arial" w:eastAsia="Arial" w:hAnsi="Arial"/>
                <w:sz w:val="18"/>
                <w:szCs w:val="18"/>
                <w:color w:val="2B2A29"/>
              </w:rPr>
              <w:t>Income tax benefit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Loss on debt extinguishment</w:t>
            </w:r>
          </w:p>
        </w:tc>
        <w:tc>
          <w:tcPr>
            <w:tcW w:w="3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38"/>
        </w:trPr>
        <w:tc>
          <w:tcPr>
            <w:tcW w:w="7920" w:type="dxa"/>
            <w:vAlign w:val="bottom"/>
          </w:tcPr>
          <w:p>
            <w:pPr>
              <w:ind w:left="180"/>
              <w:spacing w:after="0"/>
              <w:rPr>
                <w:sz w:val="20"/>
                <w:szCs w:val="20"/>
                <w:color w:val="auto"/>
              </w:rPr>
            </w:pPr>
            <w:r>
              <w:rPr>
                <w:rFonts w:ascii="Arial" w:cs="Arial" w:eastAsia="Arial" w:hAnsi="Arial"/>
                <w:sz w:val="18"/>
                <w:szCs w:val="18"/>
                <w:color w:val="2B2A29"/>
              </w:rPr>
              <w:t>Provision for excess and obsolete inventory</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2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25"/>
        </w:trPr>
        <w:tc>
          <w:tcPr>
            <w:tcW w:w="7920" w:type="dxa"/>
            <w:vAlign w:val="bottom"/>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4"/>
        </w:trPr>
        <w:tc>
          <w:tcPr>
            <w:tcW w:w="792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rPr>
              <w:t>Change in operating assets and liabilities, net of effects from purchase of</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8"/>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5"/>
        </w:trPr>
        <w:tc>
          <w:tcPr>
            <w:tcW w:w="79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10,787</w:t>
            </w:r>
          </w:p>
        </w:tc>
      </w:tr>
      <w:tr>
        <w:trPr>
          <w:trHeight w:val="22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r>
      <w:tr>
        <w:trPr>
          <w:trHeight w:val="225"/>
        </w:trPr>
        <w:tc>
          <w:tcPr>
            <w:tcW w:w="79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(15,710)</w:t>
            </w:r>
          </w:p>
        </w:tc>
      </w:tr>
      <w:tr>
        <w:trPr>
          <w:trHeight w:val="22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to/from related parties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5"/>
        </w:trPr>
        <w:tc>
          <w:tcPr>
            <w:tcW w:w="792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r>
      <w:tr>
        <w:trPr>
          <w:trHeight w:val="225"/>
        </w:trPr>
        <w:tc>
          <w:tcPr>
            <w:tcW w:w="7920" w:type="dxa"/>
            <w:vAlign w:val="bottom"/>
          </w:tcPr>
          <w:p>
            <w:pPr>
              <w:ind w:left="34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2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r>
      <w:tr>
        <w:trPr>
          <w:trHeight w:val="218"/>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(138,449)</w:t>
            </w:r>
          </w:p>
        </w:tc>
      </w:tr>
      <w:tr>
        <w:trPr>
          <w:trHeight w:val="219"/>
        </w:trPr>
        <w:tc>
          <w:tcPr>
            <w:tcW w:w="7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business, net of cash acquired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(4,344)</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(8,749)</w:t>
            </w:r>
          </w:p>
        </w:tc>
      </w:tr>
      <w:tr>
        <w:trPr>
          <w:trHeight w:val="218"/>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(13,093)</w:t>
            </w:r>
          </w:p>
        </w:tc>
      </w:tr>
      <w:tr>
        <w:trPr>
          <w:trHeight w:val="219"/>
        </w:trPr>
        <w:tc>
          <w:tcPr>
            <w:tcW w:w="7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Business Combination PIPE Investment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Proceeds from Acquisition PIPE Investment, net of issuance costs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197,659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equity infusion from the merger, net of redemptions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442,684</w:t>
            </w: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Legacy Sema4 Shareholder payout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(230,665)</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deferred transaction costs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(51,760)</w:t>
            </w: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Stock Appreciation Rights payout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(3,795)</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long-term debt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Finance lease principal payments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(2,960)</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principal payments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5"/>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 of stock options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r>
      <w:tr>
        <w:trPr>
          <w:trHeight w:val="232"/>
        </w:trPr>
        <w:tc>
          <w:tcPr>
            <w:tcW w:w="79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197,250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1771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7117715"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line="36" w:lineRule="exact"/>
        <w:rPr>
          <w:sz w:val="20"/>
          <w:szCs w:val="20"/>
          <w:color w:val="auto"/>
        </w:rPr>
      </w:pPr>
    </w:p>
    <w:p>
      <w:pPr>
        <w:ind w:left="20" w:right="2560"/>
        <w:spacing w:after="0" w:line="439" w:lineRule="auto"/>
        <w:rPr>
          <w:sz w:val="20"/>
          <w:szCs w:val="20"/>
          <w:color w:val="auto"/>
        </w:rPr>
      </w:pPr>
      <w:r>
        <w:rPr>
          <w:rFonts w:ascii="Arial" w:cs="Arial" w:eastAsia="Arial" w:hAnsi="Arial"/>
          <w:sz w:val="15"/>
          <w:szCs w:val="15"/>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17715" cy="15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7715" cy="151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1100" w:type="dxa"/>
            <w:vAlign w:val="bottom"/>
          </w:tcPr>
          <w:p>
            <w:pPr>
              <w:jc w:val="center"/>
              <w:ind w:left="272"/>
              <w:spacing w:after="0"/>
              <w:rPr>
                <w:sz w:val="20"/>
                <w:szCs w:val="20"/>
                <w:color w:val="auto"/>
              </w:rPr>
            </w:pPr>
            <w:r>
              <w:rPr>
                <w:rFonts w:ascii="Arial" w:cs="Arial" w:eastAsia="Arial" w:hAnsi="Arial"/>
                <w:sz w:val="18"/>
                <w:szCs w:val="18"/>
                <w:color w:val="auto"/>
                <w:w w:val="90"/>
              </w:rPr>
              <w:t>(195,739)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343,216</w:t>
            </w:r>
          </w:p>
        </w:tc>
      </w:tr>
      <w:tr>
        <w:trPr>
          <w:trHeight w:val="226"/>
        </w:trPr>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6"/>
              </w:rPr>
              <w:t>401,469</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118,960</w:t>
            </w:r>
          </w:p>
        </w:tc>
      </w:tr>
      <w:tr>
        <w:trPr>
          <w:trHeight w:val="218"/>
        </w:trPr>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6"/>
              </w:rPr>
              <w:t>205,730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462,176</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ectPr>
          <w:pgSz w:w="11900" w:h="16838" w:orient="portrait"/>
          <w:cols w:equalWidth="0" w:num="2">
            <w:col w:w="7200" w:space="720"/>
            <w:col w:w="3300"/>
          </w:cols>
          <w:pgMar w:left="320" w:top="140" w:right="35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2"/>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16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1,795</w:t>
            </w:r>
          </w:p>
        </w:tc>
        <w:tc>
          <w:tcPr>
            <w:tcW w:w="7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51"/>
        </w:trPr>
        <w:tc>
          <w:tcPr>
            <w:tcW w:w="6800" w:type="dxa"/>
            <w:vAlign w:val="bottom"/>
          </w:tcPr>
          <w:p>
            <w:pPr>
              <w:ind w:left="20"/>
              <w:spacing w:after="0"/>
              <w:rPr>
                <w:sz w:val="20"/>
                <w:szCs w:val="20"/>
                <w:color w:val="auto"/>
              </w:rPr>
            </w:pPr>
            <w:r>
              <w:rPr>
                <w:rFonts w:ascii="Arial" w:cs="Arial" w:eastAsia="Arial" w:hAnsi="Arial"/>
                <w:sz w:val="18"/>
                <w:szCs w:val="18"/>
                <w:color w:val="auto"/>
              </w:rPr>
              <w:t>Cash paid for taxes</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487</w:t>
            </w:r>
          </w:p>
        </w:tc>
        <w:tc>
          <w:tcPr>
            <w:tcW w:w="7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52"/>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consideration paid for purchase of business</w:t>
            </w:r>
          </w:p>
        </w:tc>
        <w:tc>
          <w:tcPr>
            <w:tcW w:w="16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172,000</w:t>
            </w:r>
          </w:p>
        </w:tc>
        <w:tc>
          <w:tcPr>
            <w:tcW w:w="7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6800" w:type="dxa"/>
            <w:vAlign w:val="bottom"/>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1,546</w:t>
            </w:r>
          </w:p>
        </w:tc>
        <w:tc>
          <w:tcPr>
            <w:tcW w:w="7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52"/>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16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w:t>
            </w:r>
          </w:p>
        </w:tc>
        <w:tc>
          <w:tcPr>
            <w:tcW w:w="7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r>
    </w:tbl>
    <w:p>
      <w:pPr>
        <w:spacing w:after="0" w:line="242" w:lineRule="exact"/>
        <w:rPr>
          <w:sz w:val="20"/>
          <w:szCs w:val="20"/>
          <w:color w:val="auto"/>
        </w:rPr>
      </w:pPr>
    </w:p>
    <w:p>
      <w:pPr>
        <w:jc w:val="both"/>
        <w:ind w:firstLine="6"/>
        <w:spacing w:after="0" w:line="263" w:lineRule="auto"/>
        <w:tabs>
          <w:tab w:leader="none" w:pos="200" w:val="left"/>
        </w:tabs>
        <w:numPr>
          <w:ilvl w:val="0"/>
          <w:numId w:val="8"/>
        </w:numPr>
        <w:rPr>
          <w:rFonts w:ascii="Arial" w:cs="Arial" w:eastAsia="Arial" w:hAnsi="Arial"/>
          <w:sz w:val="14"/>
          <w:szCs w:val="14"/>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to certain liability accounts previously reported in the condensed balance sheets as of September 30, 2021. The adjustments are reflected accordingly as disclosed.</w:t>
      </w:r>
    </w:p>
    <w:p>
      <w:pPr>
        <w:spacing w:after="0" w:line="12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8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Sema4 Holdings Corp. (“Sema4 Holdings”) through its subsidiaries Sema4 OpCo, Inc., formerly Mount Sinai Genomics Inc., a Delaware corporation (“Legacy Sema4”) and GeneDx Holding 2, LLC, provides genomics-related diagnostic and information services and pursues genomics medical research. Sema4 utilizes an integrated portfolio of laboratory processes, software tools and informatics capabilities to process DNA-containing samples, analyze information about patient-specific genetic variation and generate test reports for clinicians and their patients. Sema4 provides a variety of genetic diagnostic tests, and screening solutions, and information with a focus on pediatrics, hereditary cancer screening, and rare diseases for children and adults. Sema4 Holdings’ operating subsidiaries primarily serve healthcare professionals who work with their patients and bills third-party payors across the United States, with a substantial portion of its diagnostic testing volume occurring in New York, California, Florida, Connecticut and Illinois.</w:t>
      </w:r>
    </w:p>
    <w:p>
      <w:pPr>
        <w:spacing w:after="0" w:line="1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July 22, 2021 (the “Closing Date”), CM Life Sciences, Inc. (“CMLS”) completed the acquisition of Legacy Sema4, pursuant to that certain Agreement and Plan of Merger (as amended, the “Business Combination Merger Agreement”), dated February 9, 2021. On the Closing Date, S-IV Sub, Inc. merged with and into the Legacy Sema4, with Legacy Sema4 surviving the merger as a wholly-owned subsidiary of CMLS (the “Business Combination Merger” and, together with the other transactions contemplated by the Business Combination Merger Agreement, the “Business Combination”). In connection with the consummation of the Business Combination, CMLS changed its name to “Sema4 Holdings Corp.” and Legacy Sema4 changed its name to “Sema4 OpCo, Inc.” All equity securities of Legacy Sema4 were converted into the right to receive the applicable portion of the merger consideration.</w:t>
      </w:r>
    </w:p>
    <w:p>
      <w:pPr>
        <w:spacing w:after="0" w:line="112" w:lineRule="exact"/>
        <w:rPr>
          <w:sz w:val="20"/>
          <w:szCs w:val="20"/>
          <w:color w:val="auto"/>
        </w:rPr>
      </w:pPr>
    </w:p>
    <w:p>
      <w:pPr>
        <w:ind w:right="320" w:firstLine="318"/>
        <w:spacing w:after="0" w:line="294" w:lineRule="auto"/>
        <w:rPr>
          <w:sz w:val="20"/>
          <w:szCs w:val="20"/>
          <w:color w:val="auto"/>
        </w:rPr>
      </w:pPr>
      <w:r>
        <w:rPr>
          <w:rFonts w:ascii="Arial" w:cs="Arial" w:eastAsia="Arial" w:hAnsi="Arial"/>
          <w:sz w:val="15"/>
          <w:szCs w:val="15"/>
          <w:color w:val="auto"/>
        </w:rPr>
        <w:t>The Business Combination Merger was accounted for as a reverse recapitalization with Legacy Sema4 as the accounting acquirer and CMLS as the acquired company for accounting purposes. The shares and net loss per common share, prior to the Business Combination Merger, have been retroactively restated as shares reflecting the exchange ratio established in the Business Combination Merger (1 share of Legacy Sema4 Class A common stock for 123.8339 shares of Sema4 Holdings Class A common stock (the “Class A common stock”) (the “Conversion Ratio”).</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Prior to the Business Combination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w:t>
      </w:r>
    </w:p>
    <w:p>
      <w:pPr>
        <w:spacing w:after="0" w:line="15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on April 29, 2022, the Company consummated the transactions contemplated by that certain Agreement and Plan of Merger, dated as of January 14, 2022 (as amended, the “ Acquisition Merger Agreement”), by and among the Company and GeneDx, Inc. (“GeneDx”), a New Jersey corporation and wholly-owned subsidiary of OPKO Health, Inc. (“OPKO”), GeneDx Holding 2, Inc., which held 100% of GeneDx (“Holdco2”), at the Effective Time (as defined in the Acquisition Merger Agreement) and OPKO, which provided for, among other things, the acquisition of GeneDx from OPKO. After giving effect to the mergers and the other transactions contemplated by the Acquisition Merger Agreement (the “Acquisition”), GeneDx was converted into a Delaware limited liability company and became the Company’s wholly-owned indirect subsidiary.</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3, “Business Combination,” for additional details regarding the Business Combination and Acquisition.</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Unless otherwise stated herein or unless the context otherwise requires, references in these notes to the “Company,” or “Sema4” refer to (i) Legacy Sema4 prior to the consummation of the Business Combination; and (ii) Sema4 Holdings and its subsidiaries following the consummation of the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accompanying unaudited condensed consolidated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 As such, the accompanying unaudited condensed consolidated financial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statements should be read in conjunction with the Company’s audited financial statements and notes thereto as of and for the years ended December 31, 2021, 2020 and 2019 included in the Company’s Annual Report on Form 10-K for the year ended December 21, 2021 filed on March 14, 2022 (the “Annual Report”).</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14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Company’s historical financial information includes costs of certain services historically provided by Icahn School of Medicine at Mount Sinai (“ISMMS”) pursuant to a Transition Services Agreement ("TSA") and service agreements. See Note 7, “Related Party Transactions”.</w:t>
      </w:r>
    </w:p>
    <w:p>
      <w:pPr>
        <w:spacing w:after="0" w:line="13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discussed in the Company’s Annual Report, the Company identified the misclassification of certain expenses and out of period adjustments generally related to the recognition of cost of services. The impact of these adjustments were disclosed in the Company’s Annual Report and are reflected in the condensed consolidated statements of operations and comprehensive loss, condensed consolidated statement of redeemable convertible preferred stock and stockholders’ equity (deficit) and condensed consolidated statements of cash flows for the period ended September 30, 2021.</w:t>
      </w:r>
    </w:p>
    <w:p>
      <w:pPr>
        <w:spacing w:after="0" w:line="1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Although the Company has incurred recurring losses in each year since inception, the Company expects its cash and cash equivalents will be sufficient to fund operations for at least the next twelve months from the date of filing of this Form 10-Q.</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preparation of unaudited condensed consolidated financial statements in conformity with U.S. GAAP requires management to make certain estimates, judgments and assumptions that affect the reported amounts of assets and liabilities and the related disclosures at the date of the unaudited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capitalization of software costs, the valuation of stock-based awards, inventory, earn-out contingent liabilities and earn-out Restricted Stock Units (“RSUs”). Actual results could differ materially from those estimates, judgments and assumptions.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6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assesses both the self-pay patient and, if applicable, the third-party payor that reimburses the Company on the patient’s behalf when evaluating the concentration of credit risk. Significant customers and payors are those that represent more than 10% of the Company’s total revenues for the period or accounts receivable balance at each respective balance sheet date. The significant concentrations of accounts receivable as of September 30, 2022 and December 31, 2021 were primarily from large managed care insurance companies and a reference laboratory. There was no individual patient that accounted for 10% or more of the Company’s revenue or accounts receivable for any of the periods presented. The Company does not require collateral as a means to mitigate customer credit risk.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each significant payor, revenue as a percentage of total revenues and accounts receivable as a percentage of total accounts receivable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00" w:type="dxa"/>
            <w:vAlign w:val="bottom"/>
            <w:gridSpan w:val="4"/>
          </w:tcPr>
          <w:p>
            <w:pPr>
              <w:ind w:left="80"/>
              <w:spacing w:after="0"/>
              <w:rPr>
                <w:sz w:val="20"/>
                <w:szCs w:val="20"/>
                <w:color w:val="auto"/>
              </w:rPr>
            </w:pPr>
            <w:r>
              <w:rPr>
                <w:rFonts w:ascii="Arial" w:cs="Arial" w:eastAsia="Arial" w:hAnsi="Arial"/>
                <w:sz w:val="14"/>
                <w:szCs w:val="14"/>
                <w:b w:val="1"/>
                <w:bCs w:val="1"/>
                <w:color w:val="auto"/>
              </w:rPr>
              <w:t>Revenue</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ind w:left="860"/>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24"/>
        </w:trPr>
        <w:tc>
          <w:tcPr>
            <w:tcW w:w="22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260" w:type="dxa"/>
            <w:vAlign w:val="bottom"/>
          </w:tcPr>
          <w:p>
            <w:pPr>
              <w:spacing w:after="0"/>
              <w:rPr>
                <w:sz w:val="10"/>
                <w:szCs w:val="10"/>
                <w:color w:val="auto"/>
              </w:rPr>
            </w:pPr>
          </w:p>
        </w:tc>
        <w:tc>
          <w:tcPr>
            <w:tcW w:w="26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Three months ended September 30,</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Nine months ended September 30,</w:t>
            </w:r>
          </w:p>
        </w:tc>
        <w:tc>
          <w:tcPr>
            <w:tcW w:w="1540" w:type="dxa"/>
            <w:vAlign w:val="bottom"/>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91"/>
              </w:rPr>
              <w:t>As of</w:t>
            </w:r>
          </w:p>
        </w:tc>
        <w:tc>
          <w:tcPr>
            <w:tcW w:w="14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26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4"/>
            <w:vMerge w:val="continue"/>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ind w:left="195"/>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5"/>
        </w:trPr>
        <w:tc>
          <w:tcPr>
            <w:tcW w:w="22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Payor A</w:t>
            </w:r>
            <w:r>
              <w:rPr>
                <w:rFonts w:ascii="Arial" w:cs="Arial" w:eastAsia="Arial" w:hAnsi="Arial"/>
                <w:sz w:val="22"/>
                <w:szCs w:val="22"/>
                <w:color w:val="auto"/>
                <w:vertAlign w:val="superscript"/>
              </w:rPr>
              <w:t>(1)</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88"/>
              </w:rPr>
              <w:t>23%</w:t>
            </w:r>
          </w:p>
        </w:tc>
        <w:tc>
          <w:tcPr>
            <w:tcW w:w="1800" w:type="dxa"/>
            <w:vAlign w:val="bottom"/>
            <w:gridSpan w:val="3"/>
            <w:shd w:val="clear" w:color="auto" w:fill="CCEEFF"/>
          </w:tcPr>
          <w:p>
            <w:pPr>
              <w:jc w:val="center"/>
              <w:ind w:left="3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25"/>
        </w:trPr>
        <w:tc>
          <w:tcPr>
            <w:tcW w:w="2260" w:type="dxa"/>
            <w:vAlign w:val="bottom"/>
          </w:tcPr>
          <w:p>
            <w:pPr>
              <w:ind w:left="20"/>
              <w:spacing w:after="0" w:line="225" w:lineRule="exact"/>
              <w:rPr>
                <w:sz w:val="20"/>
                <w:szCs w:val="20"/>
                <w:color w:val="auto"/>
              </w:rPr>
            </w:pPr>
            <w:r>
              <w:rPr>
                <w:rFonts w:ascii="Arial" w:cs="Arial" w:eastAsia="Arial" w:hAnsi="Arial"/>
                <w:sz w:val="18"/>
                <w:szCs w:val="18"/>
                <w:color w:val="auto"/>
              </w:rPr>
              <w:t>Payor B</w:t>
            </w:r>
            <w:r>
              <w:rPr>
                <w:rFonts w:ascii="Arial" w:cs="Arial" w:eastAsia="Arial" w:hAnsi="Arial"/>
                <w:sz w:val="22"/>
                <w:szCs w:val="22"/>
                <w:color w:val="auto"/>
                <w:vertAlign w:val="superscript"/>
              </w:rPr>
              <w:t>(2)</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100" w:type="dxa"/>
            <w:vAlign w:val="bottom"/>
          </w:tcPr>
          <w:p>
            <w:pPr>
              <w:spacing w:after="0"/>
              <w:rPr>
                <w:sz w:val="19"/>
                <w:szCs w:val="19"/>
                <w:color w:val="auto"/>
              </w:rPr>
            </w:pPr>
          </w:p>
        </w:tc>
        <w:tc>
          <w:tcPr>
            <w:tcW w:w="1120" w:type="dxa"/>
            <w:vAlign w:val="bottom"/>
          </w:tcPr>
          <w:p>
            <w:pPr>
              <w:jc w:val="center"/>
              <w:ind w:left="195"/>
              <w:spacing w:after="0"/>
              <w:rPr>
                <w:sz w:val="20"/>
                <w:szCs w:val="20"/>
                <w:color w:val="auto"/>
              </w:rPr>
            </w:pPr>
            <w:r>
              <w:rPr>
                <w:rFonts w:ascii="Arial" w:cs="Arial" w:eastAsia="Arial" w:hAnsi="Arial"/>
                <w:sz w:val="18"/>
                <w:szCs w:val="18"/>
                <w:color w:val="auto"/>
                <w:w w:val="88"/>
              </w:rPr>
              <w:t>20%</w:t>
            </w:r>
          </w:p>
        </w:tc>
        <w:tc>
          <w:tcPr>
            <w:tcW w:w="1800" w:type="dxa"/>
            <w:vAlign w:val="bottom"/>
            <w:gridSpan w:val="3"/>
          </w:tcPr>
          <w:p>
            <w:pPr>
              <w:jc w:val="center"/>
              <w:ind w:left="315"/>
              <w:spacing w:after="0"/>
              <w:rPr>
                <w:sz w:val="20"/>
                <w:szCs w:val="20"/>
                <w:color w:val="auto"/>
              </w:rPr>
            </w:pPr>
            <w:r>
              <w:rPr>
                <w:rFonts w:ascii="Arial" w:cs="Arial" w:eastAsia="Arial" w:hAnsi="Arial"/>
                <w:sz w:val="18"/>
                <w:szCs w:val="18"/>
                <w:color w:val="auto"/>
                <w:w w:val="88"/>
              </w:rPr>
              <w:t>29%</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19%</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25"/>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88"/>
              </w:rPr>
              <w:t>15%</w:t>
            </w:r>
          </w:p>
        </w:tc>
        <w:tc>
          <w:tcPr>
            <w:tcW w:w="1800" w:type="dxa"/>
            <w:vAlign w:val="bottom"/>
            <w:gridSpan w:val="3"/>
            <w:shd w:val="clear" w:color="auto" w:fill="CCEEFF"/>
          </w:tcPr>
          <w:p>
            <w:pPr>
              <w:jc w:val="center"/>
              <w:ind w:left="3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260" w:type="dxa"/>
            <w:vAlign w:val="bottom"/>
          </w:tcPr>
          <w:p>
            <w:pPr>
              <w:ind w:left="20"/>
              <w:spacing w:after="0"/>
              <w:rPr>
                <w:sz w:val="20"/>
                <w:szCs w:val="20"/>
                <w:color w:val="auto"/>
              </w:rPr>
            </w:pPr>
            <w:r>
              <w:rPr>
                <w:rFonts w:ascii="Arial" w:cs="Arial" w:eastAsia="Arial" w:hAnsi="Arial"/>
                <w:sz w:val="18"/>
                <w:szCs w:val="18"/>
                <w:color w:val="auto"/>
              </w:rPr>
              <w:t>Payor D</w:t>
            </w: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jc w:val="center"/>
              <w:ind w:left="195"/>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center"/>
              <w:ind w:left="3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center"/>
              <w:ind w:left="315"/>
              <w:spacing w:after="0"/>
              <w:rPr>
                <w:sz w:val="20"/>
                <w:szCs w:val="20"/>
                <w:color w:val="auto"/>
              </w:rPr>
            </w:pPr>
            <w:r>
              <w:rPr>
                <w:rFonts w:ascii="Arial" w:cs="Arial" w:eastAsia="Arial" w:hAnsi="Arial"/>
                <w:sz w:val="18"/>
                <w:szCs w:val="18"/>
                <w:color w:val="auto"/>
                <w:w w:val="88"/>
              </w:rPr>
              <w:t>12%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*less than 10%</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right="340" w:firstLine="6"/>
        <w:spacing w:after="0" w:line="247" w:lineRule="auto"/>
        <w:tabs>
          <w:tab w:leader="none" w:pos="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payor represented less than 10% of the Company’s total revenues in 2022 due to a reversal of revenue recorded for this payor primarily in the second quarter of 2022 due to this payor’s allegation regarding certain overpayments the Company allegedly received from this payor. Refer to Note 4, “Revenue Recognition.”</w:t>
      </w:r>
    </w:p>
    <w:p>
      <w:pPr>
        <w:spacing w:after="0" w:line="239" w:lineRule="exact"/>
        <w:rPr>
          <w:rFonts w:ascii="Arial" w:cs="Arial" w:eastAsia="Arial" w:hAnsi="Arial"/>
          <w:sz w:val="14"/>
          <w:szCs w:val="14"/>
          <w:color w:val="auto"/>
        </w:rPr>
      </w:pPr>
    </w:p>
    <w:p>
      <w:pPr>
        <w:ind w:right="260" w:firstLine="6"/>
        <w:spacing w:after="0" w:line="265" w:lineRule="auto"/>
        <w:tabs>
          <w:tab w:leader="none" w:pos="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payor includes multiple individual plans and the Company calculates and presents the aggregated value from all plans, which is consistent with the Company’s portfolio approach used in accounting for diagnostic test revenue.</w:t>
      </w:r>
    </w:p>
    <w:p>
      <w:pPr>
        <w:spacing w:after="0" w:line="16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is subject to a concentration of risk from a limited number of suppliers for certain reagents and laboratory supplies. One supplier accounted for approximately 13% and 8% for the three months ended September 30, 2022 and 2021, respectively and 13% and 10% for the nine months ended September 30, 2022 and 2021, respectively. This risk is managed by maintaining a target quantity of surplus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the initial outbreak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Test volumes have since improved to what would, at this time, be considered normalized market conditions. A COVID-19 resurgence in the United States could however have a material impact on the Company’s results of operations, cash flows and financial condition.</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as of September 30, 2022 and December 31, 2021.</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three months ended March 31, 2021, the Company received an additional $5.6 million under the PRF distribution, which was recognized in other income in the condensed consolidated statements of operations and comprehensive loss.</w:t>
      </w:r>
    </w:p>
    <w:p>
      <w:pPr>
        <w:spacing w:after="0" w:line="114"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Additionally, under the CARES Act, the Company deferred payment of U.S. social security taxes in 2020. As a result, $3.8 million of employer payroll tax payments were initially deferred as of December 31, 2020 with $1.9 million paid in December 2021 and the remaining $1.9 million payment will be made in December 2022. As of September 30, 2022, the remaining payable is recorded in other current liabilities.</w:t>
      </w:r>
    </w:p>
    <w:p>
      <w:pPr>
        <w:spacing w:after="0" w:line="131"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Following the Company’s announcement that it would discontinue COVID-19 testing services by March 31, 2022, the Company no longer provides COVID-19 testing services. During the nine months ended September 30, 2022, the Company wrote off an accounts receivable balance of $0.4 million related to COVID-19 testing services.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consolidated balance sheets that sum to the total of the same amounts shown on the condensed consolidated statements of cash flows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580" w:type="dxa"/>
            <w:vAlign w:val="bottom"/>
          </w:tcPr>
          <w:p>
            <w:pPr>
              <w:jc w:val="right"/>
              <w:ind w:right="659"/>
              <w:spacing w:after="0"/>
              <w:rPr>
                <w:sz w:val="20"/>
                <w:szCs w:val="20"/>
                <w:color w:val="auto"/>
              </w:rPr>
            </w:pPr>
            <w:r>
              <w:rPr>
                <w:rFonts w:ascii="Arial" w:cs="Arial" w:eastAsia="Arial" w:hAnsi="Arial"/>
                <w:sz w:val="14"/>
                <w:szCs w:val="14"/>
                <w:b w:val="1"/>
                <w:bCs w:val="1"/>
                <w:color w:val="auto"/>
              </w:rPr>
              <w:t>As of</w:t>
            </w:r>
          </w:p>
        </w:tc>
      </w:tr>
      <w:tr>
        <w:trPr>
          <w:trHeight w:val="192"/>
        </w:trPr>
        <w:tc>
          <w:tcPr>
            <w:tcW w:w="7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September 30, 2022</w:t>
            </w:r>
          </w:p>
        </w:tc>
        <w:tc>
          <w:tcPr>
            <w:tcW w:w="200" w:type="dxa"/>
            <w:vAlign w:val="bottom"/>
          </w:tcPr>
          <w:p>
            <w:pPr>
              <w:spacing w:after="0"/>
              <w:rPr>
                <w:sz w:val="16"/>
                <w:szCs w:val="16"/>
                <w:color w:val="auto"/>
              </w:rPr>
            </w:pPr>
          </w:p>
        </w:tc>
        <w:tc>
          <w:tcPr>
            <w:tcW w:w="1580" w:type="dxa"/>
            <w:vAlign w:val="bottom"/>
          </w:tcPr>
          <w:p>
            <w:pPr>
              <w:jc w:val="right"/>
              <w:ind w:right="239"/>
              <w:spacing w:after="0"/>
              <w:rPr>
                <w:sz w:val="20"/>
                <w:szCs w:val="20"/>
                <w:color w:val="auto"/>
              </w:rPr>
            </w:pPr>
            <w:r>
              <w:rPr>
                <w:rFonts w:ascii="Arial" w:cs="Arial" w:eastAsia="Arial" w:hAnsi="Arial"/>
                <w:sz w:val="14"/>
                <w:szCs w:val="14"/>
                <w:b w:val="1"/>
                <w:bCs w:val="1"/>
                <w:color w:val="auto"/>
                <w:w w:val="98"/>
              </w:rPr>
              <w:t>December 31, 2021</w:t>
            </w:r>
          </w:p>
        </w:tc>
      </w:tr>
      <w:tr>
        <w:trPr>
          <w:trHeight w:val="225"/>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400,569</w:t>
            </w:r>
          </w:p>
        </w:tc>
      </w:tr>
      <w:tr>
        <w:trPr>
          <w:trHeight w:val="225"/>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Restricted cash as of September 30, 2022 includes $13.5 million escrow fund as restricted cash related to the closing of the Acquisition of GeneDx. The escrow amount is to be held for a period of 12 months following the closing date of the Acquisition as a fund for OPKO’s indemnification obligations pursuant to the Acquisition Merger Agreement. In addition, restricted cash as of September 30, 2022 consists of money market deposit accounts that secure an irrevocable standby letter of credit that serves as collateral for security deposit operating leases (see Note 9,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Accounts receivable consists of amounts due from customers and third party payors for services performed and reflect the consideration to which the Company expects to be entitled in exchange for providing those services. Accounts receivable are estimated and recorded in the period the related revenue is recorded. The accounts receivable balance as of September 30, 2022 included $3.6 million of unbilled accounts receivables.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accounts for acquisitions of entities that include inputs and processes and have the ability to create outputs as business combinations. The tangible and identifiable intangible assets acquired and liabilities assumed in a business combination are recorded based on their estimated fair values as of the business combination date, including identifiable intangible assets which either arise from a contractual or legal right or are separable from goodwill. The Company bases the estimated fair value of identifiable intangible assets acquired in a business combination on third-party valuations that use information and assumptions provided by the Company’s management, which consider estimates of inputs and assumptions that a market participant would use. Any excess purchase price over the estimated fair value assigned to the net tangible and identifiable intangible assets acquired and liabilities assumed is recorded to goodwill. The use of alternative valuation assumptions, including estimated revenue projections, growth rates, estimated cost savings, cash flows, discount rates, estimated useful lives and probabilities surrounding the achievement of contingent milestones could result in different purchase price allocations and amortization expense in current and future periods.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6" w:lineRule="exact"/>
        <w:rPr>
          <w:sz w:val="20"/>
          <w:szCs w:val="20"/>
          <w:color w:val="auto"/>
        </w:rPr>
      </w:pPr>
    </w:p>
    <w:p>
      <w:pPr>
        <w:jc w:val="both"/>
        <w:ind w:firstLine="318"/>
        <w:spacing w:after="0" w:line="283" w:lineRule="auto"/>
        <w:rPr>
          <w:sz w:val="20"/>
          <w:szCs w:val="20"/>
          <w:color w:val="auto"/>
        </w:rPr>
      </w:pPr>
      <w:r>
        <w:rPr>
          <w:rFonts w:ascii="Arial" w:cs="Arial" w:eastAsia="Arial" w:hAnsi="Arial"/>
          <w:sz w:val="15"/>
          <w:szCs w:val="15"/>
          <w:color w:val="auto"/>
        </w:rPr>
        <w:t>In accordance with ASC 350, Intangibles-Goodwill and Other (“ASC 350”), the Company’s goodwill is not amortized but is tested for impairment on an annual basis or whenever events or changes in circumstances indicate that the carrying amount of these assets may not be recoverable. Under ASC 350, the Company will perform annual impairment reviews of goodwill during the fourth fiscal quarter or more frequently if business factors indicate. During the third quarter of 2022, the Company identified indicators of impairment that indicate that it is more likely than not that the fair value of the reporting unit is less than its carrying value. The factors contributing to the indicators include, but are not limited to, significant decline in the Company’s stock price coupled with lower than anticipated business financial performance of Sema4. As a result, the Company performed quantitative analysis to determine the fair value of the company-wide single reporting unit, and based on this analysis, the Company concluded that an impairment loss is not required as of September 30, 2022. The fair value was determined to include the Company’s estimates of discounted future cash flows expected to be generated as well as other contemporaneous assumptions related to the exit of the reproductive and women’s health business.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Amortizable intangible assets include trade names and trademarks, developed technology and customer relationships acquired as part of business combinations. Intangible assets acquired through our business combinations in the second quarter of 2022 are amortized on a straight line basis. All intangible assets subject to amortization are reviewed for impairment in accordance with ASC 360, Property, Plant and Equipment. As discussed above regarding goodwill, the indicators of impairment were identified and the Company evaluated the recoverability of amortizable intangible assets and other long-lived assets for impairment. The recoverability test was performed on a company-wide single asset group level. As a result of the test performed, impairment loss was not required as of September 30,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9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of the consummation of the Business Combination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may redeem the outstanding public warrants if the price per share of the Class A common stock equals or exceeds $18.00 as described below:</w:t>
      </w:r>
    </w:p>
    <w:p>
      <w:pPr>
        <w:spacing w:after="0" w:line="220"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may redeem the outstanding public warrants if the price per share of the common stock equals or exceeds $10.00 as described below:</w:t>
      </w:r>
    </w:p>
    <w:p>
      <w:pPr>
        <w:spacing w:after="0" w:line="278"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11"/>
        </w:numPr>
        <w:rPr>
          <w:rFonts w:ascii="Arial" w:cs="Arial" w:eastAsia="Arial" w:hAnsi="Arial"/>
          <w:sz w:val="15"/>
          <w:szCs w:val="15"/>
          <w:color w:val="auto"/>
        </w:rPr>
      </w:pPr>
      <w:r>
        <w:rPr>
          <w:rFonts w:ascii="Arial" w:cs="Arial" w:eastAsia="Arial" w:hAnsi="Arial"/>
          <w:sz w:val="15"/>
          <w:szCs w:val="15"/>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58" w:lineRule="exact"/>
        <w:rPr>
          <w:rFonts w:ascii="Arial" w:cs="Arial" w:eastAsia="Arial" w:hAnsi="Arial"/>
          <w:sz w:val="15"/>
          <w:szCs w:val="15"/>
          <w:color w:val="auto"/>
        </w:rPr>
      </w:pPr>
    </w:p>
    <w:p>
      <w:pPr>
        <w:ind w:left="640" w:hanging="316"/>
        <w:spacing w:after="0" w:line="294"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104"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6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3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(GeneDx)</w:t>
      </w:r>
    </w:p>
    <w:p>
      <w:pPr>
        <w:spacing w:after="0" w:line="19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connection with the Acquisition of GeneDx, up to $150 million of contingent payments will be payable to OPKO in cash and/or shares of Company’s Class A common stock with such mix to be determined in the Company’s sole discretion, based upon achievement of 2022 and 2023 revenue milestones, pursuant to the Acquisition Merger Agreement (the “Milestone Payments”). If the Company elects to pay in shares of Class A common stock, the Acquisition Merger Agreement provides that the shares issues are to be valued at $4.86 per share for a maximum of 30.9 million shares.</w:t>
      </w:r>
    </w:p>
    <w:p>
      <w:pPr>
        <w:spacing w:after="0" w:line="1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Subject to the terms and conditions of the Acquisition Merger Agreement, (a) the first Milestone Payment of $112.5 million will become due and payable if the revenue of the GeneDx group for the fiscal year 2022 equals or exceeds $163 million and (b) the second Milestone Payment of $37.5 million will become due and payable if the revenue of the GeneDx group for the fiscal year 2023 equals or exceeds $219 million (each of clauses (a) and (b), a “Milestone Event”); provided that 80% of the Milestone Payment for the first milestone period or the second milestone period, as applicable, will become payable in respect of such period if the GeneDx group achieves 90% of the applicable Milestone Event revenue target for such period, which amount will scale on a linear basis up to 100% of the applicable Milestone Payment at 100% of the applicable revenue target. The milestone payments would require issuance of shares of Company’s Class A common stock up to 23.2 million shares and 7.7 million shares for the first Milestone Payment and second Milestone Payment, respectively. The fair value of the Milestone Payment which was determined to be $24.4 million as of September 30, 2022 is estimated using a Monte Carlo simulation valuation model and assuming the Company will pay the earn-out in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Business Combination Merger, all Legacy Sema4 stockholders and option holders at that time became entitled to a pro rata share of 19,021,576 earn-out shares and earn-out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condensed consolidated statements of operations and comprehensive loss.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determined that the fair value of the earn-out shares issued to the Legacy Sema4 stockholders as of September 30, 2022 was reduced to $0.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earn-out is determined using a Monte Carlo simulation valuation model.</w:t>
      </w:r>
    </w:p>
    <w:p>
      <w:pPr>
        <w:spacing w:after="0" w:line="166"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stock-based compensation expense is recognized over the longer of the expected achievement period for the market-based requirement and the service requirement. The Company recorded $0.9 million of stock-based compensation expense in relation to the earn-out RSUs for the nine months ended September 30, 2022. In the event that any earn-out RSUs that are forfeited as a result of a failure to achieve the service requirement, the underlying shares will be reallocated on an annual basis to the Legacy Sema4 stockholders and to the Legacy Sema4</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 holders who remain employed as of the date of such reallocation. The Company accounts for the re-allocations to Legacy Sema4 option holders as new grants.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capitalizes certain costs incurred related to the development of its software applications for internal use during the application development state. If a project constitutes an enhancement to existing software, the Company assesses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the Company estimates the useful life of the asset and begins amortization. Upon prospective adoption of the ASU 2018-15, Intangibles – Goodwill and Other – Internal-Use Software (Subtopic 350-40): Customer’s Accounting for Implementation Costs Incurred in a Cloud Computing Arrangement That Is a Service Contract (“ASU 2018-15”) for the annual period ended December 31, 2021, $2.3 million of eligible implementation costs incurred throughout 2021 were capitalized and recorded in the fourth quarter of 2021 in other current and non-current assets, of which $0.1 million, $0.1 million, $0.8 million and $1.3 million were related to the first, second, third and fourth quarter of 2021,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In February 2016, the FASB issued ASU 2016-02, Leases (“Topic 842”), which requires lessees to recognize right-of-use assets and lease liabilities for most leases on their balance sheets. Expense recognition for lessees under ASC 842 is similar to current lease accounting. ASC 842 requires enhanced disclosures to help the financial statement users better understand the amount, timing, and uncertainty of cash flows arising from leases. The Company adopted ASC 842 as of January 1, 2022, utilizing the modified retrospective adoption approach. In transition to the ASC 842, the Company elected to use the package of practical expedients permitted under the transition guidance that allowed us to not reassess: (i) whether any expired or existing contracts are or contain leases, (ii) the lease classification for any expired or existing leases, or (iii) initial direct costs for any existing leases. Additionally, the Company did not elect the hindsight practical expedient which would have permitted the use of hindsight in determining the lease term and assessing impairment. The Company elected to combine lease and non-lease components that are fixed and also elected not to recognize right-of-use assets and lease liabilities for leases with terms of 12 months or less (“short-term leases”). The adoption of the ASC 842 as of January 1, 2022, resulted in the recognition of operating lease right-of-use assets and operating lease liabilities of $39.2 million and $42.2 million, respectively. The adoption did not have material impact on finance leases. The adoption did not have material impact on the condensed consolidated statements of operations and comprehensive loss. Refer to </w:t>
      </w:r>
      <w:r>
        <w:rPr>
          <w:rFonts w:ascii="Arial" w:cs="Arial" w:eastAsia="Arial" w:hAnsi="Arial"/>
          <w:sz w:val="15"/>
          <w:szCs w:val="15"/>
          <w:i w:val="1"/>
          <w:iCs w:val="1"/>
          <w:color w:val="auto"/>
        </w:rPr>
        <w:t>“Note 9 Leases”</w:t>
      </w:r>
      <w:r>
        <w:rPr>
          <w:rFonts w:ascii="Arial" w:cs="Arial" w:eastAsia="Arial" w:hAnsi="Arial"/>
          <w:sz w:val="15"/>
          <w:szCs w:val="15"/>
          <w:color w:val="auto"/>
        </w:rPr>
        <w:t xml:space="preserve"> for a discussion of the Company’s lease accounting following the adoption of ASC 842.</w:t>
      </w:r>
    </w:p>
    <w:p>
      <w:pPr>
        <w:spacing w:after="0" w:line="337"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Company adopted ASU 2021-10 effective January 1, 2022. The Company did not receive any such grants during the nine months ended September 30,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new credit losses standard changes the impairment model for most financial assets and certain other instruments. For trade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receivables, contract assets recognized as 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consolidated financial statements and related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CMLS Business Combination</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July 22, 2021, the Company consummated the Business Combination (as defined in Note 1) and received net cash proceeds of $510.0 million.</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Pursuant to the Business Combination, the following occurred:</w:t>
      </w:r>
    </w:p>
    <w:p>
      <w:pPr>
        <w:spacing w:after="0" w:line="16" w:lineRule="exact"/>
        <w:rPr>
          <w:sz w:val="20"/>
          <w:szCs w:val="20"/>
          <w:color w:val="auto"/>
        </w:rPr>
      </w:pPr>
    </w:p>
    <w:p>
      <w:pPr>
        <w:jc w:val="both"/>
        <w:ind w:left="640" w:hanging="316"/>
        <w:spacing w:after="0" w:line="248"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spacing w:after="0" w:line="141"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share of CMLS’s Class B common stock was automatically converted into common stock of the Company.</w:t>
      </w:r>
    </w:p>
    <w:p>
      <w:pPr>
        <w:spacing w:after="0" w:line="16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13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“Business Combination PIPE Investment”). Concurrently with the closing of the Business Combination, the Company consummated the Business Combination PIPE Investment.</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giving effect to the Business Combination Merger, the redemption of public shares and the conversion of the CMLS Class B common stock as described above, and the consummation of the Business Combination PIPE Investment, there were 240,190,402 shares of the Company’s common stock issued and outstanding.</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2021, the Company recorded $51.8 million of transaction costs which consisted of direct, incremental legal, professional, accounting, and other third-party fees that were directly related to the execution of the Business Combination Merger in additional paid-in capital. Upon consummation of the Business Combination Merger, $9.0 million of the transaction costs relates to costs incurred by Legacy Sema4 and reclassed to offset against equity from prepaid expense and other current assets.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 Acquisition</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discussed in Note 1, on April 29, 2022, the Company completed the Acquisition of GeneDx. At the closing of the Acquisition, the Company paid OPKO gross cash consideration of $150 million (before deduction of transaction expenses and other customary purchase price adjustments) and issued to OPKO 80 million shares of the Company’s Class A common stock ($172 million based on the closing date share price of $2.15 per share). A portion of this cash ($13.4 million) and share consideration (8.3 million shares) will be held in escrow for 12 months following the closing date of the Acquisition. In addition, up to $150 million is payable following the closing of the Acquisition, if certain revenue-based milestones are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the Company’s Class A common stock (valued at $4.86 per share, subject to adjustment for stock splits and similar changes), with such mix to be determined in the Company’s sole discretion. Concurrently with the closing of the Acquisition, the Company also issued and sold in private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placement 50,000,000 shares of the Company’s Class A common stock to certain institutional investors for aggregate gross proceeds of $200 million (the “Acquisition PIPE Investment”).</w:t>
      </w:r>
    </w:p>
    <w:p>
      <w:pPr>
        <w:spacing w:after="0" w:line="128"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For the nine months ended September 30, 2022, $12.1 million of GeneDx Acquisition-related costs are reflected within general and administrative expenses in the Company’s condensed consolidated statements of operations and comprehensive loss. These costs include third-party professional firms’ services related to due diligence, advisory and legal services. The Company’s consolidated results include $45.6 million of revenue and $(8.6) million of pretax loss for the three months ended September 30, 2022 and $71.7 million of revenue and $(17.6) million of pretax loss for the nine months ended September 30, 2022 from GeneDx.</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164" w:lineRule="exact"/>
        <w:rPr>
          <w:sz w:val="20"/>
          <w:szCs w:val="20"/>
          <w:color w:val="auto"/>
        </w:rPr>
      </w:pPr>
    </w:p>
    <w:p>
      <w:pPr>
        <w:jc w:val="both"/>
        <w:ind w:right="100" w:firstLine="318"/>
        <w:spacing w:after="0" w:line="304" w:lineRule="auto"/>
        <w:rPr>
          <w:sz w:val="20"/>
          <w:szCs w:val="20"/>
          <w:color w:val="auto"/>
        </w:rPr>
      </w:pPr>
      <w:r>
        <w:rPr>
          <w:rFonts w:ascii="Arial" w:cs="Arial" w:eastAsia="Arial" w:hAnsi="Arial"/>
          <w:sz w:val="15"/>
          <w:szCs w:val="15"/>
          <w:color w:val="auto"/>
        </w:rPr>
        <w:t>The pro forma information below gives effect to the Acquisition as if it had been completed on January 1, 2021 (“the pro forma acquisition date”). The pro forma information is not necessarily indicative of the Company’s revenue results had the Acquisition been completed on the pro forma acquisition date, nor is it necessarily indicative of the Company’s future results. The pro forma revenue information reflects GeneDx’s historic revenue and does not include any additional revenue opportunities following the Acquisition. The purchase price allocations for the assets acquired and liabilities assumed are based on preliminary valuations and are subject to change as the Company obtains additional information during the acquisition measurement period. Increases or decreases in the estimated fair values of the net assets acquired may impact the Company’s consolidated statements of operations and comprehensive loss in future periods. The Company expects that the values assigned to the assets acquired and liabilities assumed will be finalized during the one-year measurement period following the Acquisition closing date. The pro forma revenues and net loss include the following adjustments based on the Company’s preliminary analysis and are subject to change as additional analysis is performed:</w:t>
      </w:r>
    </w:p>
    <w:p>
      <w:pPr>
        <w:spacing w:after="0" w:line="319"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revised amortization expense resulting from the acquired intangible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historical intercompany revenue recognized by GeneDx with OPKO or other related parties,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 benefits resulting from the deferred tax liabilities acquired,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revised stock based compensation reflecting the inducement awards issued to the GeneDx employees.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5"/>
                <w:szCs w:val="15"/>
                <w:color w:val="auto"/>
              </w:rPr>
            </w:pPr>
          </w:p>
        </w:tc>
        <w:tc>
          <w:tcPr>
            <w:tcW w:w="2640" w:type="dxa"/>
            <w:vAlign w:val="bottom"/>
            <w:gridSpan w:val="4"/>
          </w:tcPr>
          <w:p>
            <w:pPr>
              <w:jc w:val="right"/>
              <w:ind w:right="258"/>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4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47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r>
      <w:tr>
        <w:trPr>
          <w:trHeight w:val="225"/>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83,234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221,604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r>
      <w:tr>
        <w:trPr>
          <w:trHeight w:val="146"/>
        </w:trPr>
        <w:tc>
          <w:tcPr>
            <w:tcW w:w="4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5"/>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 income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r>
    </w:tbl>
    <w:p>
      <w:pPr>
        <w:spacing w:after="0" w:line="226" w:lineRule="exact"/>
        <w:rPr>
          <w:sz w:val="20"/>
          <w:szCs w:val="20"/>
          <w:color w:val="auto"/>
        </w:rPr>
      </w:pPr>
    </w:p>
    <w:p>
      <w:pPr>
        <w:jc w:val="both"/>
        <w:ind w:right="100" w:firstLine="318"/>
        <w:spacing w:after="0" w:line="365" w:lineRule="auto"/>
        <w:rPr>
          <w:sz w:val="20"/>
          <w:szCs w:val="20"/>
          <w:color w:val="auto"/>
        </w:rPr>
      </w:pPr>
      <w:r>
        <w:rPr>
          <w:rFonts w:ascii="Arial" w:cs="Arial" w:eastAsia="Arial" w:hAnsi="Arial"/>
          <w:sz w:val="15"/>
          <w:szCs w:val="15"/>
          <w:color w:val="auto"/>
        </w:rPr>
        <w:t>For three months ended September 30, 2022 and 2021 pro forma revenues included GeneDx revenue of $45.6 million and $29.8 million, respectively. The increase of $15.8 million which represents 50% in GeneDx revenue was a result of an increase in both volumes and average reimbursement rates.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Revenue</w:t>
      </w:r>
    </w:p>
    <w:p>
      <w:pPr>
        <w:spacing w:after="0" w:line="177" w:lineRule="exact"/>
        <w:rPr>
          <w:sz w:val="20"/>
          <w:szCs w:val="20"/>
          <w:color w:val="auto"/>
        </w:rPr>
      </w:pPr>
    </w:p>
    <w:p>
      <w:pPr>
        <w:jc w:val="both"/>
        <w:ind w:right="100" w:firstLine="318"/>
        <w:spacing w:after="0" w:line="318" w:lineRule="auto"/>
        <w:rPr>
          <w:sz w:val="20"/>
          <w:szCs w:val="20"/>
          <w:color w:val="auto"/>
        </w:rPr>
      </w:pPr>
      <w:r>
        <w:rPr>
          <w:rFonts w:ascii="Arial" w:cs="Arial" w:eastAsia="Arial" w:hAnsi="Arial"/>
          <w:sz w:val="15"/>
          <w:szCs w:val="15"/>
          <w:color w:val="auto"/>
        </w:rPr>
        <w:t>The Company’s diagnostic test revenue contracts typically consist of a single performance obligation to deliver diagnostic testing services to the ordering facility or patient and therefore allocation of the contract transaction price is generally not applicable. Revenue from diagnostic testing services is recorded at the estimated transaction price, subject to the constraint for variable consideration, upon transfer of control of the service. Control over diagnostic testing services is generally transferred at a point in time when the customer obtains control of the promised service which is upon delivery of the test.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77"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Company enters into both short-term and long-term project-based collaboration and service agreements with third parties, whereby the Company provides diagnostic testing, research and related data aggregation reporting services.</w:t>
      </w: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consideration to which the Company is entitled pursuant to its collaboration and service agreements includes non-refundable upfront payments, fixed and variable payments based upon the achievement of certain milestones during the contract term. Non-refundable upfront payments are generally received in advance of performing the services and, therefore, are recorded as a contract liability upon receipt. Fixed and variable milestone payments are included in the transaction price only when it is probable that doing so will not result in a significant reversal of cumulative revenue recognized when the uncertainty associated with the milestone is subsequently resolved. Revenue for such collaboration and service agreements is recognized over time using an input measure based on costs incurred to satisfy the performance obligation.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disaggregated revenue by payor category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96"/>
              </w:rPr>
              <w:t>Three months ended September 30,</w:t>
            </w:r>
          </w:p>
        </w:tc>
      </w:tr>
      <w:tr>
        <w:trPr>
          <w:trHeight w:val="24"/>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64,391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36,738</w:t>
            </w: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r>
      <w:tr>
        <w:trPr>
          <w:trHeight w:val="225"/>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Self-pay patients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41,410</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51"/>
        </w:trPr>
        <w:tc>
          <w:tcPr>
            <w:tcW w:w="8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133,251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123,395</w:t>
            </w: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23,075</w:t>
            </w:r>
          </w:p>
        </w:tc>
      </w:tr>
      <w:tr>
        <w:trPr>
          <w:trHeight w:val="225"/>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Self-pay patients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154,394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Reassessment of variable consideration</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41"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For the three months ended September 30, 2022, the quarterly change in estimate included a further decrease in revenue related to a payor, as further disclosed in the “—Certain payor matters” below, for tests in which the performance obligation of delivering the test results was met in prior periods. The downward adjustment was recorded based on the Company’s updated estimate as of September 30, 2022. The decrease was further offset by other upward adjustments made for tests in which the performance obligation of delivering the test results was met in prior periods related to other payors. On a net basis, the Company’s change in estimate did not result in a material change in the current quarter’s revenue.</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During the second quarter of 2022, the Company recorded $30.1 million decrease to revenue for tests in which the performance obligation of delivering the test results was met in the first quarter of 2022 and prior years. $24.2 million of this decrease is related to the years December 31, 2021 and prior. The change in estimate is a result of changes in the estimated transaction price due to contractual adjustments, obtaining updated information from payors and patients that was unknown at the time the performance obligation was met and potential and actual settlements with third party payors. As described in more detail below, third-party payors may decide to deny payment or seek to recoup payments for tests performed by the Company for a number of reasons and, as a result, the Company may be required to refund payments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already received, and the Company’s revenues may be subject to retroactive adjustment as a result. The Company processes requests for recoupment from third-party payors in the ordinary course of its business and reflects in the Company’s transaction price estimations. See “—Certain payor matters” below for further details regarding an ongoing matter related to certain overpayments the Company allegedly received from a third-party payor; the Company has established certain liabilities and reversed certain of its previously recorded revenue as a result of this matter and other potential settlements with payors.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payor matters</w:t>
      </w:r>
    </w:p>
    <w:p>
      <w:pPr>
        <w:spacing w:after="0" w:line="177"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21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5"/>
          <w:szCs w:val="15"/>
          <w:color w:val="auto"/>
        </w:rPr>
        <w:t>As an integral part of the Company’s billing compliance program, in the third quarter of 2022, the Company instituted a third-party review of billing claims and compliance practices, and initiated improvements including implementing a package of new billing compliance policies and procedures and</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strengthening the Company’s billing compliance team. 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157"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The Company is currently engaged in discussions with one of the Company’s third-party payors regarding certain overpayments the Company allegedly received from the payor for services that the payor alleges are not covered by, or were not otherwise properly billed to, the payor. This payor has asserted in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informal discussions that it will seek recovery or recoupment in relation to the alleged overpayments if the matter cannot be settled. While the Company believes it has defenses to the payor’s allegations, it is currently engaged in discussions seeking to resolve the matter and any claim that may arise in connection therewith in a mutually satisfactory manner.</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a result of this matter, and in connection with a review of certain billing policies and procedures undertaken by management, the Company considered</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need to establish reserves for potential recoupments of payments previously made by third-party payors. As of September 30, 2022, the Company continues to carry liabilities that were initially established as of June 30, 2022 as a result of this matter and other potential settlements with payors, as adjusted as of September 30, 2022, based on the current facts and an evaluation of anticipated results that the Company believes reasonable for all potential recoupments for all third-party payors combined. As of September 30, 2022, $39.8 million of liabilities were recorded in Accounts payable and accrued</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expenses and other liabilities. See Note 15, “Supplemental Financial Information”.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certain long-term collaboration service agreements with original expected durations of more than one year, the Company’s obligations pursuant to such agreement represents partially unsatisfied performance obligations as 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September 30, 2022. The revenues under the agreements are estimated to be approximately $7.6 million. The Company expects to recognize the majority of this revenue over the next 2.5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and service agreements for which revenue is recognized over time but the Company’s right to bill the customer is contingent upon the achievement of contractually-defined milestones.</w:t>
      </w:r>
    </w:p>
    <w:p>
      <w:pPr>
        <w:spacing w:after="0" w:line="16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Contract liabilities consist of customer payments in excess of revenues recognized. For collaboration and service agreements, the Company assesses the performance obligations and recognizes contract liabilities as current or non-current based upon forecasted performance.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78"/>
              <w:spacing w:after="0"/>
              <w:rPr>
                <w:sz w:val="20"/>
                <w:szCs w:val="20"/>
                <w:color w:val="auto"/>
              </w:rPr>
            </w:pPr>
            <w:r>
              <w:rPr>
                <w:rFonts w:ascii="Arial" w:cs="Arial" w:eastAsia="Arial" w:hAnsi="Arial"/>
                <w:sz w:val="14"/>
                <w:szCs w:val="14"/>
                <w:b w:val="1"/>
                <w:bCs w:val="1"/>
                <w:color w:val="auto"/>
              </w:rPr>
              <w:t>Contract</w:t>
            </w:r>
          </w:p>
        </w:tc>
      </w:tr>
      <w:tr>
        <w:trPr>
          <w:trHeight w:val="189"/>
        </w:trPr>
        <w:tc>
          <w:tcPr>
            <w:tcW w:w="8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Assets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Liabilities</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1,861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transferred to receivables</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Customer prepayments</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presents contract assets and contract liabilities with respect to the same customer contracts on a net basis on its condensed consolidated balance sheets. As of September 30, 2022, there were $1.4 million current contract assets recorded and $0.5 million of contract liabilities were recorded as of December 31, 2021.</w:t>
      </w:r>
    </w:p>
    <w:p>
      <w:pPr>
        <w:spacing w:after="0" w:line="16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Revenues recognized that were included in the contract liability balance at the beginning of each period were $0.7 million and $0.3 million for the three months ended September 30, 2022 and September 30, 2021, respectively and $1.7 million and $2.1 million for the nine months ended September 30, 2022 and September 30, 2021,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fulfill contracts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prepaid are expensed in line with the pattern of revenue recognition. Prepayment of amounts prior to the costs being incurred are recognized on the condensed consolidated balance sheets as current or non-current based upon forecasted performance.</w:t>
      </w:r>
    </w:p>
    <w:p>
      <w:pPr>
        <w:spacing w:after="0" w:line="1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September 30, 2022 and December 31, 2021, the Company had outstanding deferred costs to fulfill contracts of $0.3 million and $1.8 million, respectively, which were recorded as other current assets on the condensed consolidated balance sheets. The Company expect to make additional payments to ISMMS under an amended subcontract agreement with ISMMS.</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Amortization of deferred costs was $0.5 million and $0.3 million for the three months ended September 30, 2022 and 2021, respectively and $1.5 million and $0.9 million for the nine months ended September 30, 2022 and 2021, respectively. The amortization costs were recorded in the cost of services on the condensed consolidated statements of operations and comprehensive loss.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2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217" w:lineRule="exact"/>
        <w:rPr>
          <w:sz w:val="20"/>
          <w:szCs w:val="20"/>
          <w:color w:val="auto"/>
        </w:rPr>
      </w:pPr>
    </w:p>
    <w:p>
      <w:pPr>
        <w:ind w:left="400"/>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207" w:lineRule="exact"/>
        <w:rPr>
          <w:sz w:val="20"/>
          <w:szCs w:val="20"/>
          <w:color w:val="auto"/>
        </w:rPr>
      </w:pPr>
    </w:p>
    <w:p>
      <w:pPr>
        <w:ind w:left="400" w:right="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significant to the measurement of fair value but are supported by little to no market data.</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finance leases, warrant liability and earn-out contingent liabilities, contingent consideration based on milestone achievement and long-term debt. The Company’s cash and cash equivalents, restricted cash, accounts receivable, accounts payable and accrued liabilities approximate their fair value due to the relatively short-term nature of these accounts.</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Company’s finance leases are classified within Level 1 of the fair value hierarchy because such finance lease agreements bear interest at rates for instruments with similar characteristics; accordingly, the carrying value of these liabilities approximate their fair values.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loan from the Connecticut Department of Economic and Community Development is classified within Level 2 of the fair value hierarchy. As of September 30, 2022, the loan was recorded at its carrying value of $11 million with the current portion of $0.3 million recorded in other current liabilities within the condensed consolidated balance sheet. The fair value was $8.8 million, which is estimated based on discounted cash flows using the yields of similar debt instruments of other companies with similar credit profiles.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September 30, 2022</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5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Earn-out contingent liability</w:t>
            </w:r>
          </w:p>
        </w:tc>
        <w:tc>
          <w:tcPr>
            <w:tcW w:w="3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based on milestone achievement</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24,390</w:t>
            </w:r>
          </w:p>
        </w:tc>
      </w:tr>
      <w:tr>
        <w:trPr>
          <w:trHeight w:val="219"/>
        </w:trPr>
        <w:tc>
          <w:tcPr>
            <w:tcW w:w="550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24,390</w:t>
            </w:r>
          </w:p>
        </w:tc>
      </w:tr>
      <w:tr>
        <w:trPr>
          <w:trHeight w:val="20"/>
        </w:trPr>
        <w:tc>
          <w:tcPr>
            <w:tcW w:w="5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21"/>
        </w:trPr>
        <w:tc>
          <w:tcPr>
            <w:tcW w:w="550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25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3"/>
        </w:trPr>
        <w:tc>
          <w:tcPr>
            <w:tcW w:w="550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December 31, 2021</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Earn-out contingent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10,244</w:t>
            </w:r>
          </w:p>
        </w:tc>
      </w:tr>
      <w:tr>
        <w:trPr>
          <w:trHeight w:val="244"/>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Of the $191.4 million cash and cash equivalents presented on the condensed consolidated balance sheets as of September 30, 2022, $35.5 million was in money market funds and was classified within Level 1 of the fair value hierarchy as the fair value was based on quoted prices in active markets.</w:t>
      </w:r>
    </w:p>
    <w:p>
      <w:pPr>
        <w:spacing w:after="0" w:line="5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 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on the condensed consolidated statements of operations and comprehensive loss at each reporting date. As of September 30, 2022,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earn-out contingent liabilities include the Company’s contingent obligation to issue earn-out shares for Legacy Sema4 stockholders (“Earn-out Shares”) as well as the Company’s contingent obligation to make additional Milestone Payments of up to $150 million to OPKO if certain revenue-based milestones are achieved for each of the fiscal years ended December 31, 2022 and December 31, 2023.</w:t>
      </w:r>
    </w:p>
    <w:p>
      <w:pPr>
        <w:spacing w:after="0" w:line="201" w:lineRule="exact"/>
        <w:rPr>
          <w:sz w:val="20"/>
          <w:szCs w:val="20"/>
          <w:color w:val="auto"/>
        </w:rPr>
      </w:pPr>
    </w:p>
    <w:p>
      <w:pPr>
        <w:ind w:right="60" w:firstLine="318"/>
        <w:spacing w:after="0" w:line="284" w:lineRule="auto"/>
        <w:rPr>
          <w:sz w:val="20"/>
          <w:szCs w:val="20"/>
          <w:color w:val="auto"/>
        </w:rPr>
      </w:pPr>
      <w:r>
        <w:rPr>
          <w:rFonts w:ascii="Arial" w:cs="Arial" w:eastAsia="Arial" w:hAnsi="Arial"/>
          <w:sz w:val="15"/>
          <w:szCs w:val="15"/>
          <w:color w:val="auto"/>
        </w:rPr>
        <w:t>The Earn-out Shares are accounted for as a liability and required remeasurement at each reporting date. The estimated fair value of the total Earn-out Shares as of September 30, 2022 is determined based on a Monte Carlo simulation valuation model. The fair value of the earn-out contingent liability is sensitive to the expected volatility for the Company and the Company’s Class A common stock price which is sensitive to changes in the forecasts of earnings and/or the relevant operating metrics. The expected volatility for the Company is based on the historical volatility of selected guideline companies, the</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historical volatility of the Company, and the implied volatility of the Company’s call options</w:t>
      </w:r>
      <w:r>
        <w:rPr>
          <w:rFonts w:ascii="Arial" w:cs="Arial" w:eastAsia="Arial" w:hAnsi="Arial"/>
          <w:sz w:val="19"/>
          <w:szCs w:val="19"/>
          <w:color w:val="auto"/>
        </w:rPr>
        <w:t>.</w:t>
      </w:r>
      <w:r>
        <w:rPr>
          <w:rFonts w:ascii="Arial" w:cs="Arial" w:eastAsia="Arial" w:hAnsi="Arial"/>
          <w:sz w:val="18"/>
          <w:szCs w:val="18"/>
          <w:color w:val="auto"/>
        </w:rPr>
        <w:t xml:space="preserve"> The key assumptions utilized in determining the Earn-out Shares valuation as of September 30, 2022 and June 30, 2022 were as follows:</w:t>
      </w:r>
    </w:p>
    <w:p>
      <w:pPr>
        <w:spacing w:after="0" w:line="25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360" w:type="dxa"/>
            <w:vAlign w:val="bottom"/>
          </w:tcPr>
          <w:p>
            <w:pPr>
              <w:spacing w:after="0"/>
              <w:rPr>
                <w:sz w:val="15"/>
                <w:szCs w:val="15"/>
                <w:color w:val="auto"/>
              </w:rPr>
            </w:pPr>
          </w:p>
        </w:tc>
        <w:tc>
          <w:tcPr>
            <w:tcW w:w="2560" w:type="dxa"/>
            <w:vAlign w:val="bottom"/>
            <w:gridSpan w:val="2"/>
          </w:tcPr>
          <w:p>
            <w:pPr>
              <w:ind w:left="640"/>
              <w:spacing w:after="0"/>
              <w:rPr>
                <w:sz w:val="20"/>
                <w:szCs w:val="20"/>
                <w:color w:val="auto"/>
              </w:rPr>
            </w:pPr>
            <w:r>
              <w:rPr>
                <w:rFonts w:ascii="Arial" w:cs="Arial" w:eastAsia="Arial" w:hAnsi="Arial"/>
                <w:sz w:val="14"/>
                <w:szCs w:val="14"/>
                <w:b w:val="1"/>
                <w:bCs w:val="1"/>
                <w:color w:val="auto"/>
              </w:rPr>
              <w:t>September 30, 2022</w:t>
            </w:r>
          </w:p>
        </w:tc>
        <w:tc>
          <w:tcPr>
            <w:tcW w:w="2160" w:type="dxa"/>
            <w:vAlign w:val="bottom"/>
          </w:tcPr>
          <w:p>
            <w:pPr>
              <w:ind w:left="660"/>
              <w:spacing w:after="0"/>
              <w:rPr>
                <w:sz w:val="20"/>
                <w:szCs w:val="20"/>
                <w:color w:val="auto"/>
              </w:rPr>
            </w:pPr>
            <w:r>
              <w:rPr>
                <w:rFonts w:ascii="Arial" w:cs="Arial" w:eastAsia="Arial" w:hAnsi="Arial"/>
                <w:sz w:val="14"/>
                <w:szCs w:val="14"/>
                <w:b w:val="1"/>
                <w:bCs w:val="1"/>
                <w:color w:val="auto"/>
              </w:rPr>
              <w:t>June 30, 2022</w:t>
            </w:r>
          </w:p>
        </w:tc>
      </w:tr>
      <w:tr>
        <w:trPr>
          <w:trHeight w:val="24"/>
        </w:trPr>
        <w:tc>
          <w:tcPr>
            <w:tcW w:w="336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$1.26</w:t>
            </w: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107.5%</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87.5%</w:t>
            </w:r>
          </w:p>
        </w:tc>
      </w:tr>
      <w:tr>
        <w:trPr>
          <w:trHeight w:val="22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24"/>
        </w:trPr>
        <w:tc>
          <w:tcPr>
            <w:tcW w:w="3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4.00%</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2.81%</w:t>
            </w:r>
          </w:p>
        </w:tc>
      </w:tr>
    </w:tbl>
    <w:p>
      <w:pPr>
        <w:spacing w:after="0" w:line="32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fair value determined and recorded as of June 30, 2022 and December 31, 2021 was $0.2 million and $10.2 million, respectively. During the three and nine months ended September 30, 2022 a gain of $0.2 million and $10.2 million was recorded, respectively, in the change in fair market value of warrant and earn-out contingent liability in the condensed consolidated statements of operations and comprehensive loss based on re-measurement performed as of the period end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Milestone Payments contingent liability represents additional acquisition consideration to pay up to $150 million based on the achievement of GeneDx revenue-based milestones in fiscal years 2022 and 2023. Subject to the terms and conditions of the Acquisition Merger Agreement, (a) the first Milestone Payment of $112.5 million will become due and payable if the revenue of the GeneDx group for the fiscal year 2022 equals or exceeds $163 million and (b) the second Milestone Payment of $37.5 million will become due and payable if the revenue of the GeneDx group for the fiscal year 2023 equals or exceeds $219 million; provided that 80% of the Milestone Payment for the first milestone period or the second milestone period, as applicable, will become payable in respect of such period if the GeneDx group achieves 90% of the applicable Milestone Event revenue target for such period, which amount will scale on a linear basis up to 100% of the applicable Milestone Payment at 100% of the applicable revenue target. Each Milestone Payment will be satisfied through the payment and/or issuance of a combination of cash and shares of the Company’s Class A common stock (valued at $4.86 per share), with such mix to be determined at the Company’s sole discretion.</w:t>
      </w:r>
    </w:p>
    <w:p>
      <w:pPr>
        <w:spacing w:after="0" w:line="15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recorded the fair value of the Milestone Payments for $24.4 million as of September 30, 2022, of which $19.9 million is presented as current liabilities in the condensed consolidated balance sheets. For the three and nine months ended September 30, 2022, a gain of $10.6 million and $27.6 million, respectively, was recorded in the change in fair market value of warrant and earn-out contingent liabilities in the condensed consolidated statements of operations and comprehensive loss based on re-measurement performed as of the period end date. The fair value was determined based on a Monte Carlo simulation valuation model and the key assumptions include revenue projections, revenue volatility of 25%, the Company’s expectation to settle the liability in shares and share price of $0.88 per share.</w:t>
      </w:r>
    </w:p>
    <w:p>
      <w:pPr>
        <w:spacing w:after="0" w:line="1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earn-out contingent liabilities are categorized as Level 3 of the fair value hierarchy as the Company utilizes unobservable inputs in estimating the fair value. There were no transfers between Level 1, Level 2 and Level 3 during the periods presented.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As of</w:t>
            </w:r>
          </w:p>
        </w:tc>
      </w:tr>
      <w:tr>
        <w:trPr>
          <w:trHeight w:val="136"/>
        </w:trPr>
        <w:tc>
          <w:tcPr>
            <w:tcW w:w="8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00"/>
              <w:spacing w:after="0" w:line="137" w:lineRule="exact"/>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1"/>
                <w:szCs w:val="11"/>
                <w:color w:val="auto"/>
              </w:rPr>
            </w:pPr>
          </w:p>
        </w:tc>
        <w:tc>
          <w:tcPr>
            <w:tcW w:w="1260" w:type="dxa"/>
            <w:vAlign w:val="bottom"/>
          </w:tcPr>
          <w:p>
            <w:pPr>
              <w:jc w:val="center"/>
              <w:ind w:right="135"/>
              <w:spacing w:after="0" w:line="137" w:lineRule="exact"/>
              <w:rPr>
                <w:sz w:val="20"/>
                <w:szCs w:val="20"/>
                <w:color w:val="auto"/>
              </w:rPr>
            </w:pPr>
            <w:r>
              <w:rPr>
                <w:rFonts w:ascii="Arial" w:cs="Arial" w:eastAsia="Arial" w:hAnsi="Arial"/>
                <w:sz w:val="14"/>
                <w:szCs w:val="14"/>
                <w:b w:val="1"/>
                <w:bCs w:val="1"/>
                <w:color w:val="auto"/>
                <w:w w:val="92"/>
              </w:rPr>
              <w:t>December 31,</w:t>
            </w:r>
          </w:p>
        </w:tc>
      </w:tr>
      <w:tr>
        <w:trPr>
          <w:trHeight w:val="184"/>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2021</w:t>
            </w:r>
          </w:p>
        </w:tc>
      </w:tr>
      <w:tr>
        <w:trPr>
          <w:trHeight w:val="24"/>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28,552</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Equipment under finance leases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21,384</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25,693</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finance lease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other equipment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r>
      <w:tr>
        <w:trPr>
          <w:trHeight w:val="21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114,625</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(51,906)</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three months ended September 30, 2022 and 2021, depreciation and amortization expense was $7.0 million and $5.5 million. For the nine months ended September 30, 2022 and 2021, depreciation and amortization expense was $19.4 million and $16.0 million, respectively. This included software amortization expense of $1.7 million and $1.4 million for the three months ended September 30, 2022 and 2021, respectively and $5.0 million and $4.0 million for the nine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ended September 30, 2022 and 2021, respectively. Depreciation and amortization expense is included within the condensed consolidated statements of operations and comprehensive loss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60" w:type="dxa"/>
            <w:vAlign w:val="bottom"/>
            <w:gridSpan w:val="5"/>
          </w:tcPr>
          <w:p>
            <w:pPr>
              <w:jc w:val="right"/>
              <w:ind w:right="375"/>
              <w:spacing w:after="0"/>
              <w:rPr>
                <w:sz w:val="20"/>
                <w:szCs w:val="20"/>
                <w:color w:val="auto"/>
              </w:rPr>
            </w:pPr>
            <w:r>
              <w:rPr>
                <w:rFonts w:ascii="Arial" w:cs="Arial" w:eastAsia="Arial" w:hAnsi="Arial"/>
                <w:sz w:val="14"/>
                <w:szCs w:val="14"/>
                <w:b w:val="1"/>
                <w:bCs w:val="1"/>
                <w:color w:val="auto"/>
              </w:rPr>
              <w:t>Three months ended September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39"/>
        </w:trPr>
        <w:tc>
          <w:tcPr>
            <w:tcW w:w="8180" w:type="dxa"/>
            <w:vAlign w:val="bottom"/>
          </w:tcPr>
          <w:p>
            <w:pPr>
              <w:spacing w:after="0"/>
              <w:rPr>
                <w:sz w:val="24"/>
                <w:szCs w:val="24"/>
                <w:color w:val="auto"/>
              </w:rPr>
            </w:pPr>
          </w:p>
        </w:tc>
        <w:tc>
          <w:tcPr>
            <w:tcW w:w="3060" w:type="dxa"/>
            <w:vAlign w:val="bottom"/>
            <w:gridSpan w:val="5"/>
          </w:tcPr>
          <w:p>
            <w:pPr>
              <w:jc w:val="right"/>
              <w:ind w:right="415"/>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4,197</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19,425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Related party revenues primarily include diagnostic testing revenues generated by GeneDx from BioReference Laboratories, Inc. (“BRLI”), which is a subsidiary of OPKO. The prices charged represent market rates. Revenue recorded from this contract was $0.6 million and $1.0 million for the three and nine months ended September 30, 2022, respectively.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9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three months ended September 30, 2022 and 2021, the Company incurred certain related party costs. There were no expenses recognized under the Transition Services Agreement with ISMMS (the “ISMMS TSA”) for the three months ended September 30, 2022 and 2021. There were no expenses recognized under the ISMMS TSA for the nine months ended September 30, 2022 and $1.4 million for the nine months ended September 30, 2021 which is presented within related party expenses in the condensed consolidated statements of operations and comprehensive loss. The Company had no ISMMS TSA payables due to ISMMS as of September 30, 2022 and December 31, 2021. The ISMMS TSA expired on March 28, 2021.</w:t>
      </w:r>
    </w:p>
    <w:p>
      <w:pPr>
        <w:spacing w:after="0" w:line="11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Expenses recognized pursuant to other service arrangements with ISMMS, including certain sub-lease arrangements the Company has through ISMMS, totaled $2.0 million and $1.5 million for the three months ended September 30, 2022 and 2021, respectively and $6.2 million and $4.1 million for the nine months ended September 30, 2022 and 2021, respectively. These amounts include certain lease expenses the Company incurs and pay to ISMMS for certain sub-lease arrangements. They are included in either cost of services or related party expenses on the condensed consolidated statements of operations and comprehensive loss depending on the particular activity to which the costs relate. Payables due to ISMMS for the other service arrangements were $1.5 million and $2.6 million as of September 30, 2022 and December 31, 2021, respectively. These amounts include unpaid lease payments the Company accrued for the payments to be made to ISMMS and are included within due to related parties on the Company’s condensed consolidated balance sheets.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Additionally, the Company has purchased $1.3 million of diagnostic testing kits and materials and $1.3 million was recorded in cost of services for the nine months ended September 30, 2022 from an affiliate of a member of the Board 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Directors who has served in the role since July 2021. The prices paid represent market rates. Payables due were $0 million and $0.1 million as of September 30, 2022 and December 31, 2021, respectively.</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GeneDx and OPKO entered into a Transition Services Agreement dated as of April 29, 2022 (the “OPKO TSA”) pursuant to which OPKO has agreed to provide, at cost, certain services in support of the Acquisition of the GeneDx business through December 31, 2022, subject to certain limited exceptions, in order to facilitate the transactions contemplated by the Acquisition Merger Agreement, including human resources, information technology support, and finance and accounting. The Company recognized $0.5 million and $0.8 million in costs for the three and nine months ended September 30, 2022, respectively. As of September 30, 2022, $0.3 million was unpaid and included in due to related parties in condensed consolidated balance sheets.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also recorded $4.5 million of receivables from OPKO related to the Acquisition closing working capital adjustment. This amount is presented as other current assets in condensed consolidated balance sheets as of September 30, 2022.</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condensed consolidated statements of operations and comprehensive loss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6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rPr>
              <w:t>Three months ended September 30,</w:t>
            </w:r>
          </w:p>
        </w:tc>
      </w:tr>
      <w:tr>
        <w:trPr>
          <w:trHeight w:val="24"/>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1,697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2,800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267"/>
        </w:trPr>
        <w:tc>
          <w:tcPr>
            <w:tcW w:w="8180" w:type="dxa"/>
            <w:vAlign w:val="bottom"/>
          </w:tcPr>
          <w:p>
            <w:pPr>
              <w:spacing w:after="0"/>
              <w:rPr>
                <w:sz w:val="23"/>
                <w:szCs w:val="23"/>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Pr>
          <w:p>
            <w:pPr>
              <w:spacing w:after="0"/>
              <w:rPr>
                <w:sz w:val="23"/>
                <w:szCs w:val="23"/>
                <w:color w:val="auto"/>
              </w:rPr>
            </w:pPr>
          </w:p>
        </w:tc>
      </w:tr>
      <w:tr>
        <w:trPr>
          <w:trHeight w:val="24"/>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1,942</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4,712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3,532</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8,219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5,474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(the “SVB Agreement”)</w:t>
      </w:r>
    </w:p>
    <w:p>
      <w:pPr>
        <w:spacing w:after="0" w:line="2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On November 15, 2021, the Company and Sema4 OpCo, Inc. (together, the “Borrower”) entered into a Loan and Security Agreement (the “SVB Agreement”) with Silicon Valley Bank (“SVB”). The SVB Agreement provides for a revolving credit facility (the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 In connection with entering into the SVB agreement, the Company paid $0.5 million in debt issuance costs during 2021. The Company will pay an additional $0.5 million in fees to SVB at each anniversary of the SVB Agreement date for a total of $1.0 million and these fees are recorded in other current liabilities and other liabilities in the condensed consolidated balance sheets as of September 30, 2022. These costs are capitalized and amortized on a straight-line basis over the contractual term. Any unused fees charged on the Revolver is expensed as incurred.</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obligations under the SVB Agreement are secured by a first priority perfected security interest in substantially all of the Borrower’s assets except for</w:t>
      </w:r>
    </w:p>
    <w:p>
      <w:pPr>
        <w:spacing w:after="0" w:line="51" w:lineRule="exact"/>
        <w:rPr>
          <w:sz w:val="20"/>
          <w:szCs w:val="20"/>
          <w:color w:val="auto"/>
        </w:rPr>
      </w:pPr>
    </w:p>
    <w:p>
      <w:pPr>
        <w:jc w:val="both"/>
        <w:ind w:firstLine="6"/>
        <w:spacing w:after="0" w:line="248" w:lineRule="auto"/>
        <w:tabs>
          <w:tab w:leader="none" w:pos="2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221"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SVB Agreement requires the Borrower to comply with certain financial covenants if Liquidity (as such term is defined in the SVB Agreement) falls below $135.0 million. These financial covenants include (i) a minimum Adjusted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9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was in compliance with all covenants as of September 30, 2022.</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amounts have been drawn under the SVB Agreement as of September 30,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June 2017, ISMMS assigned a loan funding commitment from the Connecticut Department of Economic and Community Development (“DECD”) to the Company (as amended, the “DECD Loan Agreement”). The DECD Loan Agreement,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However, under the terms of the DECD Loan Agreement, the DECD may grant partial principal loan forgiveness of up to $12.3 million in the aggregate. Such forgiveness is contingent upon the Company achieving job creation and retention milestones and $4.5 million has been forgiven as of September 30, 2022. This commitment is collateralized by providing a security interest in certain machinery and equipment the Company acquired from ISMMS, as defined in a separate security agreement.</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outstanding loan balance from the DECD Loan Agreement was $11.0 million as of September 30, 2022 and December 31, 2021.</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17 for a description of certain events occurring after September 30, 2022 related to the DECD Loan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Long-Term Debt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Pr>
          <w:p>
            <w:pPr>
              <w:ind w:left="320"/>
              <w:spacing w:after="0"/>
              <w:rPr>
                <w:sz w:val="20"/>
                <w:szCs w:val="20"/>
                <w:color w:val="auto"/>
              </w:rPr>
            </w:pPr>
            <w:r>
              <w:rPr>
                <w:rFonts w:ascii="Arial" w:cs="Arial" w:eastAsia="Arial" w:hAnsi="Arial"/>
                <w:sz w:val="18"/>
                <w:szCs w:val="18"/>
                <w:color w:val="auto"/>
              </w:rPr>
              <w:t>As of September 30, 2022, long-term debt matures as follows (in thousands):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2"/>
        </w:trPr>
        <w:tc>
          <w:tcPr>
            <w:tcW w:w="9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5"/>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year)</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44"/>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 of current maturities</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July 2021, the Company terminated the Master Loan Agreement by paying off the full amount, including $5.4 million principal and interest and $0.1 million in early payment penalties assessed pursuant to the terms of the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5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w:t>
      </w:r>
    </w:p>
    <w:p>
      <w:pPr>
        <w:spacing w:after="0" w:line="13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July 2021, the Company terminated the Master Lease Agreement by paying off the full amount, including $3.3 million principal and interest and early payment penalties of $0.2 million assessed pursuant to the terms of the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Accounting</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enters into contracts in the normal course of business and assesses whether any such contracts contain a lease. The Company determines if an arrangement is a lease at inception if it conveys the right to control the identified asset for a period of time in exchange for consideration. The Company classifies leases as operating or financing in nature. 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 economic environment on a collateralized basis, unless there is a rate implicit in the lease that is readily determinable.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Pursuant to the terms of the lease agreement, the Company was required to have issued an irrevocable standby letter of credit to the lessor for $0.9 million, which was included in restricted cash on the condensed consolidated balance sheets as of September 30, 2022 and consolidated balance sheets as of December 31, 2021.</w:t>
      </w:r>
    </w:p>
    <w:p>
      <w:pPr>
        <w:spacing w:after="0" w:line="15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finance lease and the land as an operating lease.</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January 2020, the Company entered into a lease agreement which expanded the Company’s existing laboratory facility in Branford, Connecticut. The lease commenced in February 2020 with a 10 year term. The lease includes escalating rent fees over the lease term.</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April 2022, the Company acquired an operating lease for office space and laboratory operations in connection with the Acquisition. The lease includes a base term of 9 years remaining from the date of acquisition and an escalating rent provision.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In July 2022, the Company executed a lease agreement to extend the lease term of existing office spaces, commencing in September 2022 for a period of 13 months.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77"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The Company enters into various finance lease agreements to obtain laboratory equipment that contain bargain purchase commitments at the end of the lease term. The leases are secured by the underlying equipment. As discussed above, the Company also leases a building used for office and laboratory space in which the building is accounted for as a finance lease and the land is as an operating lease. The interest rate used for the Stamford Lease is 13.1%, which is used to measure the operating and finance lease liability. As of December 31, 2021, the finance lease obligations of $3.4 million and $18.4 million were included in other current liabilities and other liabilities, respectively on the consolidated balance sheets.</w:t>
      </w:r>
    </w:p>
    <w:p>
      <w:pPr>
        <w:spacing w:after="0" w:line="15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tables below present financial information associated with the Company’s leases. This information is only presented as of, and for the three and nine months ended, September 30, 2022 because, the Company adopted the ASC 842 using a transition method that does not require application to periods prior to adoption (in thousands).</w:t>
      </w:r>
    </w:p>
    <w:p>
      <w:pPr>
        <w:spacing w:after="0" w:line="178" w:lineRule="exact"/>
        <w:rPr>
          <w:sz w:val="20"/>
          <w:szCs w:val="20"/>
          <w:color w:val="auto"/>
        </w:rPr>
      </w:pPr>
    </w:p>
    <w:p>
      <w:pPr>
        <w:ind w:left="4500"/>
        <w:spacing w:after="0"/>
        <w:tabs>
          <w:tab w:leader="none" w:pos="9820" w:val="left"/>
        </w:tabs>
        <w:rPr>
          <w:sz w:val="20"/>
          <w:szCs w:val="20"/>
          <w:color w:val="auto"/>
        </w:rPr>
      </w:pPr>
      <w:r>
        <w:rPr>
          <w:rFonts w:ascii="Arial" w:cs="Arial" w:eastAsia="Arial" w:hAnsi="Arial"/>
          <w:sz w:val="14"/>
          <w:szCs w:val="14"/>
          <w:b w:val="1"/>
          <w:bCs w:val="1"/>
          <w:color w:val="auto"/>
        </w:rPr>
        <w:t>Classification</w:t>
      </w:r>
      <w:r>
        <w:rPr>
          <w:sz w:val="20"/>
          <w:szCs w:val="20"/>
          <w:color w:val="auto"/>
        </w:rPr>
        <w:tab/>
      </w:r>
      <w:r>
        <w:rPr>
          <w:rFonts w:ascii="Arial" w:cs="Arial" w:eastAsia="Arial" w:hAnsi="Arial"/>
          <w:sz w:val="14"/>
          <w:szCs w:val="14"/>
          <w:b w:val="1"/>
          <w:bCs w:val="1"/>
          <w:color w:val="auto"/>
        </w:rPr>
        <w:t>September 30, 2022</w:t>
      </w:r>
    </w:p>
    <w:p>
      <w:pPr>
        <w:sectPr>
          <w:pgSz w:w="11900" w:h="16838" w:orient="portrait"/>
          <w:cols w:equalWidth="0" w:num="1">
            <w:col w:w="11340"/>
          </w:cols>
          <w:pgMar w:left="320" w:top="313" w:right="239" w:bottom="1440" w:gutter="0" w:footer="0" w:header="0"/>
        </w:sectPr>
      </w:pPr>
    </w:p>
    <w:p>
      <w:pPr>
        <w:spacing w:after="0" w:line="2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7"/>
              </w:rPr>
              <w:t>Assets</w:t>
            </w:r>
          </w:p>
        </w:tc>
        <w:tc>
          <w:tcPr>
            <w:tcW w:w="2420" w:type="dxa"/>
            <w:vAlign w:val="bottom"/>
            <w:gridSpan w:val="2"/>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900" w:type="dxa"/>
            <w:vAlign w:val="bottom"/>
            <w:gridSpan w:val="3"/>
          </w:tcPr>
          <w:p>
            <w:pPr>
              <w:ind w:left="80"/>
              <w:spacing w:after="0"/>
              <w:rPr>
                <w:sz w:val="20"/>
                <w:szCs w:val="20"/>
                <w:color w:val="auto"/>
              </w:rPr>
            </w:pPr>
            <w:r>
              <w:rPr>
                <w:rFonts w:ascii="Arial" w:cs="Arial" w:eastAsia="Arial" w:hAnsi="Arial"/>
                <w:sz w:val="18"/>
                <w:szCs w:val="18"/>
                <w:color w:val="auto"/>
              </w:rPr>
              <w:t>Operating lease assets</w:t>
            </w:r>
          </w:p>
        </w:tc>
        <w:tc>
          <w:tcPr>
            <w:tcW w:w="3700" w:type="dxa"/>
            <w:vAlign w:val="bottom"/>
          </w:tcPr>
          <w:p>
            <w:pPr>
              <w:ind w:left="1260"/>
              <w:spacing w:after="0"/>
              <w:rPr>
                <w:sz w:val="20"/>
                <w:szCs w:val="20"/>
                <w:color w:val="auto"/>
              </w:rPr>
            </w:pPr>
            <w:r>
              <w:rPr>
                <w:rFonts w:ascii="Arial" w:cs="Arial" w:eastAsia="Arial" w:hAnsi="Arial"/>
                <w:sz w:val="18"/>
                <w:szCs w:val="18"/>
                <w:color w:val="auto"/>
                <w:w w:val="86"/>
              </w:rPr>
              <w:t>Operating lease right-of-use assets</w:t>
            </w:r>
          </w:p>
        </w:tc>
        <w:tc>
          <w:tcPr>
            <w:tcW w:w="0" w:type="dxa"/>
            <w:vAlign w:val="bottom"/>
          </w:tcPr>
          <w:p>
            <w:pPr>
              <w:spacing w:after="0"/>
              <w:rPr>
                <w:sz w:val="1"/>
                <w:szCs w:val="1"/>
                <w:color w:val="auto"/>
              </w:rPr>
            </w:pPr>
          </w:p>
        </w:tc>
      </w:tr>
      <w:tr>
        <w:trPr>
          <w:trHeight w:val="225"/>
        </w:trPr>
        <w:tc>
          <w:tcPr>
            <w:tcW w:w="2900" w:type="dxa"/>
            <w:vAlign w:val="bottom"/>
            <w:gridSpan w:val="3"/>
          </w:tcPr>
          <w:p>
            <w:pPr>
              <w:ind w:left="80"/>
              <w:spacing w:after="0"/>
              <w:rPr>
                <w:sz w:val="20"/>
                <w:szCs w:val="20"/>
                <w:color w:val="auto"/>
              </w:rPr>
            </w:pPr>
            <w:r>
              <w:rPr>
                <w:rFonts w:ascii="Arial" w:cs="Arial" w:eastAsia="Arial" w:hAnsi="Arial"/>
                <w:sz w:val="18"/>
                <w:szCs w:val="18"/>
                <w:color w:val="auto"/>
              </w:rPr>
              <w:t>Finance lease assets</w:t>
            </w:r>
          </w:p>
        </w:tc>
        <w:tc>
          <w:tcPr>
            <w:tcW w:w="3700" w:type="dxa"/>
            <w:vAlign w:val="bottom"/>
          </w:tcPr>
          <w:p>
            <w:pPr>
              <w:ind w:left="1260"/>
              <w:spacing w:after="0"/>
              <w:rPr>
                <w:sz w:val="20"/>
                <w:szCs w:val="20"/>
                <w:color w:val="auto"/>
              </w:rPr>
            </w:pPr>
            <w:r>
              <w:rPr>
                <w:rFonts w:ascii="Arial" w:cs="Arial" w:eastAsia="Arial" w:hAnsi="Arial"/>
                <w:sz w:val="18"/>
                <w:szCs w:val="18"/>
                <w:color w:val="auto"/>
              </w:rPr>
              <w:t>Property and Equipment, net</w:t>
            </w:r>
          </w:p>
        </w:tc>
        <w:tc>
          <w:tcPr>
            <w:tcW w:w="0" w:type="dxa"/>
            <w:vAlign w:val="bottom"/>
          </w:tcPr>
          <w:p>
            <w:pPr>
              <w:spacing w:after="0"/>
              <w:rPr>
                <w:sz w:val="1"/>
                <w:szCs w:val="1"/>
                <w:color w:val="auto"/>
              </w:rPr>
            </w:pPr>
          </w:p>
        </w:tc>
      </w:tr>
      <w:tr>
        <w:trPr>
          <w:trHeight w:val="238"/>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Total lease assets</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Liabilities</w:t>
            </w:r>
          </w:p>
        </w:tc>
        <w:tc>
          <w:tcPr>
            <w:tcW w:w="2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Current</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900" w:type="dxa"/>
            <w:vAlign w:val="bottom"/>
            <w:gridSpan w:val="3"/>
          </w:tcPr>
          <w:p>
            <w:pPr>
              <w:ind w:left="80"/>
              <w:spacing w:after="0"/>
              <w:rPr>
                <w:sz w:val="20"/>
                <w:szCs w:val="20"/>
                <w:color w:val="auto"/>
              </w:rPr>
            </w:pPr>
            <w:r>
              <w:rPr>
                <w:rFonts w:ascii="Arial" w:cs="Arial" w:eastAsia="Arial" w:hAnsi="Arial"/>
                <w:sz w:val="18"/>
                <w:szCs w:val="18"/>
                <w:color w:val="auto"/>
              </w:rPr>
              <w:t>Operating</w:t>
            </w:r>
          </w:p>
        </w:tc>
        <w:tc>
          <w:tcPr>
            <w:tcW w:w="3700" w:type="dxa"/>
            <w:vAlign w:val="bottom"/>
          </w:tcPr>
          <w:p>
            <w:pPr>
              <w:ind w:left="1260"/>
              <w:spacing w:after="0"/>
              <w:rPr>
                <w:sz w:val="20"/>
                <w:szCs w:val="20"/>
                <w:color w:val="auto"/>
              </w:rPr>
            </w:pPr>
            <w:r>
              <w:rPr>
                <w:rFonts w:ascii="Arial" w:cs="Arial" w:eastAsia="Arial" w:hAnsi="Arial"/>
                <w:sz w:val="18"/>
                <w:szCs w:val="18"/>
                <w:color w:val="auto"/>
              </w:rPr>
              <w:t>Due to related parties</w:t>
            </w: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700" w:type="dxa"/>
            <w:vAlign w:val="bottom"/>
          </w:tcPr>
          <w:p>
            <w:pPr>
              <w:ind w:left="1260"/>
              <w:spacing w:after="0"/>
              <w:rPr>
                <w:sz w:val="20"/>
                <w:szCs w:val="20"/>
                <w:color w:val="auto"/>
              </w:rPr>
            </w:pPr>
            <w:r>
              <w:rPr>
                <w:rFonts w:ascii="Arial" w:cs="Arial" w:eastAsia="Arial" w:hAnsi="Arial"/>
                <w:sz w:val="18"/>
                <w:szCs w:val="18"/>
                <w:color w:val="auto"/>
              </w:rPr>
              <w:t>Short-term lease liabilities</w:t>
            </w:r>
          </w:p>
        </w:tc>
        <w:tc>
          <w:tcPr>
            <w:tcW w:w="0" w:type="dxa"/>
            <w:vAlign w:val="bottom"/>
          </w:tcPr>
          <w:p>
            <w:pPr>
              <w:spacing w:after="0"/>
              <w:rPr>
                <w:sz w:val="1"/>
                <w:szCs w:val="1"/>
                <w:color w:val="auto"/>
              </w:rPr>
            </w:pPr>
          </w:p>
        </w:tc>
      </w:tr>
      <w:tr>
        <w:trPr>
          <w:trHeight w:val="225"/>
        </w:trPr>
        <w:tc>
          <w:tcPr>
            <w:tcW w:w="2900" w:type="dxa"/>
            <w:vAlign w:val="bottom"/>
            <w:gridSpan w:val="3"/>
          </w:tcPr>
          <w:p>
            <w:pPr>
              <w:ind w:left="80"/>
              <w:spacing w:after="0"/>
              <w:rPr>
                <w:sz w:val="20"/>
                <w:szCs w:val="20"/>
                <w:color w:val="auto"/>
              </w:rPr>
            </w:pPr>
            <w:r>
              <w:rPr>
                <w:rFonts w:ascii="Arial" w:cs="Arial" w:eastAsia="Arial" w:hAnsi="Arial"/>
                <w:sz w:val="18"/>
                <w:szCs w:val="18"/>
                <w:color w:val="auto"/>
              </w:rPr>
              <w:t>Finance</w:t>
            </w:r>
          </w:p>
        </w:tc>
        <w:tc>
          <w:tcPr>
            <w:tcW w:w="3700" w:type="dxa"/>
            <w:vAlign w:val="bottom"/>
          </w:tcPr>
          <w:p>
            <w:pPr>
              <w:ind w:left="1260"/>
              <w:spacing w:after="0"/>
              <w:rPr>
                <w:sz w:val="20"/>
                <w:szCs w:val="20"/>
                <w:color w:val="auto"/>
              </w:rPr>
            </w:pPr>
            <w:r>
              <w:rPr>
                <w:rFonts w:ascii="Arial" w:cs="Arial" w:eastAsia="Arial" w:hAnsi="Arial"/>
                <w:sz w:val="18"/>
                <w:szCs w:val="18"/>
                <w:color w:val="auto"/>
              </w:rPr>
              <w:t>Due to related parties</w:t>
            </w:r>
          </w:p>
        </w:tc>
        <w:tc>
          <w:tcPr>
            <w:tcW w:w="0" w:type="dxa"/>
            <w:vAlign w:val="bottom"/>
          </w:tcPr>
          <w:p>
            <w:pPr>
              <w:spacing w:after="0"/>
              <w:rPr>
                <w:sz w:val="1"/>
                <w:szCs w:val="1"/>
                <w:color w:val="auto"/>
              </w:rPr>
            </w:pPr>
          </w:p>
        </w:tc>
      </w:tr>
      <w:tr>
        <w:trPr>
          <w:trHeight w:val="225"/>
        </w:trPr>
        <w:tc>
          <w:tcPr>
            <w:tcW w:w="2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Non-current</w:t>
            </w:r>
          </w:p>
        </w:tc>
        <w:tc>
          <w:tcPr>
            <w:tcW w:w="3700" w:type="dxa"/>
            <w:vAlign w:val="bottom"/>
          </w:tcPr>
          <w:p>
            <w:pPr>
              <w:ind w:left="1260"/>
              <w:spacing w:after="0"/>
              <w:rPr>
                <w:sz w:val="20"/>
                <w:szCs w:val="20"/>
                <w:color w:val="auto"/>
              </w:rPr>
            </w:pPr>
            <w:r>
              <w:rPr>
                <w:rFonts w:ascii="Arial" w:cs="Arial" w:eastAsia="Arial" w:hAnsi="Arial"/>
                <w:sz w:val="18"/>
                <w:szCs w:val="18"/>
                <w:color w:val="auto"/>
              </w:rPr>
              <w:t>Short-term lease liabilities</w:t>
            </w:r>
          </w:p>
        </w:tc>
        <w:tc>
          <w:tcPr>
            <w:tcW w:w="0" w:type="dxa"/>
            <w:vAlign w:val="bottom"/>
          </w:tcPr>
          <w:p>
            <w:pPr>
              <w:spacing w:after="0"/>
              <w:rPr>
                <w:sz w:val="1"/>
                <w:szCs w:val="1"/>
                <w:color w:val="auto"/>
              </w:rPr>
            </w:pPr>
          </w:p>
        </w:tc>
      </w:tr>
      <w:tr>
        <w:trPr>
          <w:trHeight w:val="225"/>
        </w:trPr>
        <w:tc>
          <w:tcPr>
            <w:tcW w:w="2900" w:type="dxa"/>
            <w:vAlign w:val="bottom"/>
            <w:gridSpan w:val="3"/>
            <w:vMerge w:val="continue"/>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00" w:type="dxa"/>
            <w:vAlign w:val="bottom"/>
            <w:gridSpan w:val="3"/>
          </w:tcPr>
          <w:p>
            <w:pPr>
              <w:ind w:left="80"/>
              <w:spacing w:after="0"/>
              <w:rPr>
                <w:sz w:val="20"/>
                <w:szCs w:val="20"/>
                <w:color w:val="auto"/>
              </w:rPr>
            </w:pPr>
            <w:r>
              <w:rPr>
                <w:rFonts w:ascii="Arial" w:cs="Arial" w:eastAsia="Arial" w:hAnsi="Arial"/>
                <w:sz w:val="18"/>
                <w:szCs w:val="18"/>
                <w:color w:val="auto"/>
              </w:rPr>
              <w:t>Operating</w:t>
            </w:r>
          </w:p>
        </w:tc>
        <w:tc>
          <w:tcPr>
            <w:tcW w:w="3700" w:type="dxa"/>
            <w:vAlign w:val="bottom"/>
          </w:tcPr>
          <w:p>
            <w:pPr>
              <w:ind w:left="1260"/>
              <w:spacing w:after="0"/>
              <w:rPr>
                <w:sz w:val="20"/>
                <w:szCs w:val="20"/>
                <w:color w:val="auto"/>
              </w:rPr>
            </w:pPr>
            <w:r>
              <w:rPr>
                <w:rFonts w:ascii="Arial" w:cs="Arial" w:eastAsia="Arial" w:hAnsi="Arial"/>
                <w:sz w:val="18"/>
                <w:szCs w:val="18"/>
                <w:color w:val="auto"/>
              </w:rPr>
              <w:t>Long-term lease liabilities</w:t>
            </w:r>
          </w:p>
        </w:tc>
        <w:tc>
          <w:tcPr>
            <w:tcW w:w="0" w:type="dxa"/>
            <w:vAlign w:val="bottom"/>
          </w:tcPr>
          <w:p>
            <w:pPr>
              <w:spacing w:after="0"/>
              <w:rPr>
                <w:sz w:val="1"/>
                <w:szCs w:val="1"/>
                <w:color w:val="auto"/>
              </w:rPr>
            </w:pPr>
          </w:p>
        </w:tc>
      </w:tr>
      <w:tr>
        <w:trPr>
          <w:trHeight w:val="225"/>
        </w:trPr>
        <w:tc>
          <w:tcPr>
            <w:tcW w:w="2900" w:type="dxa"/>
            <w:vAlign w:val="bottom"/>
            <w:gridSpan w:val="3"/>
          </w:tcPr>
          <w:p>
            <w:pPr>
              <w:ind w:left="80"/>
              <w:spacing w:after="0"/>
              <w:rPr>
                <w:sz w:val="20"/>
                <w:szCs w:val="20"/>
                <w:color w:val="auto"/>
              </w:rPr>
            </w:pPr>
            <w:r>
              <w:rPr>
                <w:rFonts w:ascii="Arial" w:cs="Arial" w:eastAsia="Arial" w:hAnsi="Arial"/>
                <w:sz w:val="18"/>
                <w:szCs w:val="18"/>
                <w:color w:val="auto"/>
              </w:rPr>
              <w:t>Finance</w:t>
            </w:r>
          </w:p>
        </w:tc>
        <w:tc>
          <w:tcPr>
            <w:tcW w:w="3700" w:type="dxa"/>
            <w:vAlign w:val="bottom"/>
          </w:tcPr>
          <w:p>
            <w:pPr>
              <w:ind w:left="1260"/>
              <w:spacing w:after="0"/>
              <w:rPr>
                <w:sz w:val="20"/>
                <w:szCs w:val="20"/>
                <w:color w:val="auto"/>
              </w:rPr>
            </w:pPr>
            <w:r>
              <w:rPr>
                <w:rFonts w:ascii="Arial" w:cs="Arial" w:eastAsia="Arial" w:hAnsi="Arial"/>
                <w:sz w:val="18"/>
                <w:szCs w:val="18"/>
                <w:color w:val="auto"/>
              </w:rPr>
              <w:t>Long-term lease liabilities</w:t>
            </w:r>
          </w:p>
        </w:tc>
        <w:tc>
          <w:tcPr>
            <w:tcW w:w="0" w:type="dxa"/>
            <w:vAlign w:val="bottom"/>
          </w:tcPr>
          <w:p>
            <w:pPr>
              <w:spacing w:after="0"/>
              <w:rPr>
                <w:sz w:val="1"/>
                <w:szCs w:val="1"/>
                <w:color w:val="auto"/>
              </w:rPr>
            </w:pPr>
          </w:p>
        </w:tc>
      </w:tr>
      <w:tr>
        <w:trPr>
          <w:trHeight w:val="239"/>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Total lease liabilities</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-1899920</wp:posOffset>
            </wp:positionV>
            <wp:extent cx="6995160"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-1605915</wp:posOffset>
            </wp:positionV>
            <wp:extent cx="6995160" cy="168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682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-1294765</wp:posOffset>
            </wp:positionV>
            <wp:extent cx="6995160"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-1008380</wp:posOffset>
            </wp:positionV>
            <wp:extent cx="6995160" cy="142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-722630</wp:posOffset>
            </wp:positionV>
            <wp:extent cx="6995160" cy="14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-436245</wp:posOffset>
            </wp:positionV>
            <wp:extent cx="6995160" cy="142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-150495</wp:posOffset>
            </wp:positionV>
            <wp:extent cx="6995160" cy="151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517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-2186305</wp:posOffset>
            </wp:positionV>
            <wp:extent cx="6995160" cy="14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26"/>
        </w:trPr>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18"/>
        </w:trPr>
        <w:tc>
          <w:tcPr>
            <w:tcW w:w="90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920"/>
        </w:trPr>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51"/>
        </w:trPr>
        <w:tc>
          <w:tcPr>
            <w:tcW w:w="9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50"/>
        </w:trPr>
        <w:tc>
          <w:tcPr>
            <w:tcW w:w="9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26"/>
        </w:trPr>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19"/>
        </w:trPr>
        <w:tc>
          <w:tcPr>
            <w:tcW w:w="90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r>
    </w:tbl>
    <w:p>
      <w:pPr>
        <w:spacing w:after="0" w:line="200" w:lineRule="exact"/>
        <w:rPr>
          <w:sz w:val="20"/>
          <w:szCs w:val="20"/>
          <w:color w:val="auto"/>
        </w:rPr>
      </w:pPr>
    </w:p>
    <w:p>
      <w:pPr>
        <w:sectPr>
          <w:pgSz w:w="11900" w:h="16838" w:orient="portrait"/>
          <w:cols w:equalWidth="0" w:num="2">
            <w:col w:w="8580" w:space="720"/>
            <w:col w:w="2040"/>
          </w:cols>
          <w:pgMar w:left="320" w:top="313"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cost</w:t>
            </w: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Three months ended September 30,</w:t>
            </w: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w:t>
            </w: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43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ind w:right="9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Operating lease cost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9"/>
                <w:szCs w:val="19"/>
                <w:color w:val="auto"/>
              </w:rPr>
            </w:pPr>
          </w:p>
        </w:tc>
        <w:tc>
          <w:tcPr>
            <w:tcW w:w="560" w:type="dxa"/>
            <w:vAlign w:val="bottom"/>
          </w:tcPr>
          <w:p>
            <w:pPr>
              <w:jc w:val="right"/>
              <w:ind w:right="355"/>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Short-term lease cost</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3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Variable lease cost</w:t>
            </w:r>
          </w:p>
        </w:tc>
        <w:tc>
          <w:tcPr>
            <w:tcW w:w="2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lease cost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93"/>
        </w:trPr>
        <w:tc>
          <w:tcPr>
            <w:tcW w:w="3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 cost</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Depreciation and amortization of leased assets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9"/>
                <w:szCs w:val="19"/>
                <w:color w:val="auto"/>
              </w:rPr>
            </w:pPr>
          </w:p>
        </w:tc>
        <w:tc>
          <w:tcPr>
            <w:tcW w:w="560" w:type="dxa"/>
            <w:vAlign w:val="bottom"/>
          </w:tcPr>
          <w:p>
            <w:pPr>
              <w:jc w:val="right"/>
              <w:ind w:right="355"/>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lease liabilities</w:t>
            </w:r>
          </w:p>
        </w:tc>
        <w:tc>
          <w:tcPr>
            <w:tcW w:w="2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finance lease cost</w:t>
            </w:r>
          </w:p>
        </w:tc>
        <w:tc>
          <w:tcPr>
            <w:tcW w:w="2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lease cost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880"/>
        </w:trPr>
        <w:tc>
          <w:tcPr>
            <w:tcW w:w="3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160" w:type="dxa"/>
            <w:vAlign w:val="bottom"/>
          </w:tcPr>
          <w:p>
            <w:pPr>
              <w:jc w:val="right"/>
              <w:ind w:right="972"/>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20" w:type="dxa"/>
            <w:vAlign w:val="bottom"/>
            <w:tcBorders>
              <w:bottom w:val="single" w:sz="8" w:color="9A9A9A"/>
            </w:tcBorders>
          </w:tcPr>
          <w:p>
            <w:pPr>
              <w:spacing w:after="0"/>
              <w:rPr>
                <w:sz w:val="23"/>
                <w:szCs w:val="23"/>
                <w:color w:val="auto"/>
              </w:rPr>
            </w:pPr>
          </w:p>
        </w:tc>
        <w:tc>
          <w:tcPr>
            <w:tcW w:w="4300" w:type="dxa"/>
            <w:vAlign w:val="bottom"/>
            <w:tcBorders>
              <w:bottom w:val="single" w:sz="8" w:color="9A9A9A"/>
            </w:tcBorders>
          </w:tcPr>
          <w:p>
            <w:pPr>
              <w:spacing w:after="0"/>
              <w:rPr>
                <w:sz w:val="23"/>
                <w:szCs w:val="23"/>
                <w:color w:val="auto"/>
              </w:rPr>
            </w:pPr>
          </w:p>
        </w:tc>
        <w:tc>
          <w:tcPr>
            <w:tcW w:w="216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230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1380" w:type="dxa"/>
            <w:vAlign w:val="bottom"/>
            <w:tcBorders>
              <w:bottom w:val="single" w:sz="8" w:color="9A9A9A"/>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lease payments under non-cancellable leases as of September 30, 2022 are as follows: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960" w:type="dxa"/>
            <w:vAlign w:val="bottom"/>
            <w:gridSpan w:val="4"/>
          </w:tcPr>
          <w:p>
            <w:pPr>
              <w:ind w:left="20"/>
              <w:spacing w:after="0"/>
              <w:rPr>
                <w:sz w:val="20"/>
                <w:szCs w:val="20"/>
                <w:color w:val="auto"/>
              </w:rPr>
            </w:pPr>
            <w:r>
              <w:rPr>
                <w:rFonts w:ascii="Arial" w:cs="Arial" w:eastAsia="Arial" w:hAnsi="Arial"/>
                <w:sz w:val="14"/>
                <w:szCs w:val="14"/>
                <w:b w:val="1"/>
                <w:bCs w:val="1"/>
                <w:color w:val="auto"/>
              </w:rPr>
              <w:t>Maturity of lease liabilities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520" w:type="dxa"/>
            <w:vAlign w:val="bottom"/>
          </w:tcPr>
          <w:p>
            <w:pPr>
              <w:spacing w:after="0"/>
              <w:rPr>
                <w:sz w:val="15"/>
                <w:szCs w:val="15"/>
                <w:color w:val="auto"/>
              </w:rPr>
            </w:pPr>
          </w:p>
        </w:tc>
        <w:tc>
          <w:tcPr>
            <w:tcW w:w="1720" w:type="dxa"/>
            <w:vAlign w:val="bottom"/>
            <w:gridSpan w:val="2"/>
          </w:tcPr>
          <w:p>
            <w:pPr>
              <w:jc w:val="right"/>
              <w:ind w:right="629"/>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4"/>
        </w:trPr>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8"/>
        </w:trPr>
        <w:tc>
          <w:tcPr>
            <w:tcW w:w="49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2022 (remainder of the year)</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1,170</w:t>
            </w:r>
          </w:p>
        </w:tc>
        <w:tc>
          <w:tcPr>
            <w:tcW w:w="6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25"/>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gridSpan w:val="2"/>
          </w:tcPr>
          <w:p>
            <w:pPr>
              <w:jc w:val="right"/>
              <w:ind w:right="9"/>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26"/>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r>
      <w:tr>
        <w:trPr>
          <w:trHeight w:val="225"/>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gridSpan w:val="2"/>
          </w:tcPr>
          <w:p>
            <w:pPr>
              <w:jc w:val="right"/>
              <w:ind w:right="9"/>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26"/>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25"/>
        </w:trPr>
        <w:tc>
          <w:tcPr>
            <w:tcW w:w="49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8"/>
                <w:szCs w:val="18"/>
                <w:color w:val="auto"/>
              </w:rPr>
              <w:t>49,884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107,3</w:t>
            </w:r>
          </w:p>
        </w:tc>
      </w:tr>
      <w:tr>
        <w:trPr>
          <w:trHeight w:val="219"/>
        </w:trPr>
        <w:tc>
          <w:tcPr>
            <w:tcW w:w="49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61,855</w:t>
            </w:r>
          </w:p>
        </w:tc>
        <w:tc>
          <w:tcPr>
            <w:tcW w:w="6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w:t>
            </w:r>
          </w:p>
        </w:tc>
      </w:tr>
      <w:tr>
        <w:trPr>
          <w:trHeight w:val="225"/>
        </w:trPr>
        <w:tc>
          <w:tcPr>
            <w:tcW w:w="49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Less: imputed interest</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(42,107)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(75,1</w:t>
            </w:r>
          </w:p>
        </w:tc>
      </w:tr>
      <w:tr>
        <w:trPr>
          <w:trHeight w:val="218"/>
        </w:trPr>
        <w:tc>
          <w:tcPr>
            <w:tcW w:w="49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19,748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w:t>
            </w:r>
          </w:p>
        </w:tc>
      </w:tr>
      <w:tr>
        <w:trPr>
          <w:trHeight w:val="457"/>
        </w:trPr>
        <w:tc>
          <w:tcPr>
            <w:tcW w:w="7720" w:type="dxa"/>
            <w:vAlign w:val="bottom"/>
            <w:gridSpan w:val="9"/>
          </w:tcPr>
          <w:p>
            <w:pPr>
              <w:spacing w:after="0"/>
              <w:rPr>
                <w:sz w:val="20"/>
                <w:szCs w:val="20"/>
                <w:color w:val="auto"/>
              </w:rPr>
            </w:pPr>
            <w:r>
              <w:rPr>
                <w:rFonts w:ascii="Arial" w:cs="Arial" w:eastAsia="Arial" w:hAnsi="Arial"/>
                <w:sz w:val="18"/>
                <w:szCs w:val="18"/>
                <w:color w:val="auto"/>
                <w:w w:val="89"/>
              </w:rPr>
              <w:t>Other information related to leases as of and for the nine months ended September 30, 2022 are as follows:</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1"/>
        </w:trPr>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 2022</w:t>
            </w:r>
          </w:p>
        </w:tc>
      </w:tr>
      <w:tr>
        <w:trPr>
          <w:trHeight w:val="24"/>
        </w:trPr>
        <w:tc>
          <w:tcPr>
            <w:tcW w:w="80" w:type="dxa"/>
            <w:vAlign w:val="bottom"/>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85"/>
        </w:trPr>
        <w:tc>
          <w:tcPr>
            <w:tcW w:w="80" w:type="dxa"/>
            <w:vAlign w:val="bottom"/>
          </w:tcPr>
          <w:p>
            <w:pPr>
              <w:spacing w:after="0"/>
              <w:rPr>
                <w:sz w:val="16"/>
                <w:szCs w:val="16"/>
                <w:color w:val="auto"/>
              </w:rPr>
            </w:pPr>
          </w:p>
        </w:tc>
        <w:tc>
          <w:tcPr>
            <w:tcW w:w="3560" w:type="dxa"/>
            <w:vAlign w:val="bottom"/>
            <w:tcBorders>
              <w:bottom w:val="single" w:sz="8" w:color="auto"/>
            </w:tcBorders>
            <w:gridSpan w:val="2"/>
            <w:shd w:val="clear" w:color="auto" w:fill="CCEEFF"/>
          </w:tcPr>
          <w:p>
            <w:pPr>
              <w:spacing w:after="0" w:line="165" w:lineRule="exact"/>
              <w:rPr>
                <w:sz w:val="20"/>
                <w:szCs w:val="20"/>
                <w:color w:val="auto"/>
              </w:rPr>
            </w:pPr>
            <w:r>
              <w:rPr>
                <w:rFonts w:ascii="Arial" w:cs="Arial" w:eastAsia="Arial" w:hAnsi="Arial"/>
                <w:sz w:val="18"/>
                <w:szCs w:val="18"/>
                <w:b w:val="1"/>
                <w:bCs w:val="1"/>
                <w:color w:val="auto"/>
                <w:w w:val="87"/>
              </w:rPr>
              <w:t>Weighted-average remaining lease term (years)</w:t>
            </w:r>
          </w:p>
        </w:tc>
        <w:tc>
          <w:tcPr>
            <w:tcW w:w="13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225"/>
        </w:trPr>
        <w:tc>
          <w:tcPr>
            <w:tcW w:w="80" w:type="dxa"/>
            <w:vAlign w:val="bottom"/>
          </w:tcPr>
          <w:p>
            <w:pPr>
              <w:spacing w:after="0"/>
              <w:rPr>
                <w:sz w:val="19"/>
                <w:szCs w:val="19"/>
                <w:color w:val="auto"/>
              </w:rPr>
            </w:pPr>
          </w:p>
        </w:tc>
        <w:tc>
          <w:tcPr>
            <w:tcW w:w="4880" w:type="dxa"/>
            <w:vAlign w:val="bottom"/>
            <w:gridSpan w:val="3"/>
          </w:tcPr>
          <w:p>
            <w:pPr>
              <w:ind w:left="80"/>
              <w:spacing w:after="0"/>
              <w:rPr>
                <w:sz w:val="20"/>
                <w:szCs w:val="20"/>
                <w:color w:val="auto"/>
              </w:rPr>
            </w:pPr>
            <w:r>
              <w:rPr>
                <w:rFonts w:ascii="Arial" w:cs="Arial" w:eastAsia="Arial" w:hAnsi="Arial"/>
                <w:sz w:val="18"/>
                <w:szCs w:val="18"/>
                <w:color w:val="auto"/>
              </w:rPr>
              <w:t>Operating leases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12.4</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6"/>
        </w:trPr>
        <w:tc>
          <w:tcPr>
            <w:tcW w:w="80" w:type="dxa"/>
            <w:vAlign w:val="bottom"/>
          </w:tcPr>
          <w:p>
            <w:pPr>
              <w:spacing w:after="0"/>
              <w:rPr>
                <w:sz w:val="19"/>
                <w:szCs w:val="19"/>
                <w:color w:val="auto"/>
              </w:rPr>
            </w:pPr>
          </w:p>
        </w:tc>
        <w:tc>
          <w:tcPr>
            <w:tcW w:w="48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76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93"/>
        </w:trPr>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05"/>
        </w:trPr>
        <w:tc>
          <w:tcPr>
            <w:tcW w:w="80" w:type="dxa"/>
            <w:vAlign w:val="bottom"/>
          </w:tcPr>
          <w:p>
            <w:pPr>
              <w:spacing w:after="0"/>
              <w:rPr>
                <w:sz w:val="17"/>
                <w:szCs w:val="17"/>
                <w:color w:val="auto"/>
              </w:rPr>
            </w:pPr>
          </w:p>
        </w:tc>
        <w:tc>
          <w:tcPr>
            <w:tcW w:w="2400" w:type="dxa"/>
            <w:vAlign w:val="bottom"/>
            <w:tcBorders>
              <w:bottom w:val="single" w:sz="8" w:color="auto"/>
            </w:tcBorders>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87"/>
              </w:rPr>
              <w:t>Weighted-average discount rate</w:t>
            </w:r>
          </w:p>
        </w:tc>
        <w:tc>
          <w:tcPr>
            <w:tcW w:w="2480" w:type="dxa"/>
            <w:vAlign w:val="bottom"/>
            <w:tcBorders>
              <w:bottom w:val="single" w:sz="8" w:color="CCEEFF"/>
            </w:tcBorders>
            <w:gridSpan w:val="2"/>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r>
      <w:tr>
        <w:trPr>
          <w:trHeight w:val="225"/>
        </w:trPr>
        <w:tc>
          <w:tcPr>
            <w:tcW w:w="80" w:type="dxa"/>
            <w:vAlign w:val="bottom"/>
          </w:tcPr>
          <w:p>
            <w:pPr>
              <w:spacing w:after="0"/>
              <w:rPr>
                <w:sz w:val="19"/>
                <w:szCs w:val="19"/>
                <w:color w:val="auto"/>
              </w:rPr>
            </w:pPr>
          </w:p>
        </w:tc>
        <w:tc>
          <w:tcPr>
            <w:tcW w:w="4880" w:type="dxa"/>
            <w:vAlign w:val="bottom"/>
            <w:gridSpan w:val="3"/>
          </w:tcPr>
          <w:p>
            <w:pPr>
              <w:ind w:left="80"/>
              <w:spacing w:after="0"/>
              <w:rPr>
                <w:sz w:val="20"/>
                <w:szCs w:val="20"/>
                <w:color w:val="auto"/>
              </w:rPr>
            </w:pPr>
            <w:r>
              <w:rPr>
                <w:rFonts w:ascii="Arial" w:cs="Arial" w:eastAsia="Arial" w:hAnsi="Arial"/>
                <w:sz w:val="18"/>
                <w:szCs w:val="18"/>
                <w:color w:val="auto"/>
              </w:rPr>
              <w:t>Operating leases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6.8%</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6"/>
        </w:trPr>
        <w:tc>
          <w:tcPr>
            <w:tcW w:w="80" w:type="dxa"/>
            <w:vAlign w:val="bottom"/>
          </w:tcPr>
          <w:p>
            <w:pPr>
              <w:spacing w:after="0"/>
              <w:rPr>
                <w:sz w:val="19"/>
                <w:szCs w:val="19"/>
                <w:color w:val="auto"/>
              </w:rPr>
            </w:pPr>
          </w:p>
        </w:tc>
        <w:tc>
          <w:tcPr>
            <w:tcW w:w="48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76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93"/>
        </w:trPr>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05"/>
        </w:trPr>
        <w:tc>
          <w:tcPr>
            <w:tcW w:w="80" w:type="dxa"/>
            <w:vAlign w:val="bottom"/>
          </w:tcPr>
          <w:p>
            <w:pPr>
              <w:spacing w:after="0"/>
              <w:rPr>
                <w:sz w:val="17"/>
                <w:szCs w:val="17"/>
                <w:color w:val="auto"/>
              </w:rPr>
            </w:pPr>
          </w:p>
        </w:tc>
        <w:tc>
          <w:tcPr>
            <w:tcW w:w="5360" w:type="dxa"/>
            <w:vAlign w:val="bottom"/>
            <w:gridSpan w:val="5"/>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88"/>
              </w:rPr>
              <w:t>Cash paid for amounts included in the measurement of lease liabilities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r>
      <w:tr>
        <w:trPr>
          <w:trHeight w:val="225"/>
        </w:trPr>
        <w:tc>
          <w:tcPr>
            <w:tcW w:w="80" w:type="dxa"/>
            <w:vAlign w:val="bottom"/>
          </w:tcPr>
          <w:p>
            <w:pPr>
              <w:spacing w:after="0"/>
              <w:rPr>
                <w:sz w:val="19"/>
                <w:szCs w:val="19"/>
                <w:color w:val="auto"/>
              </w:rPr>
            </w:pPr>
          </w:p>
        </w:tc>
        <w:tc>
          <w:tcPr>
            <w:tcW w:w="48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jc w:val="center"/>
              <w:spacing w:after="0"/>
              <w:rPr>
                <w:sz w:val="20"/>
                <w:szCs w:val="20"/>
                <w:color w:val="auto"/>
              </w:rPr>
            </w:pPr>
            <w:r>
              <w:rPr>
                <w:rFonts w:ascii="Arial" w:cs="Arial" w:eastAsia="Arial" w:hAnsi="Arial"/>
                <w:sz w:val="18"/>
                <w:szCs w:val="18"/>
                <w:color w:val="auto"/>
                <w:w w:val="87"/>
              </w:rPr>
              <w:t>$4,146</w:t>
            </w:r>
          </w:p>
        </w:tc>
        <w:tc>
          <w:tcPr>
            <w:tcW w:w="760" w:type="dxa"/>
            <w:vAlign w:val="bottom"/>
            <w:tcBorders>
              <w:top w:val="single" w:sz="8" w:color="CCEEFF"/>
            </w:tcBorders>
          </w:tcPr>
          <w:p>
            <w:pPr>
              <w:spacing w:after="0"/>
              <w:rPr>
                <w:sz w:val="19"/>
                <w:szCs w:val="19"/>
                <w:color w:val="auto"/>
              </w:rPr>
            </w:pPr>
          </w:p>
        </w:tc>
        <w:tc>
          <w:tcPr>
            <w:tcW w:w="160" w:type="dxa"/>
            <w:vAlign w:val="bottom"/>
          </w:tcPr>
          <w:p>
            <w:pPr>
              <w:spacing w:after="0"/>
              <w:rPr>
                <w:sz w:val="19"/>
                <w:szCs w:val="19"/>
                <w:color w:val="auto"/>
              </w:rPr>
            </w:pPr>
          </w:p>
        </w:tc>
      </w:tr>
      <w:tr>
        <w:trPr>
          <w:trHeight w:val="226"/>
        </w:trPr>
        <w:tc>
          <w:tcPr>
            <w:tcW w:w="80" w:type="dxa"/>
            <w:vAlign w:val="bottom"/>
          </w:tcPr>
          <w:p>
            <w:pPr>
              <w:spacing w:after="0"/>
              <w:rPr>
                <w:sz w:val="19"/>
                <w:szCs w:val="19"/>
                <w:color w:val="auto"/>
              </w:rPr>
            </w:pPr>
          </w:p>
        </w:tc>
        <w:tc>
          <w:tcPr>
            <w:tcW w:w="48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Operating cash flows from finance leases</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$1,630</w:t>
            </w:r>
          </w:p>
        </w:tc>
        <w:tc>
          <w:tcPr>
            <w:tcW w:w="76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24"/>
        </w:trPr>
        <w:tc>
          <w:tcPr>
            <w:tcW w:w="80" w:type="dxa"/>
            <w:vAlign w:val="bottom"/>
          </w:tcPr>
          <w:p>
            <w:pPr>
              <w:spacing w:after="0"/>
              <w:rPr>
                <w:sz w:val="19"/>
                <w:szCs w:val="19"/>
                <w:color w:val="auto"/>
              </w:rPr>
            </w:pPr>
          </w:p>
        </w:tc>
        <w:tc>
          <w:tcPr>
            <w:tcW w:w="4880" w:type="dxa"/>
            <w:vAlign w:val="bottom"/>
            <w:gridSpan w:val="3"/>
          </w:tcPr>
          <w:p>
            <w:pPr>
              <w:ind w:left="80"/>
              <w:spacing w:after="0"/>
              <w:rPr>
                <w:sz w:val="20"/>
                <w:szCs w:val="20"/>
                <w:color w:val="auto"/>
              </w:rPr>
            </w:pPr>
            <w:r>
              <w:rPr>
                <w:rFonts w:ascii="Arial" w:cs="Arial" w:eastAsia="Arial" w:hAnsi="Arial"/>
                <w:sz w:val="18"/>
                <w:szCs w:val="18"/>
                <w:color w:val="auto"/>
              </w:rPr>
              <w:t>Financing cash flows from finance lease</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$2,632</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64"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In the normal course of business, the Company enters into various purchase commitments primarily related to material and service agreements, laboratory supplies and software. At September 30, 2022, the Company’s total future payments under noncancellable unconditional purchase commitments having a remaining term of over one year were $8.9 million. The Company enters into contracts with suppliers to purchase materials needed for diagnostic testing. These contracts generally do not require multiple-year purchase commitments.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7"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The Company is a party to various actions and claims arising in the normal course of business. The Company does not believe that the outcome of these matters will have a material effect on the Company’s condensed consolidated financial position, results of operations or cash flows. However, no assurance can be given that the final outcome of such proceedings will not materially impact the Company’s condensed consolidated financial condition or results of operations.</w:t>
      </w:r>
    </w:p>
    <w:p>
      <w:pPr>
        <w:spacing w:after="0" w:line="16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Except as described below, the Company was not a party to any material legal proceedings as of September 30, 2022, nor is it a party to any material legal proceedings as of the date of issuance of these unaudited condensed consolidated financial statements.</w:t>
      </w: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On September 7, 2022, a shareholder class action lawsuit was filed in the United States District Court for the District of Connecticut against the Company and certain of the Company’s current and former officers. The complaint purports to bring suit on behalf of stockholders who purchased the Company’s publicly traded securities between March 14, 2022 and August 15, 2022. The complaint purports to allege that defendants made false and misleading statements about the Company’s business, operations and prospects in violation of Sections 10(b) and 20(a) of the Securities Exchange Act of 1934, and seeks unspecified compensatory damages, fees and costs. The Company believes the allegations and claims made in the complaint are without merit.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5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July 22, 2021, in connection with the Business Combination, the 2021 Plan became effective and 32,734,983 authorized shares of Class A common stock were reserved for issuance thereunder. The 2021 Plan will be administered by the Compensation Committee of the Company’s Board of Directors, including determination of the vesting, exercisability and payment of the awards to be granted under the 2021 Plan. No awards granted under the 2021 Plan are exercisable after 10 years from the date of grant, and the awards granted under the 2021 Plan generally vest over a four-year period on a graded vesting basis.</w:t>
      </w:r>
    </w:p>
    <w:p>
      <w:pPr>
        <w:spacing w:after="0" w:line="16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Additionally, on May 2, 2022, the compensation committee of the Company’s board of directors granted newly-hired employees inducement stock options to purchase an aggregate of 4,932,132 shares of the Company’s Class A common stock and 4,285,208 RSUs as inducements material to such employee entering into employment with the Company. The stock options have an exercise price of $2.20 per share, which was equal to the closing price of the Company’s Class A common stock on the grant date. The stock options and RSUs granted to the newly-hired employees other than the Company’s CEO, Chief Commercial Officer, and current Chief Financial Officer will vest with respect to 25% of the underlying shares on April 29, 2023, and will vest with respect to the remaining underlying shares in equal quarterly installments thereafter through April 29, 2026, in each case subject to the new employee’s continued service with the company. The stock options and RSUs granted to the Company’s CEO, Chief Commercial Officer, and current Chief Financial Officer will vest with respect to 25% of the underlying shares on April 29, 2023 and 25% of the underlying shares on April 29, 2024, and will vest with respect to the remaining underlying shares in equal quarterly installments thereafter through April 29, 2026, in each case subject to his or her continued service with the company. Each stock option has a 10-year term. The stock options and RSUs are subject to the terms and conditions identical to those of the 2021 Plan and a stock option agreement or restricted stock unit agreement, as applicable, covering the grant.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2021 Employee Stock Purchase Plan (the “2021 ESPP”) became effective in connection with the Business Combination. The 2021 ESPP authorizes the issuance of shares of Class A common stock pursuant to purchase rights granted to employees. On each January 1 of each of 2022 through 2031, the aggregate number of shares of Class A common stock reserved for issuance under the 2021 Plan may be increased automatically by the number of shares equal to one percent (1%) of the total number of shares of all classes of common stock issued and outstanding immediately preceding December 31. The Company did not make any grants of purchase rights under the 2021 ESPP during the quarter ended September 30, 2022. A total of 7,229,799 shares of Class A common stock have been reserved for future issuance under the 2021 ESPP.</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condensed consolidated financial statements as of July 22,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stock options granted under the 2021 Plan are accounted for as equity awards.</w:t>
      </w:r>
    </w:p>
    <w:p>
      <w:pPr>
        <w:spacing w:after="0" w:line="177" w:lineRule="exact"/>
        <w:rPr>
          <w:sz w:val="20"/>
          <w:szCs w:val="20"/>
          <w:color w:val="auto"/>
        </w:rPr>
      </w:pPr>
    </w:p>
    <w:p>
      <w:pPr>
        <w:jc w:val="both"/>
        <w:ind w:firstLine="318"/>
        <w:spacing w:after="0" w:line="315" w:lineRule="auto"/>
        <w:rPr>
          <w:sz w:val="20"/>
          <w:szCs w:val="20"/>
          <w:color w:val="auto"/>
        </w:rPr>
      </w:pPr>
      <w:r>
        <w:rPr>
          <w:rFonts w:ascii="Arial" w:cs="Arial" w:eastAsia="Arial" w:hAnsi="Arial"/>
          <w:sz w:val="15"/>
          <w:szCs w:val="15"/>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tbl>
      <w:tblPr>
        <w:tblLayout w:type="fixed"/>
        <w:tblInd w:w="0" w:type="dxa"/>
        <w:tblCellMar>
          <w:top w:w="0" w:type="dxa"/>
          <w:left w:w="0" w:type="dxa"/>
          <w:bottom w:w="0" w:type="dxa"/>
          <w:right w:w="0" w:type="dxa"/>
        </w:tblCellMar>
      </w:tblPr>
      <w:tr>
        <w:trPr>
          <w:trHeight w:val="147"/>
        </w:trPr>
        <w:tc>
          <w:tcPr>
            <w:tcW w:w="8680" w:type="dxa"/>
            <w:vAlign w:val="bottom"/>
          </w:tcPr>
          <w:p>
            <w:pPr>
              <w:spacing w:after="0"/>
              <w:rPr>
                <w:sz w:val="12"/>
                <w:szCs w:val="12"/>
                <w:color w:val="auto"/>
              </w:rPr>
            </w:pPr>
          </w:p>
        </w:tc>
        <w:tc>
          <w:tcPr>
            <w:tcW w:w="132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88"/>
              </w:rPr>
              <w:t>Stock Options</w:t>
            </w:r>
          </w:p>
        </w:tc>
        <w:tc>
          <w:tcPr>
            <w:tcW w:w="12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4"/>
              </w:rPr>
              <w:t>Weighted Average</w:t>
            </w:r>
          </w:p>
        </w:tc>
      </w:tr>
      <w:tr>
        <w:trPr>
          <w:trHeight w:val="189"/>
        </w:trPr>
        <w:tc>
          <w:tcPr>
            <w:tcW w:w="868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Exercise Price</w:t>
            </w:r>
          </w:p>
        </w:tc>
      </w:tr>
      <w:tr>
        <w:trPr>
          <w:trHeight w:val="224"/>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30,905,543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5"/>
        </w:trPr>
        <w:tc>
          <w:tcPr>
            <w:tcW w:w="86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13,347,197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(6,940,485)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25"/>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forfeited or 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(4,957,961)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32,354,294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4"/>
        </w:trPr>
        <w:tc>
          <w:tcPr>
            <w:tcW w:w="8680" w:type="dxa"/>
            <w:vAlign w:val="bottom"/>
          </w:tcPr>
          <w:p>
            <w:pPr>
              <w:ind w:left="180"/>
              <w:spacing w:after="0"/>
              <w:rPr>
                <w:sz w:val="20"/>
                <w:szCs w:val="20"/>
                <w:color w:val="auto"/>
              </w:rPr>
            </w:pPr>
            <w:r>
              <w:rPr>
                <w:rFonts w:ascii="Arial" w:cs="Arial" w:eastAsia="Arial" w:hAnsi="Arial"/>
                <w:sz w:val="18"/>
                <w:szCs w:val="18"/>
                <w:color w:val="auto"/>
              </w:rPr>
              <w:t>Options exercisable at September 30, 2022</w:t>
            </w:r>
          </w:p>
        </w:tc>
        <w:tc>
          <w:tcPr>
            <w:tcW w:w="1240" w:type="dxa"/>
            <w:vAlign w:val="bottom"/>
          </w:tcPr>
          <w:p>
            <w:pPr>
              <w:jc w:val="right"/>
              <w:spacing w:after="0"/>
              <w:rPr>
                <w:sz w:val="20"/>
                <w:szCs w:val="20"/>
                <w:color w:val="auto"/>
              </w:rPr>
            </w:pPr>
            <w:r>
              <w:rPr>
                <w:rFonts w:ascii="Arial" w:cs="Arial" w:eastAsia="Arial" w:hAnsi="Arial"/>
                <w:sz w:val="18"/>
                <w:szCs w:val="18"/>
                <w:color w:val="auto"/>
              </w:rPr>
              <w:t>18,514,946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0.82</w:t>
            </w:r>
          </w:p>
        </w:tc>
      </w:tr>
    </w:tbl>
    <w:p>
      <w:pPr>
        <w:spacing w:after="0" w:line="2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2022, unrecognized stock-based compensation cost related to the unvested portion of the Company’s stock options was $18.2 million, which is expected to be recognized on a graded-vesting basis over a weighted-average period of 1.77 years.</w:t>
      </w:r>
    </w:p>
    <w:p>
      <w:pPr>
        <w:spacing w:after="0" w:line="141"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The fair value of the stock option awards for the period ended September 30, 2022 and September 30, 2021 were estimated using the Black-Scholes option pricing model with the following assumptions: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5"/>
                <w:szCs w:val="15"/>
                <w:color w:val="auto"/>
              </w:rPr>
            </w:pPr>
          </w:p>
        </w:tc>
        <w:tc>
          <w:tcPr>
            <w:tcW w:w="4600" w:type="dxa"/>
            <w:vAlign w:val="bottom"/>
            <w:gridSpan w:val="3"/>
          </w:tcPr>
          <w:p>
            <w:pPr>
              <w:ind w:left="1260"/>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66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185"/>
        </w:trPr>
        <w:tc>
          <w:tcPr>
            <w:tcW w:w="66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225"/>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65.20%-90.00%</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49.60%</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5.48-6.18</w:t>
            </w:r>
          </w:p>
        </w:tc>
        <w:tc>
          <w:tcPr>
            <w:tcW w:w="8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5"/>
              </w:rPr>
              <w:t>5.00</w:t>
            </w:r>
          </w:p>
        </w:tc>
      </w:tr>
      <w:tr>
        <w:trPr>
          <w:trHeight w:val="22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1.65%-3.38%</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0.71%</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3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$0.99-$3.45</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$11.60</w:t>
            </w:r>
          </w:p>
        </w:tc>
      </w:tr>
    </w:tbl>
    <w:p>
      <w:pPr>
        <w:spacing w:after="0" w:line="226" w:lineRule="exact"/>
        <w:rPr>
          <w:sz w:val="20"/>
          <w:szCs w:val="20"/>
          <w:color w:val="auto"/>
        </w:rPr>
      </w:pPr>
    </w:p>
    <w:p>
      <w:pPr>
        <w:ind w:right="40" w:firstLine="318"/>
        <w:spacing w:after="0" w:line="294" w:lineRule="auto"/>
        <w:rPr>
          <w:sz w:val="20"/>
          <w:szCs w:val="20"/>
          <w:color w:val="auto"/>
        </w:rPr>
      </w:pPr>
      <w:r>
        <w:rPr>
          <w:rFonts w:ascii="Arial" w:cs="Arial" w:eastAsia="Arial" w:hAnsi="Arial"/>
          <w:sz w:val="15"/>
          <w:szCs w:val="15"/>
          <w:color w:val="auto"/>
        </w:rPr>
        <w:t>The Company estimated a volatility factor for the Company’s options based on analysis of historical share prices of a peer group of public companies, the historical share prices of the Company, and the implied volatility of the Company’s call options. The Company estimated the expected term of options granted using the “simplified method,” which is the mid-point between the vesting date and the ending date of the contractual term. The Company did not rely on the historical holding periods of the Company’s options due to the limited availability of exercise data. The Company used a risk-free interest rate based on the U.S. Treasury yield curve in effect for bonds with maturities consistent with the expected term of the option.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issued time-based RSUs to employees under the 2021 Plan. The RSUs automatically convert to shares of Class A common stock on a one-for-one basis as the awards vest. The Company measures the value of RSUs at fair value based on the closing price of the underlying Class A common stock on the grant date. The RSUs granted generally vest over a four year vesting period from the grant date, however, certain grants include vesting term that begins vesting 12 months from the grant date. The following table summarizes the activity related to the Company's time-based RSUs:</w:t>
      </w:r>
    </w:p>
    <w:p>
      <w:pPr>
        <w:spacing w:after="0" w:line="103"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Restricted Stock Units</w:t>
            </w:r>
          </w:p>
        </w:tc>
        <w:tc>
          <w:tcPr>
            <w:tcW w:w="140" w:type="dxa"/>
            <w:vAlign w:val="bottom"/>
          </w:tcPr>
          <w:p>
            <w:pPr>
              <w:spacing w:after="0"/>
              <w:rPr>
                <w:sz w:val="14"/>
                <w:szCs w:val="14"/>
                <w:color w:val="auto"/>
              </w:rPr>
            </w:pPr>
          </w:p>
        </w:tc>
        <w:tc>
          <w:tcPr>
            <w:tcW w:w="1700" w:type="dxa"/>
            <w:vAlign w:val="bottom"/>
          </w:tcPr>
          <w:p>
            <w:pPr>
              <w:jc w:val="right"/>
              <w:ind w:right="77"/>
              <w:spacing w:after="0"/>
              <w:rPr>
                <w:sz w:val="20"/>
                <w:szCs w:val="20"/>
                <w:color w:val="auto"/>
              </w:rPr>
            </w:pPr>
            <w:r>
              <w:rPr>
                <w:rFonts w:ascii="Arial" w:cs="Arial" w:eastAsia="Arial" w:hAnsi="Arial"/>
                <w:sz w:val="14"/>
                <w:szCs w:val="14"/>
                <w:b w:val="1"/>
                <w:bCs w:val="1"/>
                <w:color w:val="auto"/>
                <w:w w:val="93"/>
              </w:rPr>
              <w:t>Weighted Average Grant</w:t>
            </w:r>
          </w:p>
        </w:tc>
      </w:tr>
      <w:tr>
        <w:trPr>
          <w:trHeight w:val="192"/>
        </w:trPr>
        <w:tc>
          <w:tcPr>
            <w:tcW w:w="664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70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Date Fair Value Per Unit</w:t>
            </w:r>
          </w:p>
        </w:tc>
      </w:tr>
      <w:tr>
        <w:trPr>
          <w:trHeight w:val="225"/>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12,589,558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25"/>
        </w:trPr>
        <w:tc>
          <w:tcPr>
            <w:tcW w:w="6640" w:type="dxa"/>
            <w:vAlign w:val="bottom"/>
          </w:tcPr>
          <w:p>
            <w:pPr>
              <w:ind w:left="180"/>
              <w:spacing w:after="0"/>
              <w:rPr>
                <w:sz w:val="20"/>
                <w:szCs w:val="20"/>
                <w:color w:val="auto"/>
              </w:rPr>
            </w:pPr>
            <w:r>
              <w:rPr>
                <w:rFonts w:ascii="Arial" w:cs="Arial" w:eastAsia="Arial" w:hAnsi="Arial"/>
                <w:sz w:val="18"/>
                <w:szCs w:val="18"/>
                <w:color w:val="auto"/>
              </w:rPr>
              <w:t>Restricted Stock Units 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18,129,226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2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vested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(1,840,816)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25"/>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Restricted Stock Units forfeited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(5,133,936)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23,744,032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the Company issued 126,980 RSUs subject to both service and performance based vesting conditions to the Executive Chairman of the Company. The grant date was established during the second quarter period and vesting of the RSUs will be based on the achievement of performance goals established for calendar year 2022.</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2022, unrecognized stock-based compensation cost related to the unvested portion of the Company’s RSUs was $47.2 million, which is expected to be recognized on a graded-vesting basis over a weighted-average period of 1.81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RSUs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grant date fair value determined for Triggering Event I, II and III was $1.82, $1.39 and $0.94 per unit, respectively. Any re-allocated RSUs due to the Sema4 Legacy option holders’ forfeiture activities during the three months ended September 30, 2022 were accounted for as new grants and the fair value determined for Triggering Event I, II and III was $0.00, $0.00 and $0.00 per unit, respectively. Based on the grant date fair value, the Company expects to record total expense related to the earn-out RSU awards of $0.9 million without considering the impact of the Sema4 Legacy option holders’ forfeiture activities. The Company recognizes the stock-compensation cost over the longer of the derived service period or service period.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 (SAR) Activity</w:t>
      </w:r>
    </w:p>
    <w:p>
      <w:pPr>
        <w:spacing w:after="0" w:line="17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There were no outstanding SARs as of September 30, 2022.</w:t>
      </w:r>
    </w:p>
    <w:p>
      <w:pPr>
        <w:spacing w:after="0" w:line="11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During the three and nine months ended September 30, 2022, the Company recorded a reversal of stock-based compensation of $17.3 million and $27.0 million, respectively due to forfeiture activities upon employee terminations. Stock-based compensation expense for all awards granted and outstanding is included within the condensed consolidated statements of operations and comprehensive loss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60" w:type="dxa"/>
            <w:vAlign w:val="bottom"/>
            <w:gridSpan w:val="5"/>
          </w:tcPr>
          <w:p>
            <w:pPr>
              <w:jc w:val="right"/>
              <w:ind w:right="375"/>
              <w:spacing w:after="0"/>
              <w:rPr>
                <w:sz w:val="20"/>
                <w:szCs w:val="20"/>
                <w:color w:val="auto"/>
              </w:rPr>
            </w:pPr>
            <w:r>
              <w:rPr>
                <w:rFonts w:ascii="Arial" w:cs="Arial" w:eastAsia="Arial" w:hAnsi="Arial"/>
                <w:sz w:val="14"/>
                <w:szCs w:val="14"/>
                <w:b w:val="1"/>
                <w:bCs w:val="1"/>
                <w:color w:val="auto"/>
              </w:rPr>
              <w:t>Three months ended September 30,</w:t>
            </w:r>
          </w:p>
        </w:tc>
      </w:tr>
      <w:tr>
        <w:trPr>
          <w:trHeight w:val="24"/>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(8,164)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3,160</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5,623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60" w:type="dxa"/>
            <w:vAlign w:val="bottom"/>
            <w:gridSpan w:val="5"/>
          </w:tcPr>
          <w:p>
            <w:pPr>
              <w:jc w:val="right"/>
              <w:ind w:right="415"/>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40,977</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27,546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97,593</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41,553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182,454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1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7"/>
          <w:szCs w:val="17"/>
          <w:color w:val="auto"/>
        </w:rPr>
        <w:t>Income tax benefit for the nine months ended September 30, 2021 and 2022 was zero and $49.1 million, respectively. Income taxes for these periods are recorded at the Company’s estimated annual effective income tax rate, subject to adjustments for discrete events should they occur. The Company’s estimated annual effective tax rate was 0.05% and 0.19% for the three and nine months ended September 30, 2022, respectively.</w:t>
      </w:r>
    </w:p>
    <w:p>
      <w:pPr>
        <w:spacing w:after="0" w:line="137" w:lineRule="exact"/>
        <w:rPr>
          <w:sz w:val="20"/>
          <w:szCs w:val="20"/>
          <w:color w:val="auto"/>
        </w:rPr>
      </w:pPr>
    </w:p>
    <w:p>
      <w:pPr>
        <w:jc w:val="both"/>
        <w:ind w:firstLine="318"/>
        <w:spacing w:after="0" w:line="376" w:lineRule="auto"/>
        <w:rPr>
          <w:sz w:val="20"/>
          <w:szCs w:val="20"/>
          <w:color w:val="auto"/>
        </w:rPr>
      </w:pPr>
      <w:r>
        <w:rPr>
          <w:rFonts w:ascii="Arial" w:cs="Arial" w:eastAsia="Arial" w:hAnsi="Arial"/>
          <w:sz w:val="15"/>
          <w:szCs w:val="15"/>
          <w:color w:val="auto"/>
        </w:rPr>
        <w:t>The difference between the Company’s effective tax rates in 2022 and 2021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primary related to its net operating loss carryforwards and tax credit carryforwards.</w:t>
      </w:r>
    </w:p>
    <w:p>
      <w:pPr>
        <w:spacing w:after="0" w:line="9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In connection with the Company’s acquisition of GeneDx, the Company recorded a deferred tax liability of $51.8 million as part of the purchase price accounting. This deferred tax liability serves as a source of future taxable income to support a release of valuation allowance of $48.6 million, which resulted in a deferred tax benefit recorded discretely in the second quarter of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Basic and diluted loss per share attributable to common stockholders was calculated as follows (amounts in thousands, except for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r>
      <w:tr>
        <w:trPr>
          <w:trHeight w:val="24"/>
        </w:trPr>
        <w:tc>
          <w:tcPr>
            <w:tcW w:w="8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5"/>
        </w:trPr>
        <w:tc>
          <w:tcPr>
            <w:tcW w:w="8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(77,581)</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32,731</w:t>
            </w:r>
          </w:p>
        </w:tc>
        <w:tc>
          <w:tcPr>
            <w:tcW w:w="120" w:type="dxa"/>
            <w:vAlign w:val="bottom"/>
          </w:tcPr>
          <w:p>
            <w:pPr>
              <w:spacing w:after="0"/>
              <w:rPr>
                <w:sz w:val="19"/>
                <w:szCs w:val="19"/>
                <w:color w:val="auto"/>
              </w:rPr>
            </w:pP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Denominator for basic and diluted earnings per share-weighted-average common shares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380,764,176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185,680,394</w:t>
            </w:r>
          </w:p>
        </w:tc>
        <w:tc>
          <w:tcPr>
            <w:tcW w:w="120" w:type="dxa"/>
            <w:vAlign w:val="bottom"/>
          </w:tcPr>
          <w:p>
            <w:pPr>
              <w:spacing w:after="0"/>
              <w:rPr>
                <w:sz w:val="19"/>
                <w:szCs w:val="19"/>
                <w:color w:val="auto"/>
              </w:rPr>
            </w:pP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Employee stock options</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24,650,552</w:t>
            </w:r>
          </w:p>
        </w:tc>
        <w:tc>
          <w:tcPr>
            <w:tcW w:w="120" w:type="dxa"/>
            <w:vAlign w:val="bottom"/>
          </w:tcPr>
          <w:p>
            <w:pPr>
              <w:spacing w:after="0"/>
              <w:rPr>
                <w:sz w:val="19"/>
                <w:szCs w:val="19"/>
                <w:color w:val="auto"/>
              </w:rPr>
            </w:pPr>
          </w:p>
        </w:tc>
      </w:tr>
      <w:tr>
        <w:trPr>
          <w:trHeight w:val="21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 for diluted earnings per share-adjusted weighted-average common shares</w:t>
            </w: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380,764,176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210,330,946</w:t>
            </w:r>
          </w:p>
        </w:tc>
        <w:tc>
          <w:tcPr>
            <w:tcW w:w="120" w:type="dxa"/>
            <w:vAlign w:val="bottom"/>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Basic earnings (loss) income per share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income per share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r>
      <w:tr>
        <w:trPr>
          <w:trHeight w:val="728"/>
        </w:trPr>
        <w:tc>
          <w:tcPr>
            <w:tcW w:w="8060" w:type="dxa"/>
            <w:vAlign w:val="bottom"/>
          </w:tcPr>
          <w:p>
            <w:pPr>
              <w:ind w:left="554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2"/>
        </w:trPr>
        <w:tc>
          <w:tcPr>
            <w:tcW w:w="806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4"/>
        </w:trPr>
        <w:tc>
          <w:tcPr>
            <w:tcW w:w="8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(240,219)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(205,205)</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Denominator for basic and diluted earnings per share-weighted-average common shares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321,461,266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63,121,738</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bl>
    <w:p>
      <w:pPr>
        <w:spacing w:after="0" w:line="25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a result of the Business Combination Merger, the Company has retroactively adjusted the weighted-average number of shares of common stock outstanding prior to the Business Combination Merger by multiplying them by the conversion ratio of 123.8339 used to determine the number of shares of common stock into which they converted. The common stock issued as a result of the redeemable convertible preferred stock conversion upon closing of the Business Combination Merger was included in the basic and diluted earnings/(loss) per share calculation on a prospective basis.</w:t>
      </w:r>
    </w:p>
    <w:p>
      <w:pPr>
        <w:spacing w:after="0" w:line="13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Prior to the consummation of the Business Combination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Business Combination Merger, all outstanding Legacy Sema4 Class B common stock has been retroactively converted to the Sema4 Holdings Class A common stock.</w:t>
      </w:r>
    </w:p>
    <w:p>
      <w:pPr>
        <w:spacing w:after="0" w:line="11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160" w:type="dxa"/>
            <w:vAlign w:val="bottom"/>
            <w:gridSpan w:val="3"/>
          </w:tcPr>
          <w:p>
            <w:pPr>
              <w:ind w:left="920"/>
              <w:spacing w:after="0"/>
              <w:rPr>
                <w:sz w:val="20"/>
                <w:szCs w:val="20"/>
                <w:color w:val="auto"/>
              </w:rPr>
            </w:pPr>
            <w:r>
              <w:rPr>
                <w:rFonts w:ascii="Arial" w:cs="Arial" w:eastAsia="Arial" w:hAnsi="Arial"/>
                <w:sz w:val="14"/>
                <w:szCs w:val="14"/>
                <w:b w:val="1"/>
                <w:bCs w:val="1"/>
                <w:color w:val="auto"/>
                <w:w w:val="90"/>
              </w:rPr>
              <w:t>As of September 30,</w:t>
            </w:r>
          </w:p>
        </w:tc>
        <w:tc>
          <w:tcPr>
            <w:tcW w:w="90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9"/>
              </w:rPr>
              <w:t>2021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and RSUs to purchase Class A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56,098,326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8180" w:type="dxa"/>
            <w:vAlign w:val="bottom"/>
          </w:tcPr>
          <w:p>
            <w:pPr>
              <w:ind w:left="20"/>
              <w:spacing w:after="0"/>
              <w:rPr>
                <w:sz w:val="20"/>
                <w:szCs w:val="20"/>
                <w:color w:val="auto"/>
              </w:rPr>
            </w:pPr>
            <w:r>
              <w:rPr>
                <w:rFonts w:ascii="Arial" w:cs="Arial" w:eastAsia="Arial" w:hAnsi="Arial"/>
                <w:sz w:val="18"/>
                <w:szCs w:val="18"/>
                <w:color w:val="auto"/>
              </w:rPr>
              <w:t>Outstanding 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21,994,972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21,994,972</w:t>
            </w:r>
          </w:p>
        </w:tc>
      </w:tr>
      <w:tr>
        <w:trPr>
          <w:trHeight w:val="25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earn-out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17,568,125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16,331,812</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earn-out RSUs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1,453,451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97,114,874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38,326,784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Costs</w:t>
      </w:r>
    </w:p>
    <w:p>
      <w:pPr>
        <w:spacing w:after="0" w:line="18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During the nine months ended September 30, 2022, the Company’s Compensation Committee of the Board of Directors approved by written consents dated February 17, 2022, May 2, 2022 and August 11, 2022 a restructuring plan which was executed by management and restructuring charges were incurred and recorded in connection therewith. These costs include severance packages offered to the employees impacted by the plan and third party consulting costs. Additionally, during the third quarter of 2022, the Board of Directors approved, by a written consent dated August 11, 2022, a restructuring plan that contemplates exiting the Company’s somatic tumor testing business and closing the Company’s laboratory in Branford, CT, by December 31, 2022. In connection with the plan, the Company is also eliminating approximately 250 positions, representing about 13% of its workforce, which, combined with the Company’s prior reductions in force during 2022, will result in the elimination of approximately 30% of the roles from the Legacy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Sema4 business. The table below provides certain information concerning restructuring activity during the nine months ended September 30, 2022:</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Reserve Balance at December 31,</w:t>
            </w:r>
          </w:p>
        </w:tc>
        <w:tc>
          <w:tcPr>
            <w:tcW w:w="2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8"/>
              </w:rPr>
              <w:t>Charged to Costs and Expenses</w:t>
            </w:r>
          </w:p>
        </w:tc>
        <w:tc>
          <w:tcPr>
            <w:tcW w:w="23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Payments and Other</w:t>
            </w:r>
          </w:p>
        </w:tc>
        <w:tc>
          <w:tcPr>
            <w:tcW w:w="2240" w:type="dxa"/>
            <w:vAlign w:val="bottom"/>
          </w:tcPr>
          <w:p>
            <w:pPr>
              <w:jc w:val="right"/>
              <w:ind w:right="19"/>
              <w:spacing w:after="0"/>
              <w:rPr>
                <w:sz w:val="20"/>
                <w:szCs w:val="20"/>
                <w:color w:val="auto"/>
              </w:rPr>
            </w:pPr>
            <w:r>
              <w:rPr>
                <w:rFonts w:ascii="Arial" w:cs="Arial" w:eastAsia="Arial" w:hAnsi="Arial"/>
                <w:sz w:val="14"/>
                <w:szCs w:val="14"/>
                <w:b w:val="1"/>
                <w:bCs w:val="1"/>
                <w:color w:val="auto"/>
                <w:w w:val="92"/>
              </w:rPr>
              <w:t>Reserve Balance at September 30,</w:t>
            </w: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2240" w:type="dxa"/>
            <w:vAlign w:val="bottom"/>
            <w:vMerge w:val="restart"/>
          </w:tcPr>
          <w:p>
            <w:pPr>
              <w:jc w:val="right"/>
              <w:ind w:right="89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9"/>
                <w:szCs w:val="9"/>
                <w:color w:val="auto"/>
              </w:rPr>
            </w:pPr>
          </w:p>
        </w:tc>
        <w:tc>
          <w:tcPr>
            <w:tcW w:w="2320" w:type="dxa"/>
            <w:vAlign w:val="bottom"/>
            <w:gridSpan w:val="2"/>
            <w:vMerge w:val="continue"/>
          </w:tcPr>
          <w:p>
            <w:pPr>
              <w:spacing w:after="0"/>
              <w:rPr>
                <w:sz w:val="9"/>
                <w:szCs w:val="9"/>
                <w:color w:val="auto"/>
              </w:rPr>
            </w:pPr>
          </w:p>
        </w:tc>
        <w:tc>
          <w:tcPr>
            <w:tcW w:w="2320" w:type="dxa"/>
            <w:vAlign w:val="bottom"/>
            <w:gridSpan w:val="2"/>
            <w:vMerge w:val="continue"/>
          </w:tcPr>
          <w:p>
            <w:pPr>
              <w:spacing w:after="0"/>
              <w:rPr>
                <w:sz w:val="9"/>
                <w:szCs w:val="9"/>
                <w:color w:val="auto"/>
              </w:rPr>
            </w:pPr>
          </w:p>
        </w:tc>
        <w:tc>
          <w:tcPr>
            <w:tcW w:w="2240" w:type="dxa"/>
            <w:vAlign w:val="bottom"/>
            <w:vMerge w:val="restart"/>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85"/>
        </w:trPr>
        <w:tc>
          <w:tcPr>
            <w:tcW w:w="1360" w:type="dxa"/>
            <w:vAlign w:val="bottom"/>
            <w:tcBorders>
              <w:bottom w:val="single" w:sz="8" w:color="CCEEFF"/>
            </w:tcBorders>
          </w:tcPr>
          <w:p>
            <w:pPr>
              <w:spacing w:after="0"/>
              <w:rPr>
                <w:sz w:val="7"/>
                <w:szCs w:val="7"/>
                <w:color w:val="auto"/>
              </w:rPr>
            </w:pPr>
          </w:p>
        </w:tc>
        <w:tc>
          <w:tcPr>
            <w:tcW w:w="224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23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25"/>
        </w:trPr>
        <w:tc>
          <w:tcPr>
            <w:tcW w:w="1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22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w:t>
            </w:r>
          </w:p>
        </w:tc>
        <w:tc>
          <w:tcPr>
            <w:tcW w:w="8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8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19"/>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18,554</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Company may incur additional expenses not currently contemplated due to events associated with the reduction in force. The charges that the Company expects to incur in connection with the reduction in force are estimates and subject to a number of assumptions, and actual results may differ materially.</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Financial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payable and accrued expenses consisted of the following (in thousands):</w:t>
      </w:r>
    </w:p>
    <w:p>
      <w:pPr>
        <w:spacing w:after="0" w:line="27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8"/>
              </w:rPr>
              <w:t>As of December 31</w:t>
            </w:r>
          </w:p>
        </w:tc>
      </w:tr>
      <w:tr>
        <w:trPr>
          <w:trHeight w:val="189"/>
        </w:trPr>
        <w:tc>
          <w:tcPr>
            <w:tcW w:w="8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51"/>
        </w:trPr>
        <w:tc>
          <w:tcPr>
            <w:tcW w:w="8180" w:type="dxa"/>
            <w:vAlign w:val="bottom"/>
          </w:tcPr>
          <w:p>
            <w:pPr>
              <w:ind w:left="20"/>
              <w:spacing w:after="0"/>
              <w:rPr>
                <w:sz w:val="20"/>
                <w:szCs w:val="20"/>
                <w:color w:val="auto"/>
              </w:rPr>
            </w:pPr>
            <w:r>
              <w:rPr>
                <w:rFonts w:ascii="Arial" w:cs="Arial" w:eastAsia="Arial" w:hAnsi="Arial"/>
                <w:sz w:val="18"/>
                <w:szCs w:val="18"/>
                <w:color w:val="auto"/>
              </w:rPr>
              <w:t>Accrued purchases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5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Reserves for refunds to insurance carriers </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1"/>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160" w:hanging="314"/>
        <w:spacing w:after="0" w:line="267" w:lineRule="auto"/>
        <w:tabs>
          <w:tab w:leader="none" w:pos="3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During the third quarter of 2022, $19.7 million of the reserve for refunds to insurance carriers was reclassified to other liabilities in the Condensed Consolidated Balance sheets as the Company anticipates that certain refunds are to be made quarterly over the next 4 years.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current liabilities consisted of the following (in thousands):</w:t>
      </w:r>
    </w:p>
    <w:p>
      <w:pPr>
        <w:spacing w:after="0" w:line="286" w:lineRule="exact"/>
        <w:rPr>
          <w:sz w:val="20"/>
          <w:szCs w:val="20"/>
          <w:color w:val="auto"/>
        </w:rPr>
      </w:pPr>
    </w:p>
    <w:p>
      <w:pPr>
        <w:jc w:val="right"/>
        <w:spacing w:after="0"/>
        <w:tabs>
          <w:tab w:leader="none" w:pos="1080" w:val="left"/>
        </w:tabs>
        <w:rPr>
          <w:sz w:val="20"/>
          <w:szCs w:val="20"/>
          <w:color w:val="auto"/>
        </w:rPr>
      </w:pPr>
      <w:r>
        <w:rPr>
          <w:rFonts w:ascii="Arial" w:cs="Arial" w:eastAsia="Arial" w:hAnsi="Arial"/>
          <w:sz w:val="14"/>
          <w:szCs w:val="14"/>
          <w:b w:val="1"/>
          <w:bCs w:val="1"/>
          <w:color w:val="auto"/>
        </w:rPr>
        <w:t>As of September 30,</w:t>
      </w:r>
      <w:r>
        <w:rPr>
          <w:sz w:val="20"/>
          <w:szCs w:val="20"/>
          <w:color w:val="auto"/>
        </w:rPr>
        <w:tab/>
      </w:r>
      <w:r>
        <w:rPr>
          <w:rFonts w:ascii="Arial" w:cs="Arial" w:eastAsia="Arial" w:hAnsi="Arial"/>
          <w:sz w:val="12"/>
          <w:szCs w:val="12"/>
          <w:b w:val="1"/>
          <w:bCs w:val="1"/>
          <w:color w:val="auto"/>
        </w:rPr>
        <w:t>As of December 31</w:t>
      </w:r>
    </w:p>
    <w:p>
      <w:pPr>
        <w:spacing w:after="0" w:line="1" w:lineRule="exact"/>
        <w:rPr>
          <w:sz w:val="20"/>
          <w:szCs w:val="20"/>
          <w:color w:val="auto"/>
        </w:rPr>
      </w:pPr>
    </w:p>
    <w:p>
      <w:pPr>
        <w:ind w:left="9100"/>
        <w:spacing w:after="0"/>
        <w:tabs>
          <w:tab w:leader="none" w:pos="106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11430</wp:posOffset>
            </wp:positionV>
            <wp:extent cx="6995160" cy="151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5113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sectPr>
      </w:pP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bonus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6995160" cy="160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60020"/>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benefits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6995160" cy="142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Indemnification liabilities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Current portion of the contingent consideration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33020</wp:posOffset>
            </wp:positionV>
            <wp:extent cx="6995160" cy="142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2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13,026</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52"/>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2"/>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6"/>
        </w:trPr>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19"/>
        </w:trPr>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80" w:space="720"/>
            <w:col w:w="2840"/>
          </w:cols>
          <w:pgMar w:left="320" w:top="313" w:right="2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9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29"/>
        </w:trPr>
        <w:tc>
          <w:tcPr>
            <w:tcW w:w="3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7720" w:type="dxa"/>
            <w:vAlign w:val="bottom"/>
          </w:tcPr>
          <w:p>
            <w:pPr>
              <w:jc w:val="center"/>
              <w:ind w:left="932"/>
              <w:spacing w:after="0"/>
              <w:rPr>
                <w:sz w:val="20"/>
                <w:szCs w:val="20"/>
                <w:color w:val="auto"/>
              </w:rPr>
            </w:pPr>
            <w:r>
              <w:rPr>
                <w:rFonts w:ascii="Arial" w:cs="Arial" w:eastAsia="Arial" w:hAnsi="Arial"/>
                <w:sz w:val="18"/>
                <w:szCs w:val="18"/>
                <w:b w:val="1"/>
                <w:bCs w:val="1"/>
                <w:color w:val="auto"/>
                <w:w w:val="88"/>
              </w:rPr>
              <w:t>Sema4 Holdings Corp.</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8"/>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720" w:type="dxa"/>
            <w:vAlign w:val="bottom"/>
          </w:tcPr>
          <w:p>
            <w:pPr>
              <w:jc w:val="center"/>
              <w:ind w:left="912"/>
              <w:spacing w:after="0"/>
              <w:rPr>
                <w:sz w:val="20"/>
                <w:szCs w:val="20"/>
                <w:color w:val="auto"/>
              </w:rPr>
            </w:pPr>
            <w:r>
              <w:rPr>
                <w:rFonts w:ascii="Arial" w:cs="Arial" w:eastAsia="Arial" w:hAnsi="Arial"/>
                <w:sz w:val="18"/>
                <w:szCs w:val="18"/>
                <w:b w:val="1"/>
                <w:bCs w:val="1"/>
                <w:color w:val="auto"/>
                <w:w w:val="87"/>
              </w:rPr>
              <w:t>Notes to Unaudited Condensed Consolidated Financial Statements</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30"/>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16. Goodwill and intangible assets</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8"/>
        </w:trPr>
        <w:tc>
          <w:tcPr>
            <w:tcW w:w="32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The changes in the carrying amounts of goodwill were as follows (in thousands):</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0"/>
        </w:trPr>
        <w:tc>
          <w:tcPr>
            <w:tcW w:w="320" w:type="dxa"/>
            <w:vAlign w:val="bottom"/>
          </w:tcPr>
          <w:p>
            <w:pPr>
              <w:spacing w:after="0"/>
              <w:rPr>
                <w:sz w:val="17"/>
                <w:szCs w:val="17"/>
                <w:color w:val="auto"/>
              </w:rPr>
            </w:pPr>
          </w:p>
        </w:tc>
        <w:tc>
          <w:tcPr>
            <w:tcW w:w="86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5"/>
        </w:trPr>
        <w:tc>
          <w:tcPr>
            <w:tcW w:w="320" w:type="dxa"/>
            <w:vAlign w:val="bottom"/>
          </w:tcPr>
          <w:p>
            <w:pPr>
              <w:spacing w:after="0"/>
              <w:rPr>
                <w:sz w:val="19"/>
                <w:szCs w:val="19"/>
                <w:color w:val="auto"/>
              </w:rPr>
            </w:pPr>
          </w:p>
        </w:tc>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8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181,184</w:t>
            </w:r>
          </w:p>
        </w:tc>
      </w:tr>
      <w:tr>
        <w:trPr>
          <w:trHeight w:val="225"/>
        </w:trPr>
        <w:tc>
          <w:tcPr>
            <w:tcW w:w="320" w:type="dxa"/>
            <w:vAlign w:val="bottom"/>
          </w:tcPr>
          <w:p>
            <w:pPr>
              <w:spacing w:after="0"/>
              <w:rPr>
                <w:sz w:val="19"/>
                <w:szCs w:val="19"/>
                <w:color w:val="auto"/>
              </w:rPr>
            </w:pPr>
          </w:p>
        </w:tc>
        <w:tc>
          <w:tcPr>
            <w:tcW w:w="8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Additions</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44"/>
        </w:trPr>
        <w:tc>
          <w:tcPr>
            <w:tcW w:w="32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181,468</w:t>
            </w:r>
          </w:p>
        </w:tc>
      </w:tr>
      <w:tr>
        <w:trPr>
          <w:trHeight w:val="20"/>
        </w:trPr>
        <w:tc>
          <w:tcPr>
            <w:tcW w:w="32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following table reflects the fair values and remaining useful lives of the acquired intangible assets identified based on the Company’s preliminary purchase accounting assessments:</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29, 2022</w:t>
            </w:r>
          </w:p>
        </w:tc>
        <w:tc>
          <w:tcPr>
            <w:tcW w:w="180" w:type="dxa"/>
            <w:vAlign w:val="bottom"/>
          </w:tcPr>
          <w:p>
            <w:pPr>
              <w:spacing w:after="0"/>
              <w:rPr>
                <w:sz w:val="15"/>
                <w:szCs w:val="15"/>
                <w:color w:val="auto"/>
              </w:rPr>
            </w:pPr>
          </w:p>
        </w:tc>
        <w:tc>
          <w:tcPr>
            <w:tcW w:w="146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September 30, 2022</w:t>
            </w:r>
          </w:p>
        </w:tc>
        <w:tc>
          <w:tcPr>
            <w:tcW w:w="1760" w:type="dxa"/>
            <w:vAlign w:val="bottom"/>
          </w:tcPr>
          <w:p>
            <w:pPr>
              <w:ind w:left="500"/>
              <w:spacing w:after="0"/>
              <w:rPr>
                <w:sz w:val="20"/>
                <w:szCs w:val="20"/>
                <w:color w:val="auto"/>
              </w:rPr>
            </w:pPr>
            <w:r>
              <w:rPr>
                <w:rFonts w:ascii="Arial" w:cs="Arial" w:eastAsia="Arial" w:hAnsi="Arial"/>
                <w:sz w:val="14"/>
                <w:szCs w:val="14"/>
                <w:b w:val="1"/>
                <w:bCs w:val="1"/>
                <w:color w:val="auto"/>
              </w:rPr>
              <w:t>Life (in Years)</w:t>
            </w:r>
          </w:p>
        </w:tc>
      </w:tr>
      <w:tr>
        <w:trPr>
          <w:trHeight w:val="24"/>
        </w:trPr>
        <w:tc>
          <w:tcPr>
            <w:tcW w:w="5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Tradenames and trademarks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48,698</w:t>
            </w:r>
          </w:p>
        </w:tc>
        <w:tc>
          <w:tcPr>
            <w:tcW w:w="176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5"/>
              </w:rPr>
              <w:t>15.5</w:t>
            </w:r>
          </w:p>
        </w:tc>
      </w:tr>
      <w:tr>
        <w:trPr>
          <w:trHeight w:val="225"/>
        </w:trPr>
        <w:tc>
          <w:tcPr>
            <w:tcW w:w="5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45,500</w:t>
            </w:r>
          </w:p>
        </w:tc>
        <w:tc>
          <w:tcPr>
            <w:tcW w:w="1760" w:type="dxa"/>
            <w:vAlign w:val="bottom"/>
          </w:tcPr>
          <w:p>
            <w:pPr>
              <w:jc w:val="center"/>
              <w:ind w:left="16"/>
              <w:spacing w:after="0"/>
              <w:rPr>
                <w:sz w:val="20"/>
                <w:szCs w:val="20"/>
                <w:color w:val="auto"/>
              </w:rPr>
            </w:pPr>
            <w:r>
              <w:rPr>
                <w:rFonts w:ascii="Arial" w:cs="Arial" w:eastAsia="Arial" w:hAnsi="Arial"/>
                <w:sz w:val="18"/>
                <w:szCs w:val="18"/>
                <w:color w:val="auto"/>
                <w:w w:val="87"/>
              </w:rPr>
              <w:t>7.5</w:t>
            </w:r>
          </w:p>
        </w:tc>
      </w:tr>
      <w:tr>
        <w:trPr>
          <w:trHeight w:val="225"/>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95,958</w:t>
            </w:r>
          </w:p>
        </w:tc>
        <w:tc>
          <w:tcPr>
            <w:tcW w:w="176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5"/>
              </w:rPr>
              <w:t>19.5</w:t>
            </w:r>
          </w:p>
        </w:tc>
      </w:tr>
      <w:tr>
        <w:trPr>
          <w:trHeight w:val="218"/>
        </w:trPr>
        <w:tc>
          <w:tcPr>
            <w:tcW w:w="59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190,156</w:t>
            </w:r>
          </w:p>
        </w:tc>
        <w:tc>
          <w:tcPr>
            <w:tcW w:w="176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right="80" w:firstLine="318"/>
        <w:spacing w:after="0" w:line="252" w:lineRule="auto"/>
        <w:rPr>
          <w:sz w:val="20"/>
          <w:szCs w:val="20"/>
          <w:color w:val="auto"/>
        </w:rPr>
      </w:pPr>
      <w:r>
        <w:rPr>
          <w:rFonts w:ascii="Arial" w:cs="Arial" w:eastAsia="Arial" w:hAnsi="Arial"/>
          <w:sz w:val="18"/>
          <w:szCs w:val="18"/>
          <w:color w:val="auto"/>
        </w:rPr>
        <w:t>Amortization expense for tradenames and trademarks and developed technology of $3.8 million was recorded in general and administrative for the nine months ended September 30, 2022 within the condensed consolidated statements of operations and comprehensive loss. Amortization expense for customer relationships of $2.0 million was recorded in selling and marketing for the nine months ended September 30, 2022 within the condensed consolidated statements of operations and comprehensive loss.</w:t>
      </w:r>
    </w:p>
    <w:p>
      <w:pPr>
        <w:spacing w:after="0" w:line="15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following table summarizes the Company’s estimated future amortization expense of intangible assets with finite lives as of September 30, 2022 (in thousands):</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the year)</w:t>
            </w:r>
          </w:p>
        </w:tc>
        <w:tc>
          <w:tcPr>
            <w:tcW w:w="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2023</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14,025</w:t>
            </w:r>
          </w:p>
        </w:tc>
      </w:tr>
      <w:tr>
        <w:trPr>
          <w:trHeight w:val="226"/>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2025</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14,025</w:t>
            </w:r>
          </w:p>
        </w:tc>
      </w:tr>
      <w:tr>
        <w:trPr>
          <w:trHeight w:val="226"/>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r>
      <w:tr>
        <w:trPr>
          <w:trHeight w:val="225"/>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130,551</w:t>
            </w:r>
          </w:p>
        </w:tc>
      </w:tr>
      <w:tr>
        <w:trPr>
          <w:trHeight w:val="244"/>
        </w:trPr>
        <w:tc>
          <w:tcPr>
            <w:tcW w:w="8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estimated future amortization expense</w:t>
            </w:r>
          </w:p>
        </w:tc>
        <w:tc>
          <w:tcPr>
            <w:tcW w:w="86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190,156</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of Reproductive and Women’s Health Business</w:t>
      </w:r>
    </w:p>
    <w:p>
      <w:pPr>
        <w:spacing w:after="0" w:line="230" w:lineRule="exact"/>
        <w:rPr>
          <w:sz w:val="20"/>
          <w:szCs w:val="20"/>
          <w:color w:val="auto"/>
        </w:rPr>
      </w:pPr>
    </w:p>
    <w:p>
      <w:pPr>
        <w:jc w:val="both"/>
        <w:ind w:right="80" w:firstLine="318"/>
        <w:spacing w:after="0" w:line="246" w:lineRule="auto"/>
        <w:rPr>
          <w:sz w:val="20"/>
          <w:szCs w:val="20"/>
          <w:color w:val="auto"/>
        </w:rPr>
      </w:pPr>
      <w:r>
        <w:rPr>
          <w:rFonts w:ascii="Arial" w:cs="Arial" w:eastAsia="Arial" w:hAnsi="Arial"/>
          <w:sz w:val="17"/>
          <w:szCs w:val="17"/>
          <w:color w:val="auto"/>
        </w:rPr>
        <w:t>On November 14, 2022, the Company announced its plan to pursue a new strategic direction focused on the Company’s pediatric and rare disease testing business coupled with the Company’s Centrellis data platform. As part of the Company’s strategic realignment, on November 11, 2022, the board of directors of the Company unanimously approved the Company’s exit from the reproductive and women’s health testing business, which includes carrier screening, noninvasive prenatal, and other ancillary reproductive testing offerings. The Company will cease accepting samples for these tests on December 14, 2022 and will begin notifying its customers impacted by this decision immediately. The Company expects to exit the operations of the reproductive and women’s health testing services by the end of the first quarter of 2023. As a result of this announcement, the Company expects to eliminate approximately 500 positions, representing approximately 32.5% of its workforce, and to cease operations at its Stamford, CT laboratory. The Company’s go-forward testing services will be consolidated and performed out of the Company’s Gaithersburg, MD laboratory which was primarily used for the Company’s pediatric and rare disease testing offered by GeneDx. The financial impact of this exit on the Company's consolidated financial statements is currently not able to be estimated due primarily to the proximity</w:t>
      </w: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320" w:top="290"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of the issuance date of this Quarterly Report to the announcement date. However, the Company anticipates that material cash and non-cash charges will be incurred and recorded in the future reporting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DECD Loan</w:t>
      </w:r>
    </w:p>
    <w:p>
      <w:pPr>
        <w:spacing w:after="0" w:line="230" w:lineRule="exact"/>
        <w:rPr>
          <w:sz w:val="20"/>
          <w:szCs w:val="20"/>
          <w:color w:val="auto"/>
        </w:rPr>
      </w:pPr>
    </w:p>
    <w:p>
      <w:pPr>
        <w:jc w:val="both"/>
        <w:ind w:firstLine="318"/>
        <w:spacing w:after="0" w:line="290" w:lineRule="auto"/>
        <w:rPr>
          <w:sz w:val="20"/>
          <w:szCs w:val="20"/>
          <w:color w:val="auto"/>
        </w:rPr>
      </w:pPr>
      <w:r>
        <w:rPr>
          <w:rFonts w:ascii="Arial" w:cs="Arial" w:eastAsia="Arial" w:hAnsi="Arial"/>
          <w:sz w:val="15"/>
          <w:szCs w:val="15"/>
          <w:color w:val="auto"/>
        </w:rPr>
        <w:t>As described in Note 8, the Company has received loan funding commitment from DECD pursuant to the DECD Loan Agreement, which was assigned to the Company by ISMMS. On October 7, 2022, the Company received correspondence from the DECD requesting that the Company pay $1 million towards the $11 million outstanding principal balance by December 31, 2022. This request is in lieu of the Company continuing to provide a security interest in certain machinery and equipment the Company acquired from ISMMS. The machinery and equipment are primarily located in the Company’s laboratory in Branford, CT, which the Company expects to close following exit of the somatic tumor testing business by December 31, 2022. The Company’s somatic testing business was fully operating as of September 30, 2022. The Company expects to pay the requested amount by December 31, 2022.</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and our audited financial statements for the year ended December 31, 2021 and the related notes in our Annual Report on Form 10-K for the year ended December 31, 2021.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 leading health intelligence company—one that can unlock insights from data, leading to healthier lives and a healthier society. We are focused on delivering a portfolio of genomic and data solutions to guide patients through their family health journey. That includes family planning, delivery, pediatrics, hereditary cancer screening, and rare disorders for children and adults.</w:t>
      </w:r>
    </w:p>
    <w:p>
      <w:pPr>
        <w:spacing w:after="0" w:line="14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June 1, 2017, we signed a contribution and funding agreement and other agreements with Icahn School of Medicine at Mount Sinai, or ISMMS, whereby ISMMS contributed certain assets and liabilities related to our operations, provided certain services to us, and also committed to funding us up to $55.0 million in future capital contributions in exchange for equity in Legacy Sema4, of which $55.0 million was drawn as of December 31, 2019. Following the transaction, we commenced operations as a commercial entity that could effectively engage diverse patient populations and health care institutions at scale.</w:t>
      </w:r>
    </w:p>
    <w:p>
      <w:pPr>
        <w:spacing w:after="0" w:line="11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have since established a market leading health intelligence platform, accelerating the use of genomics and leveraging large-scale clinical data to enhance the standard of care through extensive precision medicine solutions. Our business was further strengthened in April 2022 by the acquisition of GeneDx, a leader in genomic testing and analysis for rare disorders. We believe the transaction positions Sema4 as one of the largest and most advanced providers of genomic testing in the U.S. and further strengthens our health information database to transform patient care and improve therapeutic development. We now maintain a database that includes patient data available for research on approximately 12 million patients from a number of public and proprietary sources. More than five million patients are available with clinical data through our partnership health systems and genomic testing solutions that may include structured and unstructured data available for deeper curation to construct more comprehensive natural histories of patients.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Currently, we derive the majority of our revenue from our diagnostic test solutions. Our diagnostic business generates revenue and engages with healthcare professionals working with patients primarily through reproductive and women’s health, pediatric, hereditary cancer screening and rare disease for children and adults.</w:t>
      </w:r>
    </w:p>
    <w:p>
      <w:pPr>
        <w:spacing w:after="0" w:line="14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reproductive and women’s health solutions sequence and analyze an industry-leading number of genes and use interpretive information tools to translate raw sequencing and clinical data efficiently and accurately into digestible clinical reports that guide decision-making by patients and physicians. As described below, we have announced plans to exit this business. The reproductive and women’s health solutions also included Hereditary Cancer genetic testing, which determines if a patient carries an inherited genetic change that increases the risk of cancer or informs on cancer treatment. We will continue to offer this testing and the testing will be performed out of our existing GeneDx laboratory facility in Gaithersburg, MD.</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pediatric and rare disease offerings through GeneDx include testing solutions for children, both inpatient in the neonatal intensive care unit (NICU) and pediatric intensive care unit (PICU) and outpatient for developmental delay and neurodevelopmental delay as well as rare disease for children and adults. We have the industry-leading exome, which includes comprehensive CNV (copy number variation) analysis and have an extensive database of over 400,000 clinically sequenced exomes and more than two million structured phenotypes.</w:t>
      </w:r>
    </w:p>
    <w:p>
      <w:pPr>
        <w:spacing w:after="0" w:line="230" w:lineRule="exact"/>
        <w:rPr>
          <w:sz w:val="20"/>
          <w:szCs w:val="20"/>
          <w:color w:val="auto"/>
        </w:rPr>
      </w:pPr>
    </w:p>
    <w:p>
      <w:pPr>
        <w:jc w:val="both"/>
        <w:ind w:firstLine="397"/>
        <w:spacing w:after="0" w:line="238" w:lineRule="auto"/>
        <w:rPr>
          <w:sz w:val="20"/>
          <w:szCs w:val="20"/>
          <w:color w:val="auto"/>
        </w:rPr>
      </w:pPr>
      <w:r>
        <w:rPr>
          <w:rFonts w:ascii="Arial" w:cs="Arial" w:eastAsia="Arial" w:hAnsi="Arial"/>
          <w:sz w:val="18"/>
          <w:szCs w:val="18"/>
          <w:color w:val="auto"/>
        </w:rPr>
        <w:t>On November 14, 2022, we announced our plan to pursue a new strategic direction focused on our pediatric and rare disease testing business coupled with our Centrellis data platform. As part of our strategic realignment, on November 11, 2022, our board of directors unanimously approved our exit from the reproductive and women’s health testing business, which includes carrier screening, noninvasive prenatal, and other ancillary reproductive testing offerings. The operations of these testing services are expected to cease by the end of the first quarter of 2023. This business was the core business of Sema4 prior to the acquisition of GeneDx. After a thorough review of a number of factors including the competitive landscape, recent shifts in payor coverage and reimbursement, declining average selling prices, and cost structure, and consideration of existing capital markets constraints and the macroeconomic climate, we have concluded that this business</w:t>
      </w: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is currently unsustainable and cannot be restructured in a way that will allow us to achieve profitable growth and cash preservation. We also engaged a financial advisor in an effort to sell this business as a going concern through a targeted auction process, but did not receive any final proposals and were thus unable to complete a sale. Further, as announced in August 2022, we plan to discontinue our somatic tumor profiling business by December 31, 2022. This business represents less than 1% of our revenue and approximately $35 million of our annual expenses. We expect that exiting this business will result in significant cost savings during the second half of 2022 and 2023, and will positively impact our gross margins. Additionally, beginning in May of 2020 through March 31, 2022, we provided diagnostic testing services to identify the presence of COVID-19.</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for more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resulted tests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4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 In particular, we are currently engaged in discussions with one of our third-party payors regarding certain overpayments we allegedly received from the payor for services that the payor alleges are not covered by, or were not otherwise properly billed to, the payor. As a result of this matter and other potential settlements with payors, we have established certain liabilities and reversed certain of our previously recorded revenue. We intend to seek to resolve this matter and any other recovery or recoupment claims in a mutually satisfactory manner, although it is possible that any such settlement may also result in lowered contracted reimbursement</w:t>
      </w:r>
    </w:p>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rates for our tests. For more information regarding this matter, see Note 4, “Revenue Recognition” to our unaudited condensed consolidated financial statements included within this Quarterly Report.</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7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6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unaudited condensed consolidated financial statements and the related notes and other financial information included elsewhere in this report.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nine months ended September 30, 2022, we resulted 402,766 tests in our laboratories, 73,408 tests of which were for COVID-19, compared to the nine months ended September 30, 2021, in which we resulted 481,896 tests in our laboratories, 272,973 of which were for COVID-19. This 58% increase in resulted volumes, excluding COVID-19 tests volumes, is primarily a result of the inclusion of volumes from GeneDx’s laboratory following the closing of the Acquisition of GeneDx as further discussed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2022, our test volumes improved to what would, at this time, be considered normalized market conditions. A COVID-19 resurgence in the United States could however have a material impact on our results of operations, cash flows, and financial condition.</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income in the statements of operations and comprehensive loss during the periods in which we received the funds.</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Funds provided under the ERC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funds received under the ERC and recorded the proceeds in other current liabilities on the unaudited condensed consolidated balance sheets.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GeneDx</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January 2022, we and our wholly-owned subsidiaries, Orion Merger Sub I, Inc., or Merger Sub I, and Orion Merger Sub II, LLC, or Merger Sub II, entered into an Agreement and Plan of Merger and Reorganization (which we refer to, as amended, as the “Acquisition Merger Agreement”), with GeneDx, Inc., a New Jersey corporation, or GeneDx, and a wholly-owned subsidiary of OPKO Health, Inc., or OPKO, GeneDx Holding 2, Inc., or Holdco, and OPKO to acquire 100% of GeneDx (which we refer to as the “Acquisition”). Subject to the terms and conditions of the Acquisition Merger Agreement, we agreed to pay consideration to OPKO for the Acquisition of (i) $150 million in cash at the closing of the Acquisition, subject to certain adjustments as provided in the Acquisition Merger Agreement, (ii) 80 million shares of our Class A common stock to be issued at the closing of the Acquisition and (iii) up to $150 million payable following the closing of the Acquisition, if certain revenue-based milestones were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our Class A common stock (valued at $4.86 per share, subject to adjustment for stock splits and similar changes), with such mix to be determined in our sole discretion.</w:t>
      </w:r>
    </w:p>
    <w:p>
      <w:pPr>
        <w:spacing w:after="0" w:line="15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Acquisition closed on April 29, 2022. Our net loss for the three and nine months ended September 30, 2022 includes the results of operations of GeneDx from the date of acquisition. We expect to leverage the combined health information database of Sema4 and GeneDx to partner with additional health systems and biopharma companies to transform patient care and therapeutic development and enable precision medicine for all.</w:t>
      </w:r>
    </w:p>
    <w:p>
      <w:pPr>
        <w:spacing w:after="0" w:line="9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Concurrently with the execution of the Acquisition Merger Agreement, we entered into subscription agreements with certain institutional investors, pursuant to, and on the terms and subject to the conditions of which, these investors collectively subscribed for 50 million shares of our Class A common stock for an aggregate purchase price equal to $200 million (which we refer to as the “Acquisition PIPE Investment”). The Acquisition PIPE Investment was consummated substantially concurrently with the closing of the Acquisition.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Russia and Ukraine Conflict</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first quarter of 2022, Russia commenced a military invasion of Ukraine, and the ensuing conflict has created disruption in the region and around the world. Sema4 continues to utilize Ukraine-based contractors as of September 30, 2022. To date, this has not had a material effect on our operations, and we have taken additional measures in securing and monitoring data and remote access.</w:t>
      </w:r>
    </w:p>
    <w:p>
      <w:pPr>
        <w:spacing w:after="0" w:line="16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continue to closely monitor the ongoing conflict and related sanctions, which could impact our business, financial results and results of operations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We derive the majority of our revenue from genetic and genomic diagnostic testing services primarily relating to reproductive and women’s health, pediatrics, hereditary cancer screening and rare disease in children and adults. We also recognize revenue from collaboration service agreements with Biopharma companies and other third parties pursuant to which we provide diagnostic testing and related data aggregation reporting services. As discussed above, we discontinued COVID-19 testing services as of March 31, 2022 and no longer provide such testing services. We also intend to discontinue our somatic tumor profiling business by December 31, 2022 and cease the operations of our reproductive and women’s health testing services by the end of the first quarter of 2023.</w:t>
      </w:r>
    </w:p>
    <w:p>
      <w:pPr>
        <w:spacing w:after="0" w:line="14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primarily generate revenue from performing diagnostic testing services for three groups of customers: healthcare professionals working with patients with third-party insurance coverage or without third-party insurance coverage, institutional clients such as hospitals, clinics, state governments and reference laboratories, or self-pay patients.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2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and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1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16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51"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w:t>
      </w:r>
    </w:p>
    <w:p>
      <w:pPr>
        <w:spacing w:after="0" w:line="23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7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Related party expenses consist of amounts due to ISMMS for expenses under our Transition Services Agreement with ISMMS, or the ISMMS TSA, which expired at the end of the first quarter of 2021, and other service agreements. In addition, GeneDx and OPKO entered into a Transition Services Agreement dated as of April 29, 2022, or the OPKO TSA, pursuant to which OPKO has agreed to provide, at cost, certain services in support of the Acquisition of the GeneDx business through December 31, 2022, subject to certain limited exceptions, in order to facilitate the transactions contemplated by the Acquisition Merger Agreement. Additional information can be found in the audited financial statements in Note 7,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xml:space="preserve"> included within our Annual Report on Form 10-K for the year ended December 31, 2021, and our unaudited condensed consolidated financial statements in Note 7, </w:t>
      </w:r>
      <w:r>
        <w:rPr>
          <w:rFonts w:ascii="Arial" w:cs="Arial" w:eastAsia="Arial" w:hAnsi="Arial"/>
          <w:sz w:val="17"/>
          <w:szCs w:val="17"/>
          <w:i w:val="1"/>
          <w:iCs w:val="1"/>
          <w:color w:val="auto"/>
        </w:rPr>
        <w:t xml:space="preserve">“Related Party Transactions” </w:t>
      </w:r>
      <w:r>
        <w:rPr>
          <w:rFonts w:ascii="Arial" w:cs="Arial" w:eastAsia="Arial" w:hAnsi="Arial"/>
          <w:sz w:val="17"/>
          <w:szCs w:val="17"/>
          <w:color w:val="auto"/>
        </w:rPr>
        <w:t>included within this Quarterly Report.</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generally expect related party expenses to decrease as we establish our own internal and external resources to fulfill the administrative and other services we have historically procured from ISMMS and following the expiration of the OPKO TSA.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 consists of interest earned on money market funds.</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1"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color w:val="auto"/>
        </w:rPr>
        <w:t>Interest expense consists of interest costs incurred related to our finance leases and our long-term debt arrangements, including unused line fee and the amortization of deferred transaction costs related to the loan and security agreement entered into with Silicon Valley Bank that provides a $125 million revolving credit facility described elsewhere in this report. No amounts have been drawn under the revolving credit facility as of September 30, 2022.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income consists of funding received under the CARES Act. We recognized $5.6 million of additional funding received under the CARES Act during the first quarter of 2021 and the amount is included in other income for the nine months ended September 30, 2021. This was partially offset by a loss from extinguishment of debt of $0.3 million and refund payment of $0.2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2022 and 2021</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6"/>
              </w:rPr>
              <w:t>Three months ended September 30,</w:t>
            </w:r>
          </w:p>
        </w:tc>
      </w:tr>
      <w:tr>
        <w:trPr>
          <w:trHeight w:val="24"/>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w w:val="99"/>
              </w:rPr>
              <w:t>2021 (1)</w:t>
            </w:r>
          </w:p>
        </w:tc>
      </w:tr>
      <w:tr>
        <w:trPr>
          <w:trHeight w:val="24"/>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3"/>
                <w:szCs w:val="23"/>
                <w:color w:val="auto"/>
              </w:rPr>
            </w:pPr>
          </w:p>
        </w:tc>
      </w:tr>
      <w:tr>
        <w:trPr>
          <w:trHeight w:val="24"/>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Diagnostic test revenue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81,490</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41,410</w:t>
            </w:r>
          </w:p>
        </w:tc>
      </w:tr>
      <w:tr>
        <w:trPr>
          <w:trHeight w:val="22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43,178</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51,487</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Gross profit (loss)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(8,309)</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17,831</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28,152</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33,125</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(88,264)</w:t>
            </w:r>
          </w:p>
        </w:tc>
      </w:tr>
      <w:tr>
        <w:trPr>
          <w:trHeight w:val="106"/>
        </w:trPr>
        <w:tc>
          <w:tcPr>
            <w:tcW w:w="8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122,171</w:t>
            </w:r>
          </w:p>
        </w:tc>
      </w:tr>
      <w:tr>
        <w:trPr>
          <w:trHeight w:val="22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52"/>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31"/>
        </w:trPr>
        <w:tc>
          <w:tcPr>
            <w:tcW w:w="818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Total other income (expense), net</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120,995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and comprehensive (loss) income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32,731</w:t>
            </w:r>
          </w:p>
        </w:tc>
      </w:tr>
    </w:tbl>
    <w:p>
      <w:pPr>
        <w:spacing w:after="0" w:line="255" w:lineRule="exact"/>
        <w:rPr>
          <w:sz w:val="20"/>
          <w:szCs w:val="20"/>
          <w:color w:val="auto"/>
        </w:rPr>
      </w:pPr>
    </w:p>
    <w:p>
      <w:pPr>
        <w:ind w:firstLine="6"/>
        <w:spacing w:after="0" w:line="263" w:lineRule="auto"/>
        <w:tabs>
          <w:tab w:leader="none" w:pos="2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3020" w:type="dxa"/>
            <w:vAlign w:val="bottom"/>
            <w:gridSpan w:val="6"/>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00" w:type="dxa"/>
            <w:vAlign w:val="bottom"/>
          </w:tcPr>
          <w:p>
            <w:pPr>
              <w:spacing w:after="0"/>
              <w:rPr>
                <w:sz w:val="16"/>
                <w:szCs w:val="16"/>
                <w:color w:val="auto"/>
              </w:rPr>
            </w:pPr>
          </w:p>
        </w:tc>
        <w:tc>
          <w:tcPr>
            <w:tcW w:w="30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Pr>
          <w:p>
            <w:pPr>
              <w:spacing w:after="0"/>
              <w:rPr>
                <w:sz w:val="16"/>
                <w:szCs w:val="16"/>
                <w:color w:val="auto"/>
              </w:rPr>
            </w:pPr>
          </w:p>
        </w:tc>
        <w:tc>
          <w:tcPr>
            <w:tcW w:w="124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1"/>
              </w:rPr>
              <w:t>2021 to 2022</w:t>
            </w:r>
          </w:p>
        </w:tc>
        <w:tc>
          <w:tcPr>
            <w:tcW w:w="100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gridSpan w:val="3"/>
          </w:tcPr>
          <w:p>
            <w:pPr>
              <w:jc w:val="right"/>
              <w:ind w:right="58"/>
              <w:spacing w:after="0"/>
              <w:rPr>
                <w:sz w:val="20"/>
                <w:szCs w:val="20"/>
                <w:color w:val="auto"/>
              </w:rPr>
            </w:pPr>
            <w:r>
              <w:rPr>
                <w:rFonts w:ascii="Arial" w:cs="Arial" w:eastAsia="Arial" w:hAnsi="Arial"/>
                <w:sz w:val="14"/>
                <w:szCs w:val="14"/>
                <w:b w:val="1"/>
                <w:bCs w:val="1"/>
                <w:color w:val="auto"/>
                <w:w w:val="88"/>
              </w:rPr>
              <w:t>(dollars in thousands)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81,490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41,410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40,080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83,234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43,178</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40,056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r>
    </w:tbl>
    <w:p>
      <w:pPr>
        <w:spacing w:after="0" w:line="200" w:lineRule="exact"/>
        <w:rPr>
          <w:sz w:val="20"/>
          <w:szCs w:val="20"/>
          <w:color w:val="auto"/>
        </w:rPr>
      </w:pPr>
    </w:p>
    <w:p>
      <w:pPr>
        <w:spacing w:after="0" w:line="2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increased by $40.0 million, or 93%, to $83.2 million for the three months ended September 30, 2022, from $43.2 million for the three months ended September 30, 2021.</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Diagnostic test revenue period over period overall increased by $40.1 million, or 97%, to $81.5 million for the three months ended September 30, 2022, from $41.4 million for the three months ended September 30, 2021. The increase was primarily attributable to inclusion of GeneDx revenue of $45.6 million, partially offset by a reduction in somatic oncology testing revenue and COVID-19 testing revenues discontinued in 2022 by $4.4 million.</w:t>
      </w:r>
    </w:p>
    <w:p>
      <w:pPr>
        <w:spacing w:after="0" w:line="118" w:lineRule="exact"/>
        <w:rPr>
          <w:sz w:val="20"/>
          <w:szCs w:val="20"/>
          <w:color w:val="auto"/>
        </w:rPr>
      </w:pPr>
    </w:p>
    <w:p>
      <w:pPr>
        <w:ind w:right="600" w:firstLine="318"/>
        <w:spacing w:after="0" w:line="464" w:lineRule="auto"/>
        <w:rPr>
          <w:sz w:val="20"/>
          <w:szCs w:val="20"/>
          <w:color w:val="auto"/>
        </w:rPr>
      </w:pPr>
      <w:r>
        <w:rPr>
          <w:rFonts w:ascii="Arial" w:cs="Arial" w:eastAsia="Arial" w:hAnsi="Arial"/>
          <w:sz w:val="18"/>
          <w:szCs w:val="18"/>
          <w:color w:val="auto"/>
        </w:rPr>
        <w:t xml:space="preserve">Other revenue decreased by a nominal amount for the three months ended September 30, 2022, from the three months ended September 30, 2021. </w:t>
      </w:r>
      <w:r>
        <w:rPr>
          <w:rFonts w:ascii="Arial" w:cs="Arial" w:eastAsia="Arial" w:hAnsi="Arial"/>
          <w:sz w:val="18"/>
          <w:szCs w:val="18"/>
          <w:b w:val="1"/>
          <w:bCs w:val="1"/>
          <w:i w:val="1"/>
          <w:iCs w:val="1"/>
          <w:color w:val="auto"/>
        </w:rPr>
        <w:t>Cost of Services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760" w:type="dxa"/>
            <w:vAlign w:val="bottom"/>
            <w:gridSpan w:val="4"/>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3"/>
          </w:tcPr>
          <w:p>
            <w:pPr>
              <w:ind w:left="54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69,685</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51,487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18,198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bl>
    <w:p>
      <w:pPr>
        <w:spacing w:after="0" w:line="25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Cost of services increased by $18.2 million, or 35%, to $69.7 million for the three months ended September 30, 2022, from $51.5 million for the three months ended September 30, 2021. The increase was primarily driven by inclusion of $26.0 million of GeneDx cost of services. This was offset by a $3.6 million decrease in costs incurred performing tests for reproductive and women’s health as a result of cost efficiency gained on a per test basis. Furthermore, there was a decrease of $3.7 million in other compensation expenses and a $0.6 million decrease in occupancy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760" w:type="dxa"/>
            <w:vAlign w:val="bottom"/>
            <w:gridSpan w:val="4"/>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13,354</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17,831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8"/>
              </w:rPr>
              <w:t>(4,477)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25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Research and development expense decreased by $4.5 million, or 25%, to $13.4 million for the three months ended September 30, 2022, from $17.8 million for the three months ended September 30, 2021. The decrease was primarily attributable to a $11.3 million decrease in stock-based compensation expense primarily due to the reversal of stock-based compensation expense based on forfeiture of unvested equity awards upon termination of our executives. The decrease was partially offset by the inclusion of $4.6 million of GeneDx costs and restructuring costs of $1.4 million as well as a $1.0 million increase in consultant and other outside services for product development related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center"/>
              <w:ind w:left="8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760" w:type="dxa"/>
            <w:vAlign w:val="bottom"/>
            <w:gridSpan w:val="4"/>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840" w:type="dxa"/>
            <w:vAlign w:val="bottom"/>
          </w:tcPr>
          <w:p>
            <w:pPr>
              <w:spacing w:after="0"/>
              <w:rPr>
                <w:sz w:val="16"/>
                <w:szCs w:val="16"/>
                <w:color w:val="auto"/>
              </w:rPr>
            </w:pPr>
          </w:p>
        </w:tc>
        <w:tc>
          <w:tcPr>
            <w:tcW w:w="1220" w:type="dxa"/>
            <w:vAlign w:val="bottom"/>
          </w:tcPr>
          <w:p>
            <w:pPr>
              <w:jc w:val="center"/>
              <w:ind w:left="8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40" w:type="dxa"/>
            <w:vAlign w:val="bottom"/>
          </w:tcPr>
          <w:p>
            <w:pPr>
              <w:jc w:val="right"/>
              <w:ind w:right="21"/>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20" w:type="dxa"/>
            <w:vAlign w:val="bottom"/>
            <w:gridSpan w:val="3"/>
          </w:tcPr>
          <w:p>
            <w:pPr>
              <w:ind w:left="540"/>
              <w:spacing w:after="0"/>
              <w:rPr>
                <w:sz w:val="20"/>
                <w:szCs w:val="20"/>
                <w:color w:val="auto"/>
              </w:rPr>
            </w:pPr>
            <w:r>
              <w:rPr>
                <w:rFonts w:ascii="Arial" w:cs="Arial" w:eastAsia="Arial" w:hAnsi="Arial"/>
                <w:sz w:val="14"/>
                <w:szCs w:val="14"/>
                <w:b w:val="1"/>
                <w:bCs w:val="1"/>
                <w:color w:val="auto"/>
                <w:w w:val="99"/>
              </w:rPr>
              <w:t>(dollars in thousands)</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
        </w:trPr>
        <w:tc>
          <w:tcPr>
            <w:tcW w:w="5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37,451</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28,152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9,299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bl>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Selling and marketing expense increased by $9.3 million, or 33%, to $37.5 million for the three months ended September 30, 2022, from $28.2 million for the three months ended September 30, 2021. The increase was primarily attributable to the inclusion of $14.1 million of GeneDx costs, $1.2 million of amortization expenses due to customer relationship intangible assets created in connection with the Acquisition, restructuring costs of $1.9 million and an increase of $0.6 million for business travel and business expenses due to the lifting of COVID-19 travel restrictions. These increases were offset by a $6.9 million decrease in other compensation costs and a $1.9 million decrease in stock-based compensation expense due primarily to forfeiture of unvested equity awards upon termination of our executives and employees.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760" w:type="dxa"/>
            <w:vAlign w:val="bottom"/>
            <w:gridSpan w:val="4"/>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3"/>
          </w:tcPr>
          <w:p>
            <w:pPr>
              <w:ind w:left="54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51,863</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33,125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18,738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bl>
    <w:p>
      <w:pPr>
        <w:spacing w:after="0" w:line="25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General and administrative expense increased by $18.7 million, or 57%, to $51.9 million for the three months ended September 30, 2022, from $33.1 million for the three months ended September 30, 2021. The increase was primarily attributable to the inclusion of $9.0 million of GeneDx costs and $2.3 million of amortization expenses due to developed technology and trade name and trademarks intangible assets created in connection with the Acquisition. Restructuring costs and rental vehicles costs also increased by $4.3 million and $2.3 million, respectively. Information technology related expenses increased by $2.9 million due to increased cloud storage requirements and other compensation expenses increased by $2.0 million. These increases were partially offset by a decrease in stock-based compensation expense of $3.7 million primarily due to the reversal of stock-based compensation expense based on forfeiture of unvested equity awards upon termination of our executives and employees.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760" w:type="dxa"/>
            <w:vAlign w:val="bottom"/>
            <w:gridSpan w:val="4"/>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6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1,697</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850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5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Related party expenses increased by $0.9 million, or 100%, to $1.7 million for the three months ended September 30, 2022, from $0.9 million for the three months ended September 30, 2021. The increase was primarily attributable to fees related to support certain services pursuant to the TSA with OPKO as a result of the Acquisition of GeneDx and an increase in information technology related services provided by ISMMS.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7"/>
        </w:trPr>
        <w:tc>
          <w:tcPr>
            <w:tcW w:w="5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740" w:type="dxa"/>
            <w:vAlign w:val="bottom"/>
            <w:gridSpan w:val="4"/>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6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
        </w:trPr>
        <w:tc>
          <w:tcPr>
            <w:tcW w:w="5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996</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969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3589 %</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income increased by $1.0 million, or 3589%, to $1.0 million for the three months ended September 30, 2022, from a nominal amount for the three months ended September 30, 2021. The increase was due to increases in the average cash balances held in our interest-bearing and money market deposit accounts and increases in interest rates.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jc w:val="center"/>
              <w:ind w:left="4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760" w:type="dxa"/>
            <w:vAlign w:val="bottom"/>
            <w:gridSpan w:val="4"/>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880" w:type="dxa"/>
            <w:vAlign w:val="bottom"/>
          </w:tcPr>
          <w:p>
            <w:pPr>
              <w:spacing w:after="0"/>
              <w:rPr>
                <w:sz w:val="16"/>
                <w:szCs w:val="16"/>
                <w:color w:val="auto"/>
              </w:rPr>
            </w:pPr>
          </w:p>
        </w:tc>
        <w:tc>
          <w:tcPr>
            <w:tcW w:w="1180" w:type="dxa"/>
            <w:vAlign w:val="bottom"/>
          </w:tcPr>
          <w:p>
            <w:pPr>
              <w:jc w:val="center"/>
              <w:ind w:left="4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6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(dollars in thousands)</w:t>
            </w: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rPr>
              <w:t>(123)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bl>
    <w:p>
      <w:pPr>
        <w:spacing w:after="0" w:line="253" w:lineRule="exact"/>
        <w:rPr>
          <w:sz w:val="20"/>
          <w:szCs w:val="20"/>
          <w:color w:val="auto"/>
        </w:rPr>
      </w:pPr>
    </w:p>
    <w:p>
      <w:pPr>
        <w:ind w:right="500" w:firstLine="318"/>
        <w:spacing w:after="0" w:line="464" w:lineRule="auto"/>
        <w:rPr>
          <w:sz w:val="20"/>
          <w:szCs w:val="20"/>
          <w:color w:val="auto"/>
        </w:rPr>
      </w:pPr>
      <w:r>
        <w:rPr>
          <w:rFonts w:ascii="Arial" w:cs="Arial" w:eastAsia="Arial" w:hAnsi="Arial"/>
          <w:sz w:val="18"/>
          <w:szCs w:val="18"/>
          <w:color w:val="auto"/>
        </w:rPr>
        <w:t xml:space="preserve">Interest expense increased by a nominal amount for the three months ended September 30, 2022, from the three months ended September 30, 2021. </w:t>
      </w:r>
      <w:r>
        <w:rPr>
          <w:rFonts w:ascii="Arial" w:cs="Arial" w:eastAsia="Arial" w:hAnsi="Arial"/>
          <w:sz w:val="18"/>
          <w:szCs w:val="18"/>
          <w:b w:val="1"/>
          <w:bCs w:val="1"/>
          <w:i w:val="1"/>
          <w:iCs w:val="1"/>
          <w:color w:val="auto"/>
        </w:rPr>
        <w:t>Other Income (Expense)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3000" w:type="dxa"/>
            <w:vAlign w:val="bottom"/>
            <w:gridSpan w:val="5"/>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1040" w:type="dxa"/>
            <w:vAlign w:val="bottom"/>
          </w:tcPr>
          <w:p>
            <w:pPr>
              <w:jc w:val="right"/>
              <w:ind w:right="123"/>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w w:val="88"/>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2"/>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522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expense decreased by $0.5 million, or 100%, to a nominal amount for the three months ended September 30, 2022, from $0.5 million for the three months ended September 30, 2021. The decrease was primarily due to a loss incurred and recorded for $0.3 million from early payment penalties recognized upon extinguishment of debt in the prior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2022 and 2021</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4"/>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w w:val="99"/>
              </w:rPr>
              <w:t>2021 (1)</w:t>
            </w:r>
          </w:p>
        </w:tc>
      </w:tr>
      <w:tr>
        <w:trPr>
          <w:trHeight w:val="24"/>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3"/>
                <w:szCs w:val="23"/>
                <w:color w:val="auto"/>
              </w:rPr>
            </w:pPr>
          </w:p>
        </w:tc>
      </w:tr>
      <w:tr>
        <w:trPr>
          <w:trHeight w:val="24"/>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Diagnostic test revenue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167,989</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148,973</w:t>
            </w:r>
          </w:p>
        </w:tc>
      </w:tr>
      <w:tr>
        <w:trPr>
          <w:trHeight w:val="22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173,344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154,394</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168,190</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Gross profit (loss)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(13,796)</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82,916</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103,116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82,092</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148,033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(342,770)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(330,369)</w:t>
            </w:r>
          </w:p>
        </w:tc>
      </w:tr>
      <w:tr>
        <w:trPr>
          <w:trHeight w:val="86"/>
        </w:trPr>
        <w:tc>
          <w:tcPr>
            <w:tcW w:w="8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122,171</w:t>
            </w:r>
          </w:p>
        </w:tc>
      </w:tr>
      <w:tr>
        <w:trPr>
          <w:trHeight w:val="22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(2,128)</w:t>
            </w:r>
          </w:p>
        </w:tc>
      </w:tr>
      <w:tr>
        <w:trPr>
          <w:trHeight w:val="252"/>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r>
      <w:tr>
        <w:trPr>
          <w:trHeight w:val="231"/>
        </w:trPr>
        <w:tc>
          <w:tcPr>
            <w:tcW w:w="818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125,164</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(205,205)</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(240,219)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(205,205)</w:t>
            </w:r>
          </w:p>
        </w:tc>
      </w:tr>
    </w:tbl>
    <w:p>
      <w:pPr>
        <w:spacing w:after="0" w:line="255" w:lineRule="exact"/>
        <w:rPr>
          <w:sz w:val="20"/>
          <w:szCs w:val="20"/>
          <w:color w:val="auto"/>
        </w:rPr>
      </w:pPr>
    </w:p>
    <w:p>
      <w:pPr>
        <w:ind w:firstLine="6"/>
        <w:spacing w:after="0" w:line="263" w:lineRule="auto"/>
        <w:tabs>
          <w:tab w:leader="none" w:pos="2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ectPr>
          <w:pgSz w:w="11900" w:h="16838" w:orient="portrait"/>
          <w:cols w:equalWidth="0" w:num="1">
            <w:col w:w="11240"/>
          </w:cols>
          <w:pgMar w:left="320" w:top="140" w:right="339" w:bottom="1440" w:gutter="0" w:footer="0" w:header="0"/>
        </w:sectPr>
      </w:pP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740" w:type="dxa"/>
            <w:vAlign w:val="bottom"/>
            <w:gridSpan w:val="5"/>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Pr>
          <w:p>
            <w:pPr>
              <w:spacing w:after="0"/>
              <w:rPr>
                <w:sz w:val="16"/>
                <w:szCs w:val="16"/>
                <w:color w:val="auto"/>
              </w:rPr>
            </w:pPr>
          </w:p>
        </w:tc>
        <w:tc>
          <w:tcPr>
            <w:tcW w:w="124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1"/>
              </w:rPr>
              <w:t>2021 to 2022</w:t>
            </w:r>
          </w:p>
        </w:tc>
        <w:tc>
          <w:tcPr>
            <w:tcW w:w="100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24"/>
        </w:trPr>
        <w:tc>
          <w:tcPr>
            <w:tcW w:w="5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3"/>
          </w:tcPr>
          <w:p>
            <w:pPr>
              <w:jc w:val="right"/>
              <w:ind w:right="58"/>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154,394</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18,950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bl>
    <w:p>
      <w:pPr>
        <w:spacing w:after="0" w:line="200" w:lineRule="exact"/>
        <w:rPr>
          <w:sz w:val="20"/>
          <w:szCs w:val="20"/>
          <w:color w:val="auto"/>
        </w:rPr>
      </w:pPr>
    </w:p>
    <w:p>
      <w:pPr>
        <w:spacing w:after="0" w:line="2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increased by $19.0 million, or 12%, to $173.3 million for the nine months ended September 30, 2022, from $154.4 million for the nine months ended September 30, 2021.</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Diagnostic test revenue period over period overall increased by $19.0 million, or 13%, to $168.0 million for the nine months ended September 30, 2022, from $149.0 million for the nine months ended September 30, 2021. The increase was primarily attributable to inclusion of GeneDx revenue of $71.7 million due to the Acquisition of GeneDx and its revenue generated for the period from May through September 2022, This increase was offset by a reversal of revenue recorded primarily in the second quarter of 2022 by $30.1 million related to certain third-party payor reserves established during the second quarter of 2022, the majority of which are related to periods prior to the second quarter of 2022. This reversal was primarily attributable to declines of average reimbursement rates in our reproductive and women’s health testing services. Additionally, the increase was further offset by $19.9 million decrease in COVID-19 testing revenues discontinued in 2022.</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Other revenue decreased by a nominal amount for the nine months ended September 30, 2022, from the nine months ended September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7"/>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740" w:type="dxa"/>
            <w:vAlign w:val="bottom"/>
            <w:gridSpan w:val="4"/>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183,768</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168,190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15,578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bl>
    <w:p>
      <w:pPr>
        <w:spacing w:after="0" w:line="25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Cost of services increased by $15.6 million, or 9%, to $183.8 million for the nine months ended September 30, 2022, from $168.2 million for the nine months ended September 30, 2021. The increase was primarily attributable to inclusion of GeneDx cost of services of $42.5 million, which was offset by a decrease in stock-based compensation expense of $15.6 million due to the higher expense recorded in the nine months ended September 30, 2021 as a result of the increased fair value of the awards and related mark-to-market fair value adjustment recorded under liability accounting. There was also a decrease of $5.4 million outside labor costs as the need for temporary hires contracted to perform COVID-19 testing activities was no longer required and a decrease of $5.1 million was due to other compensation expenses. Depreciation expense and occupancy costs also decreased by $0.3 million and $0.6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jc w:val="center"/>
              <w:ind w:left="16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740" w:type="dxa"/>
            <w:vAlign w:val="bottom"/>
            <w:gridSpan w:val="4"/>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Pr>
          <w:p>
            <w:pPr>
              <w:spacing w:after="0"/>
              <w:rPr>
                <w:sz w:val="16"/>
                <w:szCs w:val="16"/>
                <w:color w:val="auto"/>
              </w:rPr>
            </w:pPr>
          </w:p>
        </w:tc>
        <w:tc>
          <w:tcPr>
            <w:tcW w:w="1300" w:type="dxa"/>
            <w:vAlign w:val="bottom"/>
          </w:tcPr>
          <w:p>
            <w:pPr>
              <w:jc w:val="center"/>
              <w:ind w:left="16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gridSpan w:val="3"/>
          </w:tcPr>
          <w:p>
            <w:pPr>
              <w:ind w:left="540"/>
              <w:spacing w:after="0"/>
              <w:rPr>
                <w:sz w:val="20"/>
                <w:szCs w:val="20"/>
                <w:color w:val="auto"/>
              </w:rPr>
            </w:pPr>
            <w:r>
              <w:rPr>
                <w:rFonts w:ascii="Arial" w:cs="Arial" w:eastAsia="Arial" w:hAnsi="Arial"/>
                <w:sz w:val="14"/>
                <w:szCs w:val="14"/>
                <w:b w:val="1"/>
                <w:bCs w:val="1"/>
                <w:color w:val="auto"/>
                <w:w w:val="94"/>
              </w:rPr>
              <w:t>(dollars in thousands)</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61,837</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82,916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2"/>
              </w:rPr>
              <w:t>(21,079)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25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Research and development expense decreased by $21.1 million, or 25%, to $61.8 million for the nine months ended September 30, 2022, from $82.9 million for the nine months ended September 30, 2021. The decrease was primarily attributable to a $38.3 million decrease in stock-based compensation expense due to the higher expense recorded in the nine months ended September 30, 2021 as a result of the increased fair value of the awards and related mark-to-market fair value adjustment recorded under liability accounting and a decrease in reagents and laboratory supplies for research and</w:t>
      </w: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development activities of $2.5 million which was partially offset by the inclusion of $7.7 million of GeneDx costs and an increase in other compensation expenses of $5.2 million driven by the product development department. Consultant and other outside services for product development related activities and restructuring expenses also increased by $2.7 million and $2.4 million, respectively. We implemented multiple restructuring activities in 2022. There was also an increase in depreciation expense of $1.0 million and and increase in information technology related expenses of $0.4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740" w:type="dxa"/>
            <w:vAlign w:val="bottom"/>
            <w:gridSpan w:val="4"/>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3"/>
          </w:tcPr>
          <w:p>
            <w:pPr>
              <w:ind w:left="54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103,116</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82,092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21,024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bl>
    <w:p>
      <w:pPr>
        <w:spacing w:after="0" w:line="25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Selling and marketing expense increased by $21.0 million, or 26%, to $103.1 million for the nine months ended September 30, 2022, from $82.1 million for the nine months ended September 30, 2021. The increase was primarily attributable to the inclusion of $21.1 million of GeneDx costs and $2.0 million of amortization expenses due to customer relationship intangible assets created in connection with the Acquisition. Restructuring expenses also increased by $4.5 million due to restructuring activities implemented in 2022 and an additional $4.7 million increase was due to other compensation expenses. Additionally, there was an increase of $1.8 million for business travel and business expenses due to the lifting of COVID-19 travel restrictions, an increase of $1.7 million in consulting service expenses to support revenue cycle transformation initiatives, an increase of $1.2 million in sponsored research, an increase of $0.9 million for other lab services for genetic counseling related to medical education, and an increase of $0.8 million in information technology-related expenses. These increases were offset by a decrease of $17.4 million in stock-based compensation expense primarily due to the increased fair value of the awards and related mark-to-market fair value adjustment recorded under liability accounting in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740" w:type="dxa"/>
            <w:vAlign w:val="bottom"/>
            <w:gridSpan w:val="4"/>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162,681</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148,033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14,648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bl>
    <w:p>
      <w:pPr>
        <w:spacing w:after="0" w:line="253"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General and administrative expense increased by $14.6 million, or 10%, to $162.7 million for the nine months ended September 30, 2022, from $148.0 million for the nine months ended September 30, 2021. The increase was primarily attributable to an increase of $19.5 million in other compensation expenses driven by an increase in functional headcount mid-late 2021, the inclusion of $17.3 million of GeneDx costs, and $3.8 million of amortization expenses due to amortization expenses of developed technology and trade name and trademark intangible assets created in connection with the Acquisition. Restructuring costs also increased by $9.9 million due to restructuring activities implemented in 2022 and an increase of $18.2 million was due primarily to professional service costs incurred in connection with the Acquisition transaction, which include due diligence, legal and business integration costs and other accounting and legal expenses. Information technology related expenses increased by $8.6 million which is due to increased cloud storage requirements and insurance expenses also increased by $3.6 million primarily due to the commencement of certain insurance policies. Rental vehicle expenses and depreciation expenses also increased by $2.3 million and $1.0 million, respectively. Additionally, there was increase in state income tax and business travel expenses by $1.0 million and $0.5 million, respectively. These increases were offset by a $71.2 million decrease in stock-based compensation expense due to the higher expense recorded in the first quarter of 2021 as a result of the increased fair value of the awards and related mark-to-market fair value adjustment recorded under liability accounting in 2021 and the reversal of stock-based compensation expense based on forfeiture of unvested equity awards upon termination of our executives and employees.</w:t>
      </w: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center"/>
              <w:ind w:left="8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740" w:type="dxa"/>
            <w:vAlign w:val="bottom"/>
            <w:gridSpan w:val="4"/>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840" w:type="dxa"/>
            <w:vAlign w:val="bottom"/>
          </w:tcPr>
          <w:p>
            <w:pPr>
              <w:spacing w:after="0"/>
              <w:rPr>
                <w:sz w:val="16"/>
                <w:szCs w:val="16"/>
                <w:color w:val="auto"/>
              </w:rPr>
            </w:pPr>
          </w:p>
        </w:tc>
        <w:tc>
          <w:tcPr>
            <w:tcW w:w="1220" w:type="dxa"/>
            <w:vAlign w:val="bottom"/>
          </w:tcPr>
          <w:p>
            <w:pPr>
              <w:jc w:val="center"/>
              <w:ind w:left="8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40" w:type="dxa"/>
            <w:vAlign w:val="bottom"/>
          </w:tcPr>
          <w:p>
            <w:pPr>
              <w:jc w:val="right"/>
              <w:ind w:right="21"/>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2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4,712</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1,180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Related party expenses increased by $1.2 million, or 33%, to $4.7 million for the nine months ended September 30, 2022, from $3.5 million for the nine months ended September 30, 2021. The increase was primarily attributable to fees related to support certain services pursuant to the TSA with OPKO as a result of the Acquisition of GeneDx.</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jc w:val="center"/>
              <w:ind w:left="8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740" w:type="dxa"/>
            <w:vAlign w:val="bottom"/>
            <w:gridSpan w:val="4"/>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860" w:type="dxa"/>
            <w:vAlign w:val="bottom"/>
          </w:tcPr>
          <w:p>
            <w:pPr>
              <w:spacing w:after="0"/>
              <w:rPr>
                <w:sz w:val="16"/>
                <w:szCs w:val="16"/>
                <w:color w:val="auto"/>
              </w:rPr>
            </w:pPr>
          </w:p>
        </w:tc>
        <w:tc>
          <w:tcPr>
            <w:tcW w:w="1220" w:type="dxa"/>
            <w:vAlign w:val="bottom"/>
          </w:tcPr>
          <w:p>
            <w:pPr>
              <w:jc w:val="center"/>
              <w:ind w:left="63"/>
              <w:spacing w:after="0"/>
              <w:rPr>
                <w:sz w:val="20"/>
                <w:szCs w:val="20"/>
                <w:color w:val="auto"/>
              </w:rPr>
            </w:pPr>
            <w:r>
              <w:rPr>
                <w:rFonts w:ascii="Arial" w:cs="Arial" w:eastAsia="Arial" w:hAnsi="Arial"/>
                <w:sz w:val="14"/>
                <w:szCs w:val="14"/>
                <w:b w:val="1"/>
                <w:bCs w:val="1"/>
                <w:color w:val="auto"/>
                <w:w w:val="91"/>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2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1,405</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1,348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2365 %</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income increased by $1.3 million, or 2365%, to $1.4 million for the nine months ended September 30, 2022, from a nominal for the nine months ended September 30, 2021. The increase was due to increases in the average cash balances held in our interest-bearing and money market deposit accounts and increases in interest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jc w:val="center"/>
              <w:ind w:left="4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7"/>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740" w:type="dxa"/>
            <w:vAlign w:val="bottom"/>
            <w:gridSpan w:val="4"/>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880" w:type="dxa"/>
            <w:vAlign w:val="bottom"/>
          </w:tcPr>
          <w:p>
            <w:pPr>
              <w:spacing w:after="0"/>
              <w:rPr>
                <w:sz w:val="16"/>
                <w:szCs w:val="16"/>
                <w:color w:val="auto"/>
              </w:rPr>
            </w:pPr>
          </w:p>
        </w:tc>
        <w:tc>
          <w:tcPr>
            <w:tcW w:w="1180" w:type="dxa"/>
            <w:vAlign w:val="bottom"/>
          </w:tcPr>
          <w:p>
            <w:pPr>
              <w:jc w:val="center"/>
              <w:ind w:left="4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60" w:type="dxa"/>
            <w:vAlign w:val="bottom"/>
            <w:gridSpan w:val="3"/>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(2,128)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rPr>
              <w:t>(276)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expense increased by $0.3 million, or 13%, to $2.4 million for the nine months ended September 30, 2022, from $2.1 million for the nine months ended September 30, 2021. The increase was driven by the unused line fee and amortization of deferred transaction costs related to the loan and security agreement entered into with Silicon Valley Bank at the end of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000" w:type="dxa"/>
            <w:vAlign w:val="bottom"/>
            <w:gridSpan w:val="5"/>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300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Pr>
          <w:p>
            <w:pPr>
              <w:spacing w:after="0"/>
              <w:rPr>
                <w:sz w:val="16"/>
                <w:szCs w:val="16"/>
                <w:color w:val="auto"/>
              </w:rPr>
            </w:pPr>
          </w:p>
        </w:tc>
        <w:tc>
          <w:tcPr>
            <w:tcW w:w="1260" w:type="dxa"/>
            <w:vAlign w:val="bottom"/>
          </w:tcPr>
          <w:p>
            <w:pPr>
              <w:jc w:val="center"/>
              <w:ind w:left="103"/>
              <w:spacing w:after="0"/>
              <w:rPr>
                <w:sz w:val="20"/>
                <w:szCs w:val="20"/>
                <w:color w:val="auto"/>
              </w:rPr>
            </w:pPr>
            <w:r>
              <w:rPr>
                <w:rFonts w:ascii="Arial" w:cs="Arial" w:eastAsia="Arial" w:hAnsi="Arial"/>
                <w:sz w:val="14"/>
                <w:szCs w:val="14"/>
                <w:b w:val="1"/>
                <w:bCs w:val="1"/>
                <w:color w:val="auto"/>
                <w:w w:val="91"/>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1000" w:type="dxa"/>
            <w:vAlign w:val="bottom"/>
          </w:tcPr>
          <w:p>
            <w:pPr>
              <w:jc w:val="right"/>
              <w:ind w:right="83"/>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w w:val="90"/>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2"/>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94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5,064</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03"/>
              <w:spacing w:after="0"/>
              <w:rPr>
                <w:sz w:val="20"/>
                <w:szCs w:val="20"/>
                <w:color w:val="auto"/>
              </w:rPr>
            </w:pPr>
            <w:r>
              <w:rPr>
                <w:rFonts w:ascii="Arial" w:cs="Arial" w:eastAsia="Arial" w:hAnsi="Arial"/>
                <w:sz w:val="18"/>
                <w:szCs w:val="18"/>
                <w:color w:val="auto"/>
                <w:w w:val="98"/>
              </w:rPr>
              <w:t>(5,006)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income decreased by $5.0 million, to $0.1 million for the nine months ended September 30, 2022, from $5.1 million for the nine months ended September 30, 2021. This was primarily attributable to the $5.6 million in funding that was received and recognized as other income under the CARES Act in the first quarter of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w:t>
      </w:r>
    </w:p>
    <w:p>
      <w:pPr>
        <w:sectPr>
          <w:pgSz w:w="11900" w:h="16838" w:orient="portrait"/>
          <w:cols w:equalWidth="0" w:num="1">
            <w:col w:w="11240"/>
          </w:cols>
          <w:pgMar w:left="320" w:top="140" w:right="339" w:bottom="1440" w:gutter="0" w:footer="0" w:header="0"/>
        </w:sect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48"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Adjusted Gross Profit is a non-GAAP financial measure that we define as revenue less cost of services, excluding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three months ended September 30, 2022 and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060" w:type="dxa"/>
            <w:vAlign w:val="bottom"/>
            <w:gridSpan w:val="5"/>
          </w:tcPr>
          <w:p>
            <w:pPr>
              <w:jc w:val="right"/>
              <w:ind w:right="374"/>
              <w:spacing w:after="0"/>
              <w:rPr>
                <w:sz w:val="20"/>
                <w:szCs w:val="20"/>
                <w:color w:val="auto"/>
              </w:rPr>
            </w:pPr>
            <w:r>
              <w:rPr>
                <w:rFonts w:ascii="Arial" w:cs="Arial" w:eastAsia="Arial" w:hAnsi="Arial"/>
                <w:sz w:val="14"/>
                <w:szCs w:val="14"/>
                <w:b w:val="1"/>
                <w:bCs w:val="1"/>
                <w:color w:val="auto"/>
              </w:rPr>
              <w:t>Three months ended September 30,</w:t>
            </w:r>
          </w:p>
        </w:tc>
      </w:tr>
      <w:tr>
        <w:trPr>
          <w:trHeight w:val="24"/>
        </w:trPr>
        <w:tc>
          <w:tcPr>
            <w:tcW w:w="18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5"/>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920" w:type="dxa"/>
            <w:vAlign w:val="bottom"/>
            <w:tcBorders>
              <w:bottom w:val="single" w:sz="8" w:color="auto"/>
            </w:tcBorders>
          </w:tcPr>
          <w:p>
            <w:pPr>
              <w:jc w:val="center"/>
              <w:ind w:left="478"/>
              <w:spacing w:after="0"/>
              <w:rPr>
                <w:sz w:val="20"/>
                <w:szCs w:val="20"/>
                <w:color w:val="auto"/>
              </w:rPr>
            </w:pPr>
            <w:r>
              <w:rPr>
                <w:rFonts w:ascii="Arial" w:cs="Arial" w:eastAsia="Arial" w:hAnsi="Arial"/>
                <w:sz w:val="14"/>
                <w:szCs w:val="14"/>
                <w:b w:val="1"/>
                <w:bCs w:val="1"/>
                <w:color w:val="auto"/>
                <w:w w:val="89"/>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89"/>
              </w:rPr>
              <w:t>2021</w:t>
            </w:r>
          </w:p>
        </w:tc>
      </w:tr>
      <w:tr>
        <w:trPr>
          <w:trHeight w:val="191"/>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r>
      <w:tr>
        <w:trPr>
          <w:trHeight w:val="23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83,234</w:t>
            </w:r>
          </w:p>
        </w:tc>
        <w:tc>
          <w:tcPr>
            <w:tcW w:w="100" w:type="dxa"/>
            <w:vAlign w:val="bottom"/>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43,178</w:t>
            </w:r>
          </w:p>
        </w:tc>
      </w:tr>
      <w:tr>
        <w:trPr>
          <w:trHeight w:val="225"/>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services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69,685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51,487</w:t>
            </w:r>
          </w:p>
        </w:tc>
      </w:tr>
      <w:tr>
        <w:trPr>
          <w:trHeight w:val="325"/>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w:t>
            </w: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13,549</w:t>
            </w:r>
          </w:p>
        </w:tc>
        <w:tc>
          <w:tcPr>
            <w:tcW w:w="100" w:type="dxa"/>
            <w:vAlign w:val="bottom"/>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(8,309)</w:t>
            </w:r>
          </w:p>
        </w:tc>
      </w:tr>
      <w:tr>
        <w:trPr>
          <w:trHeight w:val="218"/>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Margin</w:t>
            </w:r>
          </w:p>
        </w:tc>
        <w:tc>
          <w:tcPr>
            <w:tcW w:w="920" w:type="dxa"/>
            <w:vAlign w:val="bottom"/>
          </w:tcPr>
          <w:p>
            <w:pPr>
              <w:jc w:val="center"/>
              <w:ind w:left="478"/>
              <w:spacing w:after="0"/>
              <w:rPr>
                <w:sz w:val="20"/>
                <w:szCs w:val="20"/>
                <w:color w:val="auto"/>
              </w:rPr>
            </w:pPr>
            <w:r>
              <w:rPr>
                <w:rFonts w:ascii="Arial" w:cs="Arial" w:eastAsia="Arial" w:hAnsi="Arial"/>
                <w:sz w:val="18"/>
                <w:szCs w:val="18"/>
                <w:b w:val="1"/>
                <w:bCs w:val="1"/>
                <w:color w:val="auto"/>
                <w:w w:val="99"/>
              </w:rPr>
              <w:t>16%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center"/>
              <w:ind w:right="354"/>
              <w:spacing w:after="0"/>
              <w:rPr>
                <w:sz w:val="20"/>
                <w:szCs w:val="20"/>
                <w:color w:val="auto"/>
              </w:rPr>
            </w:pPr>
            <w:r>
              <w:rPr>
                <w:rFonts w:ascii="Arial" w:cs="Arial" w:eastAsia="Arial" w:hAnsi="Arial"/>
                <w:sz w:val="18"/>
                <w:szCs w:val="18"/>
                <w:b w:val="1"/>
                <w:bCs w:val="1"/>
                <w:color w:val="auto"/>
                <w:w w:val="99"/>
              </w:rPr>
              <w:t>(19)%</w:t>
            </w:r>
          </w:p>
        </w:tc>
      </w:tr>
      <w:tr>
        <w:trPr>
          <w:trHeight w:val="24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5"/>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26"/>
        </w:trPr>
        <w:tc>
          <w:tcPr>
            <w:tcW w:w="818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(1)</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Gross Profit (Loss)</w:t>
            </w:r>
          </w:p>
        </w:tc>
        <w:tc>
          <w:tcPr>
            <w:tcW w:w="920" w:type="dxa"/>
            <w:vAlign w:val="bottom"/>
          </w:tcPr>
          <w:p>
            <w:pPr>
              <w:jc w:val="right"/>
              <w:ind w:right="738"/>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7"/>
              </w:rPr>
              <w:t>16,523</w:t>
            </w:r>
          </w:p>
        </w:tc>
        <w:tc>
          <w:tcPr>
            <w:tcW w:w="54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(6,530)</w:t>
            </w:r>
          </w:p>
        </w:tc>
      </w:tr>
      <w:tr>
        <w:trPr>
          <w:trHeight w:val="305"/>
        </w:trPr>
        <w:tc>
          <w:tcPr>
            <w:tcW w:w="180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w w:val="88"/>
                <w:shd w:val="clear" w:color="auto" w:fill="BFE4FF"/>
              </w:rPr>
              <w:t>Adjusted Gross Margin</w:t>
            </w:r>
          </w:p>
        </w:tc>
        <w:tc>
          <w:tcPr>
            <w:tcW w:w="6380" w:type="dxa"/>
            <w:vAlign w:val="bottom"/>
            <w:tcBorders>
              <w:top w:val="single" w:sz="8" w:color="BFE4FF"/>
              <w:bottom w:val="single" w:sz="8" w:color="BFE4FF"/>
            </w:tcBorders>
            <w:shd w:val="clear" w:color="auto" w:fill="BFE4FF"/>
          </w:tcPr>
          <w:p>
            <w:pPr>
              <w:spacing w:after="0"/>
              <w:rPr>
                <w:sz w:val="24"/>
                <w:szCs w:val="24"/>
                <w:color w:val="auto"/>
              </w:rPr>
            </w:pPr>
          </w:p>
        </w:tc>
        <w:tc>
          <w:tcPr>
            <w:tcW w:w="920" w:type="dxa"/>
            <w:vAlign w:val="bottom"/>
            <w:tcBorders>
              <w:top w:val="single" w:sz="8" w:color="auto"/>
              <w:bottom w:val="single" w:sz="8" w:color="auto"/>
            </w:tcBorders>
            <w:shd w:val="clear" w:color="auto" w:fill="BFE4FF"/>
          </w:tcPr>
          <w:p>
            <w:pPr>
              <w:jc w:val="center"/>
              <w:ind w:left="478"/>
              <w:spacing w:after="0"/>
              <w:rPr>
                <w:sz w:val="20"/>
                <w:szCs w:val="20"/>
                <w:color w:val="auto"/>
              </w:rPr>
            </w:pPr>
            <w:r>
              <w:rPr>
                <w:rFonts w:ascii="Arial" w:cs="Arial" w:eastAsia="Arial" w:hAnsi="Arial"/>
                <w:sz w:val="18"/>
                <w:szCs w:val="18"/>
                <w:b w:val="1"/>
                <w:bCs w:val="1"/>
                <w:color w:val="auto"/>
                <w:w w:val="99"/>
              </w:rPr>
              <w:t>20%</w:t>
            </w:r>
          </w:p>
        </w:tc>
        <w:tc>
          <w:tcPr>
            <w:tcW w:w="560" w:type="dxa"/>
            <w:vAlign w:val="bottom"/>
            <w:tcBorders>
              <w:top w:val="single" w:sz="8" w:color="auto"/>
              <w:bottom w:val="single" w:sz="8" w:color="BFE4FF"/>
            </w:tcBorders>
            <w:shd w:val="clear" w:color="auto" w:fill="BFE4FF"/>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bottom w:val="single" w:sz="8" w:color="BFE4FF"/>
            </w:tcBorders>
            <w:shd w:val="clear" w:color="auto" w:fill="BFE4FF"/>
          </w:tcPr>
          <w:p>
            <w:pPr>
              <w:spacing w:after="0"/>
              <w:rPr>
                <w:sz w:val="24"/>
                <w:szCs w:val="24"/>
                <w:color w:val="auto"/>
              </w:rPr>
            </w:pPr>
          </w:p>
        </w:tc>
        <w:tc>
          <w:tcPr>
            <w:tcW w:w="1040" w:type="dxa"/>
            <w:vAlign w:val="bottom"/>
            <w:tcBorders>
              <w:top w:val="single" w:sz="8" w:color="auto"/>
              <w:bottom w:val="single" w:sz="8" w:color="auto"/>
            </w:tcBorders>
            <w:shd w:val="clear" w:color="auto" w:fill="BFE4FF"/>
          </w:tcPr>
          <w:p>
            <w:pPr>
              <w:jc w:val="center"/>
              <w:ind w:right="354"/>
              <w:spacing w:after="0"/>
              <w:rPr>
                <w:sz w:val="20"/>
                <w:szCs w:val="20"/>
                <w:color w:val="auto"/>
              </w:rPr>
            </w:pPr>
            <w:r>
              <w:rPr>
                <w:rFonts w:ascii="Arial" w:cs="Arial" w:eastAsia="Arial" w:hAnsi="Arial"/>
                <w:sz w:val="18"/>
                <w:szCs w:val="18"/>
                <w:b w:val="1"/>
                <w:bCs w:val="1"/>
                <w:color w:val="auto"/>
                <w:w w:val="99"/>
              </w:rPr>
              <w:t>(15)%</w:t>
            </w:r>
          </w:p>
        </w:tc>
      </w:tr>
      <w:tr>
        <w:trPr>
          <w:trHeight w:val="254"/>
        </w:trPr>
        <w:tc>
          <w:tcPr>
            <w:tcW w:w="1800" w:type="dxa"/>
            <w:vAlign w:val="bottom"/>
          </w:tcPr>
          <w:p>
            <w:pPr>
              <w:spacing w:after="0"/>
              <w:rPr>
                <w:sz w:val="20"/>
                <w:szCs w:val="20"/>
                <w:color w:val="auto"/>
              </w:rPr>
            </w:pPr>
            <w:r>
              <w:rPr>
                <w:rFonts w:ascii="Arial" w:cs="Arial" w:eastAsia="Arial" w:hAnsi="Arial"/>
                <w:sz w:val="14"/>
                <w:szCs w:val="14"/>
                <w:color w:val="auto"/>
              </w:rPr>
              <w:t>__________________</w:t>
            </w:r>
          </w:p>
        </w:tc>
        <w:tc>
          <w:tcPr>
            <w:tcW w:w="6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ind w:left="320" w:hanging="314"/>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costs incurred for restructuring activities, which include severance packages offered to impacted employees and third party consulting costs incurred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nine months ended September 30, 2022, and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Nine months ended September 30,</w:t>
            </w:r>
          </w:p>
        </w:tc>
      </w:tr>
      <w:tr>
        <w:trPr>
          <w:trHeight w:val="24"/>
        </w:trPr>
        <w:tc>
          <w:tcPr>
            <w:tcW w:w="18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r>
      <w:tr>
        <w:trPr>
          <w:trHeight w:val="185"/>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080" w:type="dxa"/>
            <w:vAlign w:val="bottom"/>
            <w:tcBorders>
              <w:bottom w:val="single" w:sz="8" w:color="auto"/>
            </w:tcBorders>
          </w:tcPr>
          <w:p>
            <w:pPr>
              <w:jc w:val="center"/>
              <w:ind w:left="315"/>
              <w:spacing w:after="0"/>
              <w:rPr>
                <w:sz w:val="20"/>
                <w:szCs w:val="20"/>
                <w:color w:val="auto"/>
              </w:rPr>
            </w:pPr>
            <w:r>
              <w:rPr>
                <w:rFonts w:ascii="Arial" w:cs="Arial" w:eastAsia="Arial" w:hAnsi="Arial"/>
                <w:sz w:val="14"/>
                <w:szCs w:val="14"/>
                <w:b w:val="1"/>
                <w:bCs w:val="1"/>
                <w:color w:val="auto"/>
                <w:w w:val="89"/>
              </w:rPr>
              <w:t>2022</w:t>
            </w:r>
          </w:p>
        </w:tc>
        <w:tc>
          <w:tcPr>
            <w:tcW w:w="198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89"/>
              </w:rPr>
              <w:t>2021</w:t>
            </w:r>
          </w:p>
        </w:tc>
      </w:tr>
      <w:tr>
        <w:trPr>
          <w:trHeight w:val="191"/>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80" w:type="dxa"/>
            <w:vAlign w:val="bottom"/>
            <w:gridSpan w:val="3"/>
          </w:tcPr>
          <w:p>
            <w:pPr>
              <w:jc w:val="center"/>
              <w:ind w:right="992"/>
              <w:spacing w:after="0"/>
              <w:rPr>
                <w:sz w:val="20"/>
                <w:szCs w:val="20"/>
                <w:color w:val="auto"/>
              </w:rPr>
            </w:pPr>
            <w:r>
              <w:rPr>
                <w:rFonts w:ascii="Arial" w:cs="Arial" w:eastAsia="Arial" w:hAnsi="Arial"/>
                <w:sz w:val="14"/>
                <w:szCs w:val="14"/>
                <w:b w:val="1"/>
                <w:bCs w:val="1"/>
                <w:color w:val="auto"/>
                <w:w w:val="89"/>
              </w:rPr>
              <w:t>(in thousands)</w:t>
            </w:r>
          </w:p>
        </w:tc>
      </w:tr>
      <w:tr>
        <w:trPr>
          <w:trHeight w:val="23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87"/>
              </w:rPr>
              <w:t>$173,344</w:t>
            </w:r>
          </w:p>
        </w:tc>
        <w:tc>
          <w:tcPr>
            <w:tcW w:w="4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$154,394</w:t>
            </w:r>
          </w:p>
        </w:tc>
      </w:tr>
      <w:tr>
        <w:trPr>
          <w:trHeight w:val="225"/>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Cost of services</w:t>
            </w:r>
          </w:p>
        </w:tc>
        <w:tc>
          <w:tcPr>
            <w:tcW w:w="1080" w:type="dxa"/>
            <w:vAlign w:val="bottom"/>
          </w:tcPr>
          <w:p>
            <w:pPr>
              <w:jc w:val="center"/>
              <w:ind w:left="335"/>
              <w:spacing w:after="0"/>
              <w:rPr>
                <w:sz w:val="20"/>
                <w:szCs w:val="20"/>
                <w:color w:val="auto"/>
              </w:rPr>
            </w:pPr>
            <w:r>
              <w:rPr>
                <w:rFonts w:ascii="Arial" w:cs="Arial" w:eastAsia="Arial" w:hAnsi="Arial"/>
                <w:sz w:val="18"/>
                <w:szCs w:val="18"/>
                <w:color w:val="auto"/>
                <w:w w:val="89"/>
              </w:rPr>
              <w:t>183,768</w:t>
            </w:r>
          </w:p>
        </w:tc>
        <w:tc>
          <w:tcPr>
            <w:tcW w:w="1980" w:type="dxa"/>
            <w:vAlign w:val="bottom"/>
            <w:gridSpan w:val="3"/>
          </w:tcPr>
          <w:p>
            <w:pPr>
              <w:jc w:val="center"/>
              <w:ind w:left="419"/>
              <w:spacing w:after="0"/>
              <w:rPr>
                <w:sz w:val="20"/>
                <w:szCs w:val="20"/>
                <w:color w:val="auto"/>
              </w:rPr>
            </w:pPr>
            <w:r>
              <w:rPr>
                <w:rFonts w:ascii="Arial" w:cs="Arial" w:eastAsia="Arial" w:hAnsi="Arial"/>
                <w:sz w:val="18"/>
                <w:szCs w:val="18"/>
                <w:color w:val="auto"/>
                <w:w w:val="86"/>
              </w:rPr>
              <w:t>168,190</w:t>
            </w:r>
          </w:p>
        </w:tc>
      </w:tr>
      <w:tr>
        <w:trPr>
          <w:trHeight w:val="325"/>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w:t>
            </w:r>
          </w:p>
        </w:tc>
        <w:tc>
          <w:tcPr>
            <w:tcW w:w="1080" w:type="dxa"/>
            <w:vAlign w:val="bottom"/>
            <w:tcBorders>
              <w:top w:val="single" w:sz="8" w:color="auto"/>
              <w:bottom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b w:val="1"/>
                <w:bCs w:val="1"/>
                <w:color w:val="auto"/>
                <w:w w:val="89"/>
              </w:rPr>
              <w:t>(10,424)</w:t>
            </w: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(13,796)</w:t>
            </w:r>
          </w:p>
        </w:tc>
      </w:tr>
      <w:tr>
        <w:trPr>
          <w:trHeight w:val="218"/>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Margin</w:t>
            </w:r>
          </w:p>
        </w:tc>
        <w:tc>
          <w:tcPr>
            <w:tcW w:w="1080" w:type="dxa"/>
            <w:vAlign w:val="bottom"/>
          </w:tcPr>
          <w:p>
            <w:pPr>
              <w:jc w:val="center"/>
              <w:ind w:left="335"/>
              <w:spacing w:after="0"/>
              <w:rPr>
                <w:sz w:val="20"/>
                <w:szCs w:val="20"/>
                <w:color w:val="auto"/>
              </w:rPr>
            </w:pPr>
            <w:r>
              <w:rPr>
                <w:rFonts w:ascii="Arial" w:cs="Arial" w:eastAsia="Arial" w:hAnsi="Arial"/>
                <w:sz w:val="18"/>
                <w:szCs w:val="18"/>
                <w:b w:val="1"/>
                <w:bCs w:val="1"/>
                <w:color w:val="auto"/>
                <w:w w:val="99"/>
              </w:rPr>
              <w:t>(6)%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(9)%</w:t>
            </w:r>
          </w:p>
        </w:tc>
      </w:tr>
      <w:tr>
        <w:trPr>
          <w:trHeight w:val="24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25"/>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tcPr>
          <w:p>
            <w:pPr>
              <w:jc w:val="center"/>
              <w:ind w:left="315"/>
              <w:spacing w:after="0"/>
              <w:rPr>
                <w:sz w:val="20"/>
                <w:szCs w:val="20"/>
                <w:color w:val="auto"/>
              </w:rPr>
            </w:pPr>
            <w:r>
              <w:rPr>
                <w:rFonts w:ascii="Arial" w:cs="Arial" w:eastAsia="Arial" w:hAnsi="Arial"/>
                <w:sz w:val="18"/>
                <w:szCs w:val="18"/>
                <w:color w:val="auto"/>
                <w:w w:val="88"/>
              </w:rPr>
              <w:t>4,668</w:t>
            </w:r>
          </w:p>
        </w:tc>
        <w:tc>
          <w:tcPr>
            <w:tcW w:w="1980" w:type="dxa"/>
            <w:vAlign w:val="bottom"/>
            <w:gridSpan w:val="3"/>
          </w:tcPr>
          <w:p>
            <w:pPr>
              <w:jc w:val="center"/>
              <w:ind w:left="419"/>
              <w:spacing w:after="0"/>
              <w:rPr>
                <w:sz w:val="20"/>
                <w:szCs w:val="20"/>
                <w:color w:val="auto"/>
              </w:rPr>
            </w:pPr>
            <w:r>
              <w:rPr>
                <w:rFonts w:ascii="Arial" w:cs="Arial" w:eastAsia="Arial" w:hAnsi="Arial"/>
                <w:sz w:val="18"/>
                <w:szCs w:val="18"/>
                <w:color w:val="auto"/>
                <w:w w:val="87"/>
              </w:rPr>
              <w:t>19,948</w:t>
            </w:r>
          </w:p>
        </w:tc>
      </w:tr>
      <w:tr>
        <w:trPr>
          <w:trHeight w:val="226"/>
        </w:trPr>
        <w:tc>
          <w:tcPr>
            <w:tcW w:w="818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(1)</w:t>
            </w:r>
          </w:p>
        </w:tc>
        <w:tc>
          <w:tcPr>
            <w:tcW w:w="1080" w:type="dxa"/>
            <w:vAlign w:val="bottom"/>
            <w:tcBorders>
              <w:bottom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color w:val="auto"/>
                <w:w w:val="88"/>
              </w:rPr>
              <w:t>1,808</w:t>
            </w: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r>
      <w:tr>
        <w:trPr>
          <w:trHeight w:val="324"/>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Adjusted Gross Profit </w:t>
            </w:r>
            <w:r>
              <w:rPr>
                <w:rFonts w:ascii="Arial" w:cs="Arial" w:eastAsia="Arial" w:hAnsi="Arial"/>
                <w:sz w:val="18"/>
                <w:szCs w:val="18"/>
                <w:color w:val="auto"/>
              </w:rPr>
              <w:t>(Loss)</w:t>
            </w:r>
          </w:p>
        </w:tc>
        <w:tc>
          <w:tcPr>
            <w:tcW w:w="1080" w:type="dxa"/>
            <w:vAlign w:val="bottom"/>
          </w:tcPr>
          <w:p>
            <w:pPr>
              <w:jc w:val="center"/>
              <w:ind w:left="315"/>
              <w:spacing w:after="0"/>
              <w:rPr>
                <w:sz w:val="20"/>
                <w:szCs w:val="20"/>
                <w:color w:val="auto"/>
              </w:rPr>
            </w:pPr>
            <w:r>
              <w:rPr>
                <w:rFonts w:ascii="Arial" w:cs="Arial" w:eastAsia="Arial" w:hAnsi="Arial"/>
                <w:sz w:val="18"/>
                <w:szCs w:val="18"/>
                <w:b w:val="1"/>
                <w:bCs w:val="1"/>
                <w:color w:val="auto"/>
                <w:w w:val="89"/>
              </w:rPr>
              <w:t>$(3,948)</w:t>
            </w:r>
          </w:p>
        </w:tc>
        <w:tc>
          <w:tcPr>
            <w:tcW w:w="1980" w:type="dxa"/>
            <w:vAlign w:val="bottom"/>
            <w:gridSpan w:val="3"/>
          </w:tcPr>
          <w:p>
            <w:pPr>
              <w:jc w:val="center"/>
              <w:ind w:left="419"/>
              <w:spacing w:after="0"/>
              <w:rPr>
                <w:sz w:val="20"/>
                <w:szCs w:val="20"/>
                <w:color w:val="auto"/>
              </w:rPr>
            </w:pPr>
            <w:r>
              <w:rPr>
                <w:rFonts w:ascii="Arial" w:cs="Arial" w:eastAsia="Arial" w:hAnsi="Arial"/>
                <w:sz w:val="18"/>
                <w:szCs w:val="18"/>
                <w:b w:val="1"/>
                <w:bCs w:val="1"/>
                <w:color w:val="auto"/>
                <w:w w:val="87"/>
              </w:rPr>
              <w:t>$6,152</w:t>
            </w:r>
          </w:p>
        </w:tc>
      </w:tr>
      <w:tr>
        <w:trPr>
          <w:trHeight w:val="305"/>
        </w:trPr>
        <w:tc>
          <w:tcPr>
            <w:tcW w:w="180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w w:val="88"/>
                <w:shd w:val="clear" w:color="auto" w:fill="BFE4FF"/>
              </w:rPr>
              <w:t>Adjusted Gross Margin</w:t>
            </w:r>
          </w:p>
        </w:tc>
        <w:tc>
          <w:tcPr>
            <w:tcW w:w="6380" w:type="dxa"/>
            <w:vAlign w:val="bottom"/>
            <w:tcBorders>
              <w:top w:val="single" w:sz="8" w:color="BFE4FF"/>
              <w:bottom w:val="single" w:sz="8" w:color="BFE4FF"/>
            </w:tcBorders>
            <w:shd w:val="clear" w:color="auto" w:fill="BFE4FF"/>
          </w:tcPr>
          <w:p>
            <w:pPr>
              <w:spacing w:after="0"/>
              <w:rPr>
                <w:sz w:val="24"/>
                <w:szCs w:val="24"/>
                <w:color w:val="auto"/>
              </w:rPr>
            </w:pPr>
          </w:p>
        </w:tc>
        <w:tc>
          <w:tcPr>
            <w:tcW w:w="1080" w:type="dxa"/>
            <w:vAlign w:val="bottom"/>
            <w:tcBorders>
              <w:top w:val="single" w:sz="8" w:color="auto"/>
              <w:bottom w:val="single" w:sz="8" w:color="auto"/>
            </w:tcBorders>
            <w:shd w:val="clear" w:color="auto" w:fill="BFE4FF"/>
          </w:tcPr>
          <w:p>
            <w:pPr>
              <w:jc w:val="center"/>
              <w:ind w:left="335"/>
              <w:spacing w:after="0"/>
              <w:rPr>
                <w:sz w:val="20"/>
                <w:szCs w:val="20"/>
                <w:color w:val="auto"/>
              </w:rPr>
            </w:pPr>
            <w:r>
              <w:rPr>
                <w:rFonts w:ascii="Arial" w:cs="Arial" w:eastAsia="Arial" w:hAnsi="Arial"/>
                <w:sz w:val="18"/>
                <w:szCs w:val="18"/>
                <w:b w:val="1"/>
                <w:bCs w:val="1"/>
                <w:color w:val="auto"/>
                <w:w w:val="99"/>
              </w:rPr>
              <w:t>(2)%</w:t>
            </w:r>
          </w:p>
        </w:tc>
        <w:tc>
          <w:tcPr>
            <w:tcW w:w="400" w:type="dxa"/>
            <w:vAlign w:val="bottom"/>
            <w:tcBorders>
              <w:top w:val="single" w:sz="8" w:color="auto"/>
              <w:bottom w:val="single" w:sz="8" w:color="BFE4FF"/>
            </w:tcBorders>
            <w:shd w:val="clear" w:color="auto" w:fill="BFE4FF"/>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shd w:val="clear" w:color="auto" w:fill="BFE4FF"/>
          </w:tcPr>
          <w:p>
            <w:pPr>
              <w:jc w:val="center"/>
              <w:spacing w:after="0"/>
              <w:rPr>
                <w:sz w:val="20"/>
                <w:szCs w:val="20"/>
                <w:color w:val="auto"/>
              </w:rPr>
            </w:pPr>
            <w:r>
              <w:rPr>
                <w:rFonts w:ascii="Arial" w:cs="Arial" w:eastAsia="Arial" w:hAnsi="Arial"/>
                <w:sz w:val="18"/>
                <w:szCs w:val="18"/>
                <w:b w:val="1"/>
                <w:bCs w:val="1"/>
                <w:color w:val="auto"/>
              </w:rPr>
              <w:t>4%</w:t>
            </w:r>
          </w:p>
        </w:tc>
      </w:tr>
      <w:tr>
        <w:trPr>
          <w:trHeight w:val="254"/>
        </w:trPr>
        <w:tc>
          <w:tcPr>
            <w:tcW w:w="1800" w:type="dxa"/>
            <w:vAlign w:val="bottom"/>
          </w:tcPr>
          <w:p>
            <w:pPr>
              <w:spacing w:after="0"/>
              <w:rPr>
                <w:sz w:val="20"/>
                <w:szCs w:val="20"/>
                <w:color w:val="auto"/>
              </w:rPr>
            </w:pPr>
            <w:r>
              <w:rPr>
                <w:rFonts w:ascii="Arial" w:cs="Arial" w:eastAsia="Arial" w:hAnsi="Arial"/>
                <w:sz w:val="14"/>
                <w:szCs w:val="14"/>
                <w:color w:val="auto"/>
              </w:rPr>
              <w:t>_________________</w:t>
            </w:r>
          </w:p>
        </w:tc>
        <w:tc>
          <w:tcPr>
            <w:tcW w:w="6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151" w:lineRule="exact"/>
        <w:rPr>
          <w:sz w:val="20"/>
          <w:szCs w:val="20"/>
          <w:color w:val="auto"/>
        </w:rPr>
      </w:pPr>
    </w:p>
    <w:p>
      <w:pPr>
        <w:ind w:left="320" w:right="420" w:hanging="314"/>
        <w:spacing w:after="0" w:line="284" w:lineRule="auto"/>
        <w:tabs>
          <w:tab w:leader="none" w:pos="31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costs incurred for restructuring activities, which include severance packages offered to impacted employees and third party consulting costs incurred in the nine months ended September 30, 2022.</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Adjusted EBITDA is a non-GAAP financial measure that we define as net loss or income adjusted for interest expense, net, income tax benefit, depreciation and amortization, stock-based compensation expenses, transaction, acquisition and business integration costs, restructuring costs, change in fair market value of financial liabilities and other income.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our net loss to Adjusted EBITDA for the three months ended September 30,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6"/>
              </w:rPr>
              <w:t>Three months ended September 30,</w:t>
            </w:r>
          </w:p>
        </w:tc>
      </w:tr>
      <w:tr>
        <w:trPr>
          <w:trHeight w:val="24"/>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191"/>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(77,581)</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32,731</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5,491</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Transaction, acquisition and business integration costs </w:t>
            </w:r>
            <w:r>
              <w:rPr>
                <w:rFonts w:ascii="Arial" w:cs="Arial" w:eastAsia="Arial" w:hAnsi="Arial"/>
                <w:sz w:val="22"/>
                <w:szCs w:val="22"/>
                <w:color w:val="auto"/>
                <w:vertAlign w:val="superscript"/>
              </w:rPr>
              <w:t>(2)</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Change in fair market value of financial liabilities </w:t>
            </w:r>
            <w:r>
              <w:rPr>
                <w:rFonts w:ascii="Arial" w:cs="Arial" w:eastAsia="Arial" w:hAnsi="Arial"/>
                <w:sz w:val="22"/>
                <w:szCs w:val="22"/>
                <w:color w:val="auto"/>
                <w:vertAlign w:val="superscript"/>
              </w:rPr>
              <w:t>(4)</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(122,171)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19"/>
        </w:trPr>
        <w:tc>
          <w:tcPr>
            <w:tcW w:w="8180" w:type="dxa"/>
            <w:vAlign w:val="bottom"/>
          </w:tcPr>
          <w:p>
            <w:pPr>
              <w:ind w:left="56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(70,046)</w:t>
            </w:r>
          </w:p>
        </w:tc>
        <w:tc>
          <w:tcPr>
            <w:tcW w:w="6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(64,548)</w:t>
            </w:r>
          </w:p>
        </w:tc>
      </w:tr>
      <w:tr>
        <w:trPr>
          <w:trHeight w:val="20"/>
        </w:trPr>
        <w:tc>
          <w:tcPr>
            <w:tcW w:w="8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__________________</w:t>
      </w:r>
    </w:p>
    <w:p>
      <w:pPr>
        <w:spacing w:after="0" w:line="170" w:lineRule="exact"/>
        <w:rPr>
          <w:sz w:val="20"/>
          <w:szCs w:val="20"/>
          <w:color w:val="auto"/>
        </w:rPr>
      </w:pPr>
    </w:p>
    <w:p>
      <w:pPr>
        <w:ind w:left="320" w:right="260" w:hanging="314"/>
        <w:spacing w:after="0" w:line="255" w:lineRule="auto"/>
        <w:tabs>
          <w:tab w:leader="none" w:pos="3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finance leases and interest-bearing loans and interest income earned on money market funds. This also includes the unused line fee and amortization of deferred transaction costs related to the loan and security agreement entered into with Silicon Valley Bank.</w:t>
      </w:r>
    </w:p>
    <w:p>
      <w:pPr>
        <w:spacing w:after="0" w:line="1" w:lineRule="exact"/>
        <w:rPr>
          <w:rFonts w:ascii="Arial" w:cs="Arial" w:eastAsia="Arial" w:hAnsi="Arial"/>
          <w:sz w:val="14"/>
          <w:szCs w:val="14"/>
          <w:color w:val="auto"/>
        </w:rPr>
      </w:pPr>
    </w:p>
    <w:p>
      <w:pPr>
        <w:ind w:left="320" w:hanging="314"/>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professional service costs incurred in connection with pursuing the business combination transaction that did not meet the requirement for capitalization in 2021.</w:t>
      </w:r>
    </w:p>
    <w:p>
      <w:pPr>
        <w:spacing w:after="0" w:line="6" w:lineRule="exact"/>
        <w:rPr>
          <w:rFonts w:ascii="Arial" w:cs="Arial" w:eastAsia="Arial" w:hAnsi="Arial"/>
          <w:sz w:val="14"/>
          <w:szCs w:val="14"/>
          <w:color w:val="auto"/>
        </w:rPr>
      </w:pPr>
    </w:p>
    <w:p>
      <w:pPr>
        <w:ind w:left="320" w:hanging="314"/>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costs incurred for restructuring activities, which include severance packages offered to impacted employees and third party consulting costs incurred in the third quarter of 2022.</w:t>
      </w:r>
    </w:p>
    <w:p>
      <w:pPr>
        <w:spacing w:after="0" w:line="22" w:lineRule="exact"/>
        <w:rPr>
          <w:rFonts w:ascii="Arial" w:cs="Arial" w:eastAsia="Arial" w:hAnsi="Arial"/>
          <w:sz w:val="13"/>
          <w:szCs w:val="13"/>
          <w:color w:val="auto"/>
        </w:rPr>
      </w:pPr>
    </w:p>
    <w:p>
      <w:pPr>
        <w:ind w:left="320" w:right="120" w:hanging="314"/>
        <w:spacing w:after="0" w:line="265" w:lineRule="auto"/>
        <w:tabs>
          <w:tab w:leader="none" w:pos="3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change primarily in fair market value of the liabilities associated with our Milestone Payments contingent liability based on the achievement of GeneDx revenue-based milestones of $10.6 million. Included in this amount is also public warrants and private placement warrants and the earn-out shares issuable under the terms of the merger agreement related to our business combination with CMLS.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our net loss to Adjusted EBITDA for the nine months ended September 30, 2022, and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4"/>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191"/>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(240,219)</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(205,205)</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2"/>
                <w:szCs w:val="22"/>
                <w:color w:val="auto"/>
                <w:vertAlign w:val="superscript"/>
              </w:rPr>
              <w:t>(1)</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16,012</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182,454</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Transaction, acquisition and business acquisition costs </w:t>
            </w:r>
            <w:r>
              <w:rPr>
                <w:rFonts w:ascii="Arial" w:cs="Arial" w:eastAsia="Arial" w:hAnsi="Arial"/>
                <w:sz w:val="22"/>
                <w:szCs w:val="22"/>
                <w:color w:val="auto"/>
                <w:vertAlign w:val="superscript"/>
              </w:rPr>
              <w:t>(2)</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5,496</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18,554</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Change in fair market value of financial liabilities </w:t>
            </w:r>
            <w:r>
              <w:rPr>
                <w:rFonts w:ascii="Arial" w:cs="Arial" w:eastAsia="Arial" w:hAnsi="Arial"/>
                <w:sz w:val="22"/>
                <w:szCs w:val="22"/>
                <w:color w:val="auto"/>
                <w:vertAlign w:val="superscript"/>
              </w:rPr>
              <w:t>(4)</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(122,171)</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2"/>
                <w:szCs w:val="22"/>
                <w:color w:val="auto"/>
                <w:vertAlign w:val="superscript"/>
              </w:rPr>
              <w:t>(5)</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r>
      <w:tr>
        <w:trPr>
          <w:trHeight w:val="218"/>
        </w:trPr>
        <w:tc>
          <w:tcPr>
            <w:tcW w:w="8180" w:type="dxa"/>
            <w:vAlign w:val="bottom"/>
          </w:tcPr>
          <w:p>
            <w:pPr>
              <w:ind w:left="56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(243,956)</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(126,584)</w:t>
            </w:r>
          </w:p>
        </w:tc>
      </w:tr>
      <w:tr>
        <w:trPr>
          <w:trHeight w:val="20"/>
        </w:trPr>
        <w:tc>
          <w:tcPr>
            <w:tcW w:w="8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70" w:lineRule="exact"/>
        <w:rPr>
          <w:sz w:val="20"/>
          <w:szCs w:val="20"/>
          <w:color w:val="auto"/>
        </w:rPr>
      </w:pPr>
    </w:p>
    <w:p>
      <w:pPr>
        <w:ind w:left="320" w:right="260" w:hanging="314"/>
        <w:spacing w:after="0" w:line="262" w:lineRule="auto"/>
        <w:tabs>
          <w:tab w:leader="none" w:pos="312"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finance leases and interest-bearing loans and interest income earned on money market funds. This also includes the unused line fee and amortization of deferred transaction costs related to the loan and security agreement entered into with Silicon Valley Bank.</w:t>
      </w:r>
    </w:p>
    <w:p>
      <w:pPr>
        <w:ind w:left="320" w:right="200" w:hanging="314"/>
        <w:spacing w:after="0" w:line="269" w:lineRule="auto"/>
        <w:tabs>
          <w:tab w:leader="none" w:pos="312"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professional service costs incurred in connection with pursuing the business combination transaction that did not meet the requirement for capitalization in 2021. For the period of 2022, this represents professional service costs incurred in connection with the Acquisition transaction, which include due diligence, legal and business integration costs.</w:t>
      </w:r>
    </w:p>
    <w:p>
      <w:pPr>
        <w:ind w:left="320" w:hanging="314"/>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costs incurred for restructuring activities, which include severance packages offered to impacted employees and third party consulting costs incurred in the period of 2022.</w:t>
      </w:r>
    </w:p>
    <w:p>
      <w:pPr>
        <w:spacing w:after="0" w:line="18" w:lineRule="exact"/>
        <w:rPr>
          <w:rFonts w:ascii="Arial" w:cs="Arial" w:eastAsia="Arial" w:hAnsi="Arial"/>
          <w:sz w:val="13"/>
          <w:szCs w:val="13"/>
          <w:color w:val="auto"/>
        </w:rPr>
      </w:pPr>
    </w:p>
    <w:p>
      <w:pPr>
        <w:ind w:left="320" w:right="120" w:hanging="314"/>
        <w:spacing w:after="0" w:line="252" w:lineRule="auto"/>
        <w:tabs>
          <w:tab w:leader="none" w:pos="312"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change primarily in fair market value of the liabilities associated with our Milestone Payments contingent liability based on the achievement of GeneDx revenue-based milestones of $27.6 million. Included in this amount is also public warrants and private placement warrants and the earn-out shares issuable under the terms of the merger agreement related to our business combination with CMLS.</w:t>
      </w:r>
    </w:p>
    <w:p>
      <w:pPr>
        <w:ind w:left="320" w:hanging="314"/>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nine months ended September 30, 2021, the amount represents funding received under the CARES Act Provider Relief Fund in the first quarter of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July 22, 2021, we completed the business combination with CMLS, consummated the related private placement financing, and received net cash proceeds of $510 million.</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w:t>
      </w:r>
    </w:p>
    <w:p>
      <w:pPr>
        <w:spacing w:after="0" w:line="7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On April 29, 2022, upon the closing of the Acquisition of GeneDx, we received gross proceeds of $200 million from the issuance of 50 million shares of our Class A common stock pursuant to the Acquisition PIPE Investment. The gross proceeds were partially used to pay for the cash consideration of the Acquisition and transaction costs incurred in connection with the Acquisition.</w:t>
      </w:r>
    </w:p>
    <w:p>
      <w:pPr>
        <w:spacing w:after="0" w:line="23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Management believes that our cash and cash equivalents provide us with sufficient liquidity for at least twelve months from the filing date of this Quarterly Report.</w:t>
      </w:r>
    </w:p>
    <w:p>
      <w:pPr>
        <w:spacing w:after="0" w:line="2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Accordingly, the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For example, we have an effective shelf registration statement filed with the SEC that permits us to sell from time to time up to $300 million of additional shares of our Class A common stock or other securities in one or more offerings in amounts, at prices and on the terms that we will determine at the time of offering, although we do not intend to issue shares of our Class A common stock at current market prices.</w:t>
      </w: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9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The following is a description of commitments for known and reasonably likely cash requirements as of September 30, 2022 and December 31, 2021. We anticipate fulfilling such commitments with our existing cash and cash equivalents, which amounted to $191.4 million and $400.6 million as of September 30, 2022 and December 31, 2021, respectively, or through additional capital raised to finance our operations; see </w:t>
      </w:r>
      <w:r>
        <w:rPr>
          <w:rFonts w:ascii="Arial" w:cs="Arial" w:eastAsia="Arial" w:hAnsi="Arial"/>
          <w:sz w:val="15"/>
          <w:szCs w:val="15"/>
          <w:i w:val="1"/>
          <w:iCs w:val="1"/>
          <w:color w:val="auto"/>
        </w:rPr>
        <w:t>"Liquidity and Capital Resources"</w:t>
      </w:r>
      <w:r>
        <w:rPr>
          <w:rFonts w:ascii="Arial" w:cs="Arial" w:eastAsia="Arial" w:hAnsi="Arial"/>
          <w:sz w:val="15"/>
          <w:szCs w:val="15"/>
          <w:color w:val="auto"/>
        </w:rPr>
        <w:t>.</w:t>
      </w:r>
    </w:p>
    <w:p>
      <w:pPr>
        <w:spacing w:after="0" w:line="163"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 xml:space="preserve">Our future minimum payments under non-cancellable operating lease agreements were $81.0 million as of September 30, 2022 and $68.3 million as of December 31, 2021. The timing of these future payments, by year, can be found in our audited financial statements in Note 10,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included within our Annual Report on Form 10-K for the year ended December 31, 2021, and our unaudited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statements in Note 9,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included within this Quarterly Report, respectively.</w:t>
      </w:r>
    </w:p>
    <w:p>
      <w:pPr>
        <w:spacing w:after="0" w:line="16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Our future payments under finance leases were $61.9 million as of September 30, 2022. The timing of these future payments, by year, can be found in our audited financial statements in Note 10,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xml:space="preserve"> included within our Annual Report on Form 10-K for the year ended December 31, 2021, and our unaudited condensed consolidated financial statements in Note 9, </w:t>
      </w:r>
      <w:r>
        <w:rPr>
          <w:rFonts w:ascii="Arial" w:cs="Arial" w:eastAsia="Arial" w:hAnsi="Arial"/>
          <w:sz w:val="15"/>
          <w:szCs w:val="15"/>
          <w:i w:val="1"/>
          <w:iCs w:val="1"/>
          <w:color w:val="auto"/>
        </w:rPr>
        <w:t>“Leases,”</w:t>
      </w:r>
      <w:r>
        <w:rPr>
          <w:rFonts w:ascii="Arial" w:cs="Arial" w:eastAsia="Arial" w:hAnsi="Arial"/>
          <w:sz w:val="15"/>
          <w:szCs w:val="15"/>
          <w:color w:val="auto"/>
        </w:rPr>
        <w:t xml:space="preserve"> included within this Quarterly Report,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3"/>
          </w:tcPr>
          <w:p>
            <w:pPr>
              <w:jc w:val="center"/>
              <w:ind w:right="216"/>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4"/>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191"/>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jc w:val="center"/>
              <w:ind w:left="601"/>
              <w:spacing w:after="0"/>
              <w:rPr>
                <w:sz w:val="20"/>
                <w:szCs w:val="20"/>
                <w:color w:val="auto"/>
              </w:rPr>
            </w:pPr>
            <w:r>
              <w:rPr>
                <w:rFonts w:ascii="Arial" w:cs="Arial" w:eastAsia="Arial" w:hAnsi="Arial"/>
                <w:sz w:val="14"/>
                <w:szCs w:val="14"/>
                <w:b w:val="1"/>
                <w:bCs w:val="1"/>
                <w:color w:val="auto"/>
                <w:w w:val="89"/>
              </w:rPr>
              <w:t>(in thousands)</w:t>
            </w:r>
          </w:p>
        </w:tc>
        <w:tc>
          <w:tcPr>
            <w:tcW w:w="980" w:type="dxa"/>
            <w:vAlign w:val="bottom"/>
          </w:tcPr>
          <w:p>
            <w:pPr>
              <w:spacing w:after="0"/>
              <w:rPr>
                <w:sz w:val="16"/>
                <w:szCs w:val="16"/>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321"/>
              <w:spacing w:after="0"/>
              <w:rPr>
                <w:sz w:val="20"/>
                <w:szCs w:val="20"/>
                <w:color w:val="auto"/>
              </w:rPr>
            </w:pPr>
            <w:r>
              <w:rPr>
                <w:rFonts w:ascii="Arial" w:cs="Arial" w:eastAsia="Arial" w:hAnsi="Arial"/>
                <w:sz w:val="18"/>
                <w:szCs w:val="18"/>
                <w:color w:val="auto"/>
                <w:w w:val="90"/>
              </w:rPr>
              <w:t>(254,501)</w:t>
            </w:r>
          </w:p>
        </w:tc>
        <w:tc>
          <w:tcPr>
            <w:tcW w:w="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(138,449)</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220" w:type="dxa"/>
            <w:vAlign w:val="bottom"/>
          </w:tcPr>
          <w:p>
            <w:pPr>
              <w:jc w:val="center"/>
              <w:ind w:left="321"/>
              <w:spacing w:after="0"/>
              <w:rPr>
                <w:sz w:val="20"/>
                <w:szCs w:val="20"/>
                <w:color w:val="auto"/>
              </w:rPr>
            </w:pPr>
            <w:r>
              <w:rPr>
                <w:rFonts w:ascii="Arial" w:cs="Arial" w:eastAsia="Arial" w:hAnsi="Arial"/>
                <w:sz w:val="18"/>
                <w:szCs w:val="18"/>
                <w:color w:val="auto"/>
                <w:w w:val="90"/>
              </w:rPr>
              <w:t>(138,488)</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(13,093)</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361"/>
              <w:spacing w:after="0"/>
              <w:rPr>
                <w:sz w:val="20"/>
                <w:szCs w:val="20"/>
                <w:color w:val="auto"/>
              </w:rPr>
            </w:pPr>
            <w:r>
              <w:rPr>
                <w:rFonts w:ascii="Arial" w:cs="Arial" w:eastAsia="Arial" w:hAnsi="Arial"/>
                <w:sz w:val="18"/>
                <w:szCs w:val="18"/>
                <w:color w:val="auto"/>
                <w:w w:val="89"/>
              </w:rPr>
              <w:t>197,250</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494,758</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Net cash used in operating activities during the nine months ended September 30, 2022 was $254.5 million, which was primarily attributable to a net loss of $240.2 million and a change in fair value of the warrant and earn-out liabilities of $54.4 and an income tax benefit of $49.2 million. This was partially offset by non-cash depreciation and amortization of $25.3 million, non-cash stock-based compensation expense of $41.6 million, a provision for excess and obsolete inventory of $0.7 million and non-cash lease expense of $1.1 million. The net change in our operating assets and liabilities primarily reflected a $5.2 million increase in inventories driven by an increase in reagents and a reduction in inventory reserves, a $28.6 million increase in accounts payable and accrued expenses driven by the payor settlement accrual which was partially offset by timing of vendor payments, a $10.0 million decrease in other current liabilities mainly driven by the payment of 2021 bonuses, offset by the accrual of the 2022 expected payment, a $5.5 million decrease in accounts receivable primarily from self-pay payors and a $5.2 million decrease in prepaid expenses and other current assets mainly driven by the amortization of insurance policy premiums.</w:t>
      </w:r>
    </w:p>
    <w:p>
      <w:pPr>
        <w:spacing w:after="0" w:line="14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Net cash used in operating activities during the nine months ended September 30, 2021 was $138.4 million, which was primarily attributable to a net loss of $205.2 million and a change in fair value of the warrant and earn-out liabilities of $122.2 million, partially offset by non-cash depreciation and amortization of $16.0 million and non-cash stock-based compensation expense of $182.5 million. The net change in operating assets and liabilities primarily reflected a $10.8 million decrease in accounts receivable due to a decrease in COVID-19 test volume performed during the second and third quarter of 2021, a $7.3 million increase in inventory driven by a higher volume of purchases to support increasing testing volumes, a $15.7 million increase in prepaid expenses and other current assets mainly driven by new insurance policy premiums paid during the nine months period, a $4.9 million increase in accounts payable and accrued expenses due to the timing of vendor payments of large vendors, and a $3.4 million decrease in other current liabilities mainly driven by the repayment of finance leases and decrease in compensation related accruals.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investing activities during the nine months ended September 30, 2022 was $138.5 million, which was primarily attributable to the $127 million net of cash spent for the Acquisition of GeneDx, $5.0 million in purchases of property and equipment and $6.5 million related to spend on development of internal-use software assets.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nine months ended September 30, 2021 was $13.1 million, which was attributable to $4.3 million in purchases of property and equipment and $8.7 million related to spend on development of internal-use software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during the nine months ended September 30, 2022 was $197.2 million, which was primarily driven by the $197.7 million proceeds from the Acquisition PIPE Investment, net of issuance costs of $2.3 million. Additionally, $2.2 million relates to cash received from exercise of employee stock options, which was offset by $2.6 million of finance lease principal payments.</w:t>
      </w:r>
    </w:p>
    <w:p>
      <w:pPr>
        <w:spacing w:after="0" w:line="14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Net cash provided by financing activities during the nine months ended September 30, 2021 was $494.8 million, which was primarily attributable to the consummation of the Business Combination including $442.7 million from an equity infusion from the Business Combination, net of redemptions and $350.0 million from Business Combination PIPE Investment proceeds. These activities were offset by $230.7 million in the cash payments to certain Legacy Sema4 stockholders, payment of transaction costs of $51.8 million and $3.8 million of stock appreciate rights pay-outs. These amounts were further offset by an $8.7 million repayment of long-term debt and $3.0 million of capital lease principal payments.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unaudited condensed consolidated financial statements, which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4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Except as described in Note 2, </w:t>
      </w:r>
      <w:r>
        <w:rPr>
          <w:rFonts w:ascii="Arial" w:cs="Arial" w:eastAsia="Arial" w:hAnsi="Arial"/>
          <w:sz w:val="17"/>
          <w:szCs w:val="17"/>
          <w:i w:val="1"/>
          <w:iCs w:val="1"/>
          <w:color w:val="auto"/>
        </w:rPr>
        <w:t>“Summary of Significant Accounting Policies–Recently Issued Accounting Pronouncements but Not Yet Adopted,”</w:t>
      </w:r>
      <w:r>
        <w:rPr>
          <w:rFonts w:ascii="Arial" w:cs="Arial" w:eastAsia="Arial" w:hAnsi="Arial"/>
          <w:sz w:val="17"/>
          <w:szCs w:val="17"/>
          <w:color w:val="auto"/>
        </w:rPr>
        <w:t xml:space="preserve"> to our unaudited condensed consolidated financial statements included in this Quarterly Report, there have been no material changes to our critical accounting policies and estimates as compared to the critical accounting policies and estimates disclosed in our audited consolidated financial statements and notes thereto included within our Annual Report on Form 10-K for the year ended December 31,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8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considered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Following the completion of the Business Combination, we will remain an emerging growth company until the earliest of (1) September 1, 2025,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Additional information on recent accounting pronouncements can be found in the audited financial statements in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included within our Annual Report on Form 10-K for the year ended December 31, 2021, and our unaudited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financial statements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within this Quarterly Report.</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exposed to market risks in the ordinary course of our business. These risks primarily relate to interest rates. Our cash, cash equivalents, and restricted cash consists of bank deposits and money market funds, which totaled $205.7 million at September 30, 2022 and $401.5 million as of December 31, 2021.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The revolving credit facility under the SVB Agreement includes variable interest rate terms for the outstanding principal amount of any advance.. Therefore, changes change in interest rates can impact our interest payments we are obligated to pay. As of September 30, 2022, no amounts have been drawn under the SVB Agreement. Additional information on our long-term debt can be found in Sema4’s audited financial statements in Note 8,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and Sema4’s unaudited condensed consolidated financial statements in Note 8, </w:t>
      </w:r>
      <w:r>
        <w:rPr>
          <w:rFonts w:ascii="Arial" w:cs="Arial" w:eastAsia="Arial" w:hAnsi="Arial"/>
          <w:sz w:val="17"/>
          <w:szCs w:val="17"/>
          <w:i w:val="1"/>
          <w:iCs w:val="1"/>
          <w:color w:val="auto"/>
        </w:rPr>
        <w:t>“Long-Term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2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required by Rules 13a-15 and 15d-15 under the Exchange Act, our Chief Executive Officer and Chief Financial Officer carried out an evaluation of the effectiveness of the design and operation of our disclosure controls and procedures as of September 30, 2022. Based on that evaluation, our Chief Executive Officer and Chief Financial Officer concluded that our disclosure controls and procedures were not effective as of September 30, 2022 because of the material weaknesses in internal control over financial reporting as of December 31, 2021 that we previously identified in Item 9A. “Controls and Procedures” of our Annual Report on Form 10-K for the year ended December 31, 2021 and had not been fully remediated as of September 30, 2022.</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Notwithstanding the identified material weaknesses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Previously Reported Material Weaknesses</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described in more detail in Item 9A. “Controls and Procedures” of our Annual Report on Form 10-K for the year ended December 31, 2021, the material weaknesses identified related to the fact that we did not design and maintain accounting policies, procedures and controls to ensure complete, accurate and timely financial reporting in accordance with U.S. GAAP.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management is actively engaged and committed to taking the steps necessary to remediate the control deficiencies that constituted the material weaknesses, and these remediation activities are continuing in 2022. In addition to the remediation actions undertaken during 2021 and described in more detail in Item 9A. “Controls and Procedures” of our Annual Report on Form 10-K for the year ended December 31, 2021, we have engaged in additional activities,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auto"/>
        </w:rPr>
        <w:t>Hiring more technical accounting resources to enhance our control environment;</w:t>
      </w:r>
    </w:p>
    <w:p>
      <w:pPr>
        <w:spacing w:after="0" w:line="28" w:lineRule="exact"/>
        <w:rPr>
          <w:rFonts w:ascii="Arial" w:cs="Arial" w:eastAsia="Arial" w:hAnsi="Arial"/>
          <w:sz w:val="21"/>
          <w:szCs w:val="21"/>
          <w:color w:val="auto"/>
        </w:rPr>
      </w:pPr>
    </w:p>
    <w:p>
      <w:pPr>
        <w:ind w:left="640" w:hanging="316"/>
        <w:spacing w:after="0" w:line="250" w:lineRule="auto"/>
        <w:tabs>
          <w:tab w:leader="none" w:pos="635" w:val="left"/>
        </w:tabs>
        <w:numPr>
          <w:ilvl w:val="0"/>
          <w:numId w:val="23"/>
        </w:numPr>
        <w:rPr>
          <w:rFonts w:ascii="Arial" w:cs="Arial" w:eastAsia="Arial" w:hAnsi="Arial"/>
          <w:sz w:val="20"/>
          <w:szCs w:val="20"/>
          <w:color w:val="auto"/>
        </w:rPr>
      </w:pPr>
      <w:r>
        <w:rPr>
          <w:rFonts w:ascii="Arial" w:cs="Arial" w:eastAsia="Arial" w:hAnsi="Arial"/>
          <w:sz w:val="17"/>
          <w:szCs w:val="17"/>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20" w:lineRule="exact"/>
        <w:rPr>
          <w:rFonts w:ascii="Arial" w:cs="Arial" w:eastAsia="Arial" w:hAnsi="Arial"/>
          <w:sz w:val="20"/>
          <w:szCs w:val="20"/>
          <w:color w:val="auto"/>
        </w:rPr>
      </w:pPr>
    </w:p>
    <w:p>
      <w:pPr>
        <w:jc w:val="both"/>
        <w:ind w:left="640" w:hanging="316"/>
        <w:spacing w:after="0" w:line="258" w:lineRule="auto"/>
        <w:tabs>
          <w:tab w:leader="none" w:pos="635" w:val="left"/>
        </w:tabs>
        <w:numPr>
          <w:ilvl w:val="0"/>
          <w:numId w:val="23"/>
        </w:numPr>
        <w:rPr>
          <w:rFonts w:ascii="Arial" w:cs="Arial" w:eastAsia="Arial" w:hAnsi="Arial"/>
          <w:sz w:val="20"/>
          <w:szCs w:val="20"/>
          <w:color w:val="auto"/>
        </w:rPr>
      </w:pPr>
      <w:r>
        <w:rPr>
          <w:rFonts w:ascii="Arial" w:cs="Arial" w:eastAsia="Arial" w:hAnsi="Arial"/>
          <w:sz w:val="17"/>
          <w:szCs w:val="17"/>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21" w:lineRule="exact"/>
        <w:rPr>
          <w:rFonts w:ascii="Arial" w:cs="Arial" w:eastAsia="Arial" w:hAnsi="Arial"/>
          <w:sz w:val="20"/>
          <w:szCs w:val="20"/>
          <w:color w:val="auto"/>
        </w:rPr>
      </w:pPr>
    </w:p>
    <w:p>
      <w:pPr>
        <w:ind w:left="640" w:hanging="316"/>
        <w:spacing w:after="0" w:line="232" w:lineRule="auto"/>
        <w:tabs>
          <w:tab w:leader="none" w:pos="635" w:val="left"/>
        </w:tabs>
        <w:numPr>
          <w:ilvl w:val="0"/>
          <w:numId w:val="23"/>
        </w:numPr>
        <w:rPr>
          <w:rFonts w:ascii="Arial" w:cs="Arial" w:eastAsia="Arial" w:hAnsi="Arial"/>
          <w:sz w:val="21"/>
          <w:szCs w:val="21"/>
          <w:color w:val="auto"/>
        </w:rPr>
      </w:pPr>
      <w:r>
        <w:rPr>
          <w:rFonts w:ascii="Arial" w:cs="Arial" w:eastAsia="Arial" w:hAnsi="Arial"/>
          <w:sz w:val="18"/>
          <w:szCs w:val="18"/>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22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20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There was no change in our internal control over financial reporting that occurred during the three months ended September 30, 2022 covered by this Quarterly Report on Form 10-Q that has materially affected, or is reasonably likely to materially affect, our internal control over financial reporting, other than as described herein. We are continuing to take steps to remediate the material weaknesses in our internal control over financial reporting, as discussed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3" w:lineRule="exact"/>
        <w:rPr>
          <w:sz w:val="20"/>
          <w:szCs w:val="20"/>
          <w:color w:val="auto"/>
        </w:rPr>
      </w:pPr>
    </w:p>
    <w:p>
      <w:pPr>
        <w:ind w:right="340" w:firstLine="318"/>
        <w:spacing w:after="0" w:line="365" w:lineRule="auto"/>
        <w:rPr>
          <w:sz w:val="20"/>
          <w:szCs w:val="20"/>
          <w:color w:val="auto"/>
        </w:rPr>
      </w:pPr>
      <w:r>
        <w:rPr>
          <w:rFonts w:ascii="Arial" w:cs="Arial" w:eastAsia="Arial" w:hAnsi="Arial"/>
          <w:sz w:val="15"/>
          <w:szCs w:val="15"/>
          <w:color w:val="auto"/>
        </w:rPr>
        <w:t>Except as described below, 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On September 7, 2022, a shareholder class action lawsuit was filed in the United States District Court for the District of Connecticut against the Company and certain of the Company’s current and former officers. The complaint purports to bring suit on behalf of stockholders who purchased the Company’s publicly traded securities between March 14, 2022 and August 15, 2022. The complaint purports to allege that defendants made false and misleading statements about the Company’s business, operations and prospects in violation of Sections 10(b) and 20(a) of the Securities Exchange Act of 1934, and seeks unspecified compensatory damages, fees and costs. The Company believes the allegations and claims made in the complaint are without merit.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You should carefully review and consider the following risk factors and the other information contained in this Quarterly Report on Form 10-Q before deciding whether to invest in our Class A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Class A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unaudited condensed consolidated financial statements and notes thereto included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3"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following:</w:t>
      </w:r>
    </w:p>
    <w:p>
      <w:pPr>
        <w:spacing w:after="0" w:line="207"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further materially and adversely affect our business and financial results.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provide products and services that are useful to users, we may not remain competitive, which could harm our business and operating results.</w:t>
      </w:r>
    </w:p>
    <w:p>
      <w:pPr>
        <w:spacing w:after="0" w:line="12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third-party payors, including managed care organizations, private health insurers and government health plans, do not provide adequate reimbursement for our tests, or seek to amend or renegotiate their fee reimbursement schedules, if we are unable to comply with their requirements for reimbursement, or if we are unable to respond to payor audits or resolve payor overpayment claims favorably our commercial success could be negatively affected.</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have limited experience with the development and commercialization of our databases and our health information and genomic platforms.</w:t>
      </w:r>
    </w:p>
    <w:p>
      <w:pPr>
        <w:spacing w:after="0" w:line="15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10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40" w:hanging="316"/>
        <w:spacing w:after="0" w:line="25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95"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08"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in the development and commercialization of our enhanced or new tests or services could materially adversely affect our business, financial condition and results of operations.</w:t>
      </w:r>
    </w:p>
    <w:p>
      <w:pPr>
        <w:spacing w:after="0" w:line="8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9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prices and cause losses to our stockholders.</w:t>
      </w:r>
    </w:p>
    <w:p>
      <w:pPr>
        <w:spacing w:after="0" w:line="10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spacing w:after="0" w:line="8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expect to make significant investments in our continued research and development of new products and services, which may not be successful.</w:t>
      </w:r>
    </w:p>
    <w:p>
      <w:pPr>
        <w:spacing w:after="0" w:line="158" w:lineRule="exact"/>
        <w:rPr>
          <w:rFonts w:ascii="Arial" w:cs="Arial" w:eastAsia="Arial" w:hAnsi="Arial"/>
          <w:sz w:val="15"/>
          <w:szCs w:val="15"/>
          <w:color w:val="auto"/>
        </w:rPr>
      </w:pPr>
    </w:p>
    <w:p>
      <w:pPr>
        <w:jc w:val="both"/>
        <w:ind w:left="640" w:hanging="316"/>
        <w:spacing w:after="0" w:line="252"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rely on third-party laboratories to perform certain elements of our service offerings.</w:t>
      </w:r>
    </w:p>
    <w:p>
      <w:pPr>
        <w:spacing w:after="0" w:line="12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spacing w:after="0" w:line="64" w:lineRule="exact"/>
        <w:rPr>
          <w:rFonts w:ascii="Arial" w:cs="Arial" w:eastAsia="Arial" w:hAnsi="Arial"/>
          <w:sz w:val="17"/>
          <w:szCs w:val="17"/>
          <w:color w:val="auto"/>
        </w:rPr>
      </w:pPr>
    </w:p>
    <w:p>
      <w:pPr>
        <w:ind w:left="640" w:hanging="316"/>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ability to be successful following the Acquisition depends upon our efforts to integrate Sema4’s and GeneDx’s businesses and operations.</w:t>
      </w:r>
    </w:p>
    <w:p>
      <w:pPr>
        <w:spacing w:after="0" w:line="172" w:lineRule="exact"/>
        <w:rPr>
          <w:rFonts w:ascii="Arial" w:cs="Arial" w:eastAsia="Arial" w:hAnsi="Arial"/>
          <w:sz w:val="15"/>
          <w:szCs w:val="15"/>
          <w:color w:val="auto"/>
        </w:rPr>
      </w:pPr>
    </w:p>
    <w:p>
      <w:pPr>
        <w:ind w:left="640" w:hanging="316"/>
        <w:spacing w:after="0" w:line="272"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be successful is further dependent upon the efforts of our key personnel, including the key personnel of GeneDx following the Acquisition. The loss of key personnel could negatively impact our operations and profitability our financial condition could suffer as a result.</w:t>
      </w:r>
    </w:p>
    <w:p>
      <w:pPr>
        <w:spacing w:after="0" w:line="20" w:lineRule="exact"/>
        <w:rPr>
          <w:rFonts w:ascii="Arial" w:cs="Arial" w:eastAsia="Arial" w:hAnsi="Arial"/>
          <w:sz w:val="17"/>
          <w:szCs w:val="17"/>
          <w:color w:val="auto"/>
        </w:rPr>
      </w:pPr>
    </w:p>
    <w:p>
      <w:pPr>
        <w:ind w:left="640" w:hanging="316"/>
        <w:spacing w:after="0" w:line="232" w:lineRule="auto"/>
        <w:tabs>
          <w:tab w:leader="none" w:pos="635" w:val="left"/>
        </w:tabs>
        <w:numPr>
          <w:ilvl w:val="0"/>
          <w:numId w:val="25"/>
        </w:numPr>
        <w:rPr>
          <w:rFonts w:ascii="Arial" w:cs="Arial" w:eastAsia="Arial" w:hAnsi="Arial"/>
          <w:sz w:val="21"/>
          <w:szCs w:val="21"/>
          <w:color w:val="auto"/>
        </w:rPr>
      </w:pPr>
      <w:r>
        <w:rPr>
          <w:rFonts w:ascii="Arial" w:cs="Arial" w:eastAsia="Arial" w:hAnsi="Arial"/>
          <w:sz w:val="18"/>
          <w:szCs w:val="18"/>
          <w:color w:val="auto"/>
        </w:rPr>
        <w:t>We may be unable to realize the level of the anticipated benefits that we expect from exiting businesses and restructuring our operations, which may adversely impact our business and results of operations.</w:t>
      </w:r>
    </w:p>
    <w:p>
      <w:pPr>
        <w:spacing w:after="0" w:line="109" w:lineRule="exact"/>
        <w:rPr>
          <w:rFonts w:ascii="Arial" w:cs="Arial" w:eastAsia="Arial" w:hAnsi="Arial"/>
          <w:sz w:val="21"/>
          <w:szCs w:val="21"/>
          <w:color w:val="auto"/>
        </w:rPr>
      </w:pPr>
    </w:p>
    <w:p>
      <w:pPr>
        <w:ind w:left="640" w:hanging="316"/>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Future changes in FDA enforcement discretion for LDTs could subject our operations to much more significant regulatory requirements.</w:t>
      </w:r>
    </w:p>
    <w:p>
      <w:pPr>
        <w:spacing w:after="0" w:line="135" w:lineRule="exact"/>
        <w:rPr>
          <w:rFonts w:ascii="Arial" w:cs="Arial" w:eastAsia="Arial" w:hAnsi="Arial"/>
          <w:sz w:val="17"/>
          <w:szCs w:val="17"/>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face uncertainty related to healthcare reform, pricing, coverage and reimbursement, which could reduce our revenue.</w:t>
      </w:r>
    </w:p>
    <w:p>
      <w:pPr>
        <w:spacing w:after="0" w:line="12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cannot guarantee that we will be able to satisfy the continued listing standards of Nasdaq going forward and if we fail to satisfy the continued listing requirements of Nasdaq, including the minimum closing bid price requirement, Nasdaq may take steps to delist our Class A common stock.</w:t>
      </w:r>
    </w:p>
    <w:p>
      <w:pPr>
        <w:spacing w:after="0" w:line="1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40" w:hanging="316"/>
        <w:spacing w:after="0" w:line="365" w:lineRule="auto"/>
        <w:tabs>
          <w:tab w:leader="none" w:pos="635" w:val="left"/>
        </w:tabs>
        <w:numPr>
          <w:ilvl w:val="0"/>
          <w:numId w:val="26"/>
        </w:numPr>
        <w:rPr>
          <w:rFonts w:ascii="Arial" w:cs="Arial" w:eastAsia="Arial" w:hAnsi="Arial"/>
          <w:sz w:val="15"/>
          <w:szCs w:val="15"/>
          <w:color w:val="auto"/>
        </w:rPr>
      </w:pPr>
      <w:r>
        <w:rPr>
          <w:rFonts w:ascii="Arial" w:cs="Arial" w:eastAsia="Arial" w:hAnsi="Arial"/>
          <w:sz w:val="15"/>
          <w:szCs w:val="15"/>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incur increased costs and demands on management as a result of compliance with laws and regulations applicable to public companies, which could harm our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has affected and may further materially and adversely affect our business and financial results.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Throughout 2020 and 2021, both we and our partners also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Our business could be negatively affected in the future if it takes excessive, ineffective or inadequate precautions.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ongoing COVID-19 pandemic has materially impacted our business in 2020 and 2021 and may continue to impact our business for an unknown period of time. Such impacts have included and may include the following:</w:t>
      </w:r>
    </w:p>
    <w:p>
      <w:pPr>
        <w:spacing w:after="0" w:line="141" w:lineRule="exact"/>
        <w:rPr>
          <w:sz w:val="20"/>
          <w:szCs w:val="20"/>
          <w:color w:val="auto"/>
        </w:rPr>
      </w:pPr>
    </w:p>
    <w:p>
      <w:pPr>
        <w:jc w:val="both"/>
        <w:ind w:left="640" w:hanging="316"/>
        <w:spacing w:after="0" w:line="25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Restrictions on travel, commerce and shipping may prevent patients and pathologists from shipping samples to our clinical laboratories;</w:t>
      </w:r>
    </w:p>
    <w:p>
      <w:pPr>
        <w:spacing w:after="0" w:line="202" w:lineRule="exact"/>
        <w:rPr>
          <w:rFonts w:ascii="Arial" w:cs="Arial" w:eastAsia="Arial" w:hAnsi="Arial"/>
          <w:sz w:val="17"/>
          <w:szCs w:val="17"/>
          <w:color w:val="auto"/>
        </w:rPr>
      </w:pPr>
    </w:p>
    <w:p>
      <w:pPr>
        <w:ind w:left="640" w:hanging="316"/>
        <w:spacing w:after="0" w:line="365" w:lineRule="auto"/>
        <w:tabs>
          <w:tab w:leader="none" w:pos="6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spacing w:after="0" w:line="71"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experienced, and for an extended period of time may continue to experience, reduced volumes at our clinical laboratories and we may need to suspend operations at some or all of our clinical laboratories;</w:t>
      </w:r>
    </w:p>
    <w:p>
      <w:pPr>
        <w:spacing w:after="0" w:line="14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spacing w:after="0" w:line="84" w:lineRule="exact"/>
        <w:rPr>
          <w:rFonts w:ascii="Arial" w:cs="Arial" w:eastAsia="Arial" w:hAnsi="Arial"/>
          <w:sz w:val="15"/>
          <w:szCs w:val="15"/>
          <w:color w:val="auto"/>
        </w:rPr>
      </w:pPr>
    </w:p>
    <w:p>
      <w:pPr>
        <w:ind w:left="640" w:hanging="316"/>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and our partners have postponed or cancelled clinical studies, which may delay or prevent our launch of future products and services;</w:t>
      </w:r>
    </w:p>
    <w:p>
      <w:pPr>
        <w:spacing w:after="0" w:line="188"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Some or all of our workforce, much of which continues to work remotely in an effort to reduce the spread of COVID-19, may be infected by the virus or otherwise distracted;</w:t>
      </w:r>
    </w:p>
    <w:p>
      <w:pPr>
        <w:spacing w:after="0" w:line="14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combination of factors, including infection from the virus, supply shortfalls, and inability to obtain or maintain equipment, could adversely affect our lab capacity and our ability to meet the demand for our testing services; and</w:t>
      </w:r>
    </w:p>
    <w:p>
      <w:pPr>
        <w:spacing w:after="0" w:line="15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pandemic, third-party actions taken to contain its spread and mitigate its public health effects and short- and long-term changes in the behaviors of medical professionals and patients resulting from the pandemic.</w:t>
      </w:r>
    </w:p>
    <w:p>
      <w:pPr>
        <w:spacing w:after="0" w:line="15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Class A common stock or other equity or equity-linked securities. If these market conditions persist when and if we need to raise capital, and if we are able to sell shares of our Class A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12"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7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3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funds received under the ERC distribution and recorded the proceeds in other liabilities on the balance sheets as of September 30, 2022 and December 31, 2021.</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companies or institutions may develop and market novel or improved technologies, which may make our technologies less competitive or obsolete.</w:t>
      </w:r>
    </w:p>
    <w:p>
      <w:pPr>
        <w:spacing w:after="0" w:line="2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reproductive and women’s health and pediatrics and NICU screening products, health information services, and analytics, and data science services, and other diagnostic products. These competitors include:</w:t>
      </w:r>
    </w:p>
    <w:p>
      <w:pPr>
        <w:spacing w:after="0" w:line="124" w:lineRule="exact"/>
        <w:rPr>
          <w:sz w:val="20"/>
          <w:szCs w:val="20"/>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reproductive and women’s health and pediatrics and NICU,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5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5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if we are unable to comply with their requirements for reimbursement, or if we are unable to respond to payor audits or resolve payor overpayment claims favorably, our commercial success could be negatively affected.</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payors (e.g., Medicare and Medicaid).</w:t>
      </w:r>
    </w:p>
    <w:p>
      <w:pPr>
        <w:spacing w:after="0" w:line="16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Since each payor makes its own decision as to whether to establish a policy or enter into a contract to cover our tests, as well as the amount it will reimburse for a test, seeking these approvals is a time-consuming and costly process. In addition, the determination by a payor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3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5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Furthermore, in cases where we or our partners have established reimbursement rates with third-party payors, we face additional challenges in complying with their procedural requirements for reimbursement. These requirements often vary from payor to payor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For example, we are currently engaged in discussions with one of our third-party payors regarding certain overpayments we allegedly received from the payor for services that the payor alleges are not covered by, or were not otherwise properly billed to, the payor. This payor has asserted that it will seek recovery or recoupment in relation to the alleged overpayments, if the matter cannot be settled. As a result of this matter and other potential settlements with payors, we have established certain liabilities and reversed certain of our previously recorded revenue. For more information regarding this matter, see Note 4, “Revenue Recognition” to our unaudited condensed consolidated financial statements included within this Quarterly Report. We have been required to repay certain amounts to payors as a result of such audits, and we could be adversely affected if we are required to repay other payors for alleged overpayments due to lack of compliance with their reimbursement policies as well as agree to lower contracted reimbursement rates in connection with resolving claims of alleged overpayments. In addition, we have experienced, and may continue to experience, delays in reimbursement when we transition to being an in-network provider with a payor.</w:t>
      </w:r>
    </w:p>
    <w:p>
      <w:pPr>
        <w:spacing w:after="0" w:line="3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with the development and commercialization of our databases and our health information and genomic platforms.</w:t>
      </w:r>
    </w:p>
    <w:p>
      <w:pPr>
        <w:spacing w:after="0" w:line="2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w:t>
      </w: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Ethical, legal and social concerns related to the use of genomic medicine and health information analysis could reduce demand for our tests.</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7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1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GeneDx’s Business and Operations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GeneDx needs to scale its infrastructure in advance of demand for its tests, and its failure to generate sufficient demand for its tests would have a negative impact on its business and its ability to attain profitability.</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GeneDx’s success depends in large part on its ability to extend its market position, to provide customers with high-quality test reports quickly and at a lower price than its competitors, and to achieve sufficient test volume to realize economies of scale. GeneDx’s overall test volumes grew from approximately 134 thousand to 169 thousand tests processed during the years ended December 31, 2020 and 2021. In addition, GeneDx regularly evaluates and refines its testing process, often significantly updating its workflows, including with respect to exome sequencing and whole genome sequencing. In order to execute GeneDx’s business model, it intends to continue to invest heavily in order to significantly scale its infrastructure, including GeneDx’s testing capacity, particularly, with respect to exome sequencing and whole genome sequencing to supplement its panel testing capabilities, and information systems, expand its commercial operations, customer service, billing and systems processes and enhance its internal quality assurance program. GeneDx expects that much of this growth will be in advance of demand for its tests. GeneDx’s and Sema4’s current and future expense levels are to a large extent fixed and are largely based on investment plans and estimates of future revenue. Because the timing and amount of revenue from GeneDx’s tests is difficult to forecast, when revenue does not meet expectations, GeneDx may not be able to adjust its spending promptly or reduce spending to levels commensurate with its revenue. Even if GeneDx successfully scales its infrastructure and operations, there can be no assurance that tests will increase at levels consistent with the growth of GeneDx’s infrastructure. If GeneDx fails to generate demand commensurate with this growth or if it fails to scale its infrastructure sufficiently in advance of demand to successfully meet such demand, its business, prospects, financial condition and results of operations could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GeneDx is not able to continue to generate substantial demand of its tests, its commercial success will be negatively affected.</w:t>
      </w:r>
    </w:p>
    <w:p>
      <w:pPr>
        <w:spacing w:after="0" w:line="17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GeneDx’s business model assumes that it will be able to generate significant test volume, particularly with respect to exome sequencing and whole genome sequencing in addition to its panel testing offerings, and it may not succeed in continuing to drive adoption of its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GeneDx’s, there may be distrust as to the reliability of such information when compared with more limited and focused genetic tests. To generate further demand for GeneDx’s tests, GeneDx will need to continue to make clinicians aware of the benefits of its tests, including the price, the breadth of its testing options, and the benefits of having additional genetic data available from which to make treatment decisions. A lack of or delay in clinical acceptance of GeneDx’s exome sequencing and whole genome sequencing testing, or its legacy broad-based panels testing, would negatively impact sales and market acceptance of GeneDx’s tests and limit its revenue growth and potential profitability. Genetic testing is expensive and many potential customers may be sensitive to pricing. In addition, potential customers may not adopt GeneDx’s tests if adequate reimbursement is not available, or if GeneDx is not able to maintain low prices relative to its competitors.</w:t>
      </w:r>
    </w:p>
    <w:p>
      <w:pPr>
        <w:spacing w:after="0" w:line="3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GeneDx is not able to generate demand for its tests at sufficient volume, or if it takes significantly more time to generate this demand than GeneDx anticipates, GeneDx’s business, prospects, financial condition and results of operations could be materially harmed.</w:t>
      </w:r>
    </w:p>
    <w:p>
      <w:pPr>
        <w:spacing w:after="0" w:line="15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GeneDx has devoted a portion of its resources to the development and commercialization of exome sequencing and whole genome sequencing, and to research and development activities related to such sequencing and the analysis thereof, including clinical and regulatory initiatives to obtain diagnostic clearance and marketing approval. The demand for these regulated products is relatively unproven, and GeneDx may not be successful in achieving market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awareness and demand for these products through our sales and marketing operations</w:t>
      </w:r>
      <w:r>
        <w:rPr>
          <w:rFonts w:ascii="Arial" w:cs="Arial" w:eastAsia="Arial" w:hAnsi="Arial"/>
          <w:sz w:val="21"/>
          <w:szCs w:val="21"/>
          <w:color w:val="008080"/>
        </w:rPr>
        <w:t>.</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GeneDx’s laboratories become inoperable due to disasters, health epidemics or for any other reasons, it will be unable to perform tests and its business will be harmed.</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GeneDx performs all of its tests at its production facilities in Gaithersburg, Maryland. GeneDx’s laboratories and the equipment it uses to perform its tests would be costly to replace and could require substantial lead time to replace and qualify for use. GeneDx’s laboratories may be harmed or rendered inoperable by natural or man-made disasters, including flooding, fire and power outages, or by health epidemics, which may render it difficult or impossible for GeneDx to perform its tests for some period of time. The inability to perform GeneDx’s tests or the backlog that could develop if its laboratories are inoperable for even a short period of time may result in the loss of customers or harm its reputation. Although GeneDx maintains insurance for damage to its property and the disruption of its business, this insurance may not be sufficient to cover all potential losses and may not continue to be available to GeneDx on acceptable terms, if at all.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5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7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7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w:t>
      </w: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51" w:lineRule="exact"/>
        <w:rPr>
          <w:sz w:val="20"/>
          <w:szCs w:val="20"/>
          <w:color w:val="auto"/>
        </w:rPr>
      </w:pPr>
    </w:p>
    <w:p>
      <w:pPr>
        <w:jc w:val="both"/>
        <w:ind w:left="640" w:hanging="316"/>
        <w:spacing w:after="0" w:line="25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payor regimes and other governmental;</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repatriating foreign earned profits;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5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90"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(“FCPA”), its books and records provisions, or its anti-bribery provisions or laws similar to the FCPA in other jurisdictions in which we may in the future operate, such as the United Kingdom’s Bribery Act of 2010 and anti-bribery requirements of member states in the European Union (“EU”).</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revenue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9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results of operations could be adversely affected by general conditions in the global economy and financial markets. A severe or prolonged economic downturn or increase in inflation and interest rates could result in a variety of risks to our business, including weakened demand for our products and services, increased costs and expenses and a reduced ability to raise additional capital when needed on favorable terms, if at all. A weak declining or inflationary economy could also strain our collaborators and suppliers, resulting in supply disruption, or cause delays in their payments to us. For example, we have experienced interruptions in the supply of the diagnostic testing materials necessary for our testing products and material and shipping cost increases. We also have significant supply contracts that are short-term and, as we enter into the renewal cycles for these contracts, we may face material price increases upon renewal. Any of the foregoing could harm our business and we cannot anticipate all of the ways in which the current economic climate and financial market conditions could adversely impact our business, financial condition, or results of operations.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4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4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6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4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11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41" w:lineRule="exact"/>
        <w:rPr>
          <w:sz w:val="20"/>
          <w:szCs w:val="20"/>
          <w:color w:val="auto"/>
        </w:rPr>
      </w:pPr>
    </w:p>
    <w:p>
      <w:pPr>
        <w:jc w:val="both"/>
        <w:ind w:left="640" w:hanging="316"/>
        <w:spacing w:after="0" w:line="255"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48"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130" w:lineRule="exact"/>
        <w:rPr>
          <w:rFonts w:ascii="Arial" w:cs="Arial" w:eastAsia="Arial" w:hAnsi="Arial"/>
          <w:sz w:val="17"/>
          <w:szCs w:val="17"/>
          <w:color w:val="auto"/>
        </w:rPr>
      </w:pPr>
    </w:p>
    <w:p>
      <w:pPr>
        <w:ind w:left="640" w:hanging="316"/>
        <w:spacing w:after="0" w:line="294"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17"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91" w:lineRule="exact"/>
        <w:rPr>
          <w:sz w:val="20"/>
          <w:szCs w:val="20"/>
          <w:color w:val="auto"/>
        </w:rPr>
      </w:pPr>
    </w:p>
    <w:p>
      <w:pPr>
        <w:ind w:right="160" w:firstLine="318"/>
        <w:spacing w:after="0" w:line="267" w:lineRule="auto"/>
        <w:rPr>
          <w:sz w:val="20"/>
          <w:szCs w:val="20"/>
          <w:color w:val="auto"/>
        </w:rPr>
      </w:pPr>
      <w:r>
        <w:rPr>
          <w:rFonts w:ascii="Arial" w:cs="Arial" w:eastAsia="Arial" w:hAnsi="Arial"/>
          <w:sz w:val="17"/>
          <w:szCs w:val="17"/>
          <w:color w:val="auto"/>
        </w:rPr>
        <w:t>Additionally, our customers and collaborators, including the Mount Sinai Health System, which refer to together with its related entities as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4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estimated the sizes of the markets for our current and future products and services, and these markets may be smaller than we estimate.</w:t>
      </w:r>
    </w:p>
    <w:p>
      <w:pPr>
        <w:spacing w:after="0" w:line="21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1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have relatively limited experience developing and commercializing products and services outside of the fields of reproductive and women’s health and pediatrics and NICU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35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favorable exposure in peer-reviewed publications, the rate of clinician adoption of our diagnostic solutions and positive reimbursement coverage determinations for our diagnostic solutions could be negatively affected.</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U.S. Food and Drug Administration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4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6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5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5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11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4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spacing w:after="0" w:line="200" w:lineRule="exact"/>
        <w:rPr>
          <w:sz w:val="20"/>
          <w:szCs w:val="20"/>
          <w:color w:val="auto"/>
        </w:rPr>
      </w:pPr>
    </w:p>
    <w:p>
      <w:pPr>
        <w:spacing w:after="0" w:line="3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Sema4 has incurred losses since Sema4 was formed and we expect to continue to generate significant operating losses for the foreseeable future. As of September 30, 2022 and December 31, 2021, we have an accumulated deficit of approximately $815.7 million and $575.4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77"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success in marketing and selling, and changes in demand for, our tests, and the level of reimbursement and collection obtained for such tests;</w:t>
      </w:r>
    </w:p>
    <w:p>
      <w:pPr>
        <w:spacing w:after="0" w:line="211"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5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2"/>
        </w:numPr>
        <w:rPr>
          <w:rFonts w:ascii="Arial" w:cs="Arial" w:eastAsia="Arial" w:hAnsi="Arial"/>
          <w:sz w:val="15"/>
          <w:szCs w:val="15"/>
          <w:color w:val="auto"/>
        </w:rPr>
      </w:pPr>
      <w:r>
        <w:rPr>
          <w:rFonts w:ascii="Arial" w:cs="Arial" w:eastAsia="Arial" w:hAnsi="Arial"/>
          <w:sz w:val="15"/>
          <w:szCs w:val="15"/>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71"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research and development activities, including the timing of clinical trials; and</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18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1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Sema4 has incurred net losses and negative cash flows from operations since its inception, including net losses of $245.4 million, $241.3 million and $29.7 million for the years ended December 31, 2021, 2020 and 2019, respectively. The net loss was $240.2 million for the nine months ended September 30, 2022. As of September 30, 2022, we had an accumulated deficit of $815.7 million. We expect to continue to generate significant operating losses for the foreseeable future.</w:t>
      </w:r>
    </w:p>
    <w:p>
      <w:pPr>
        <w:spacing w:after="0" w:line="2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may seek to sell common or preferred equity or convertible debt securities, enter into a credit facility or another form of third-party funding or seek other debt financing. For example, we have an effective shelf registration statement filed with the SEC that permits us to sell from time to time up to $300 million of additional shares of our Class A common stock or other securities in one or more offerings in amounts, at prices and on the terms that we will determine at the time of offering, although we do not intend to issue shares of our Class A common stock at current market prices.</w:t>
      </w:r>
    </w:p>
    <w:p>
      <w:pPr>
        <w:spacing w:after="0" w:line="15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41"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7"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rate of progress in establishing payor coverage and reimbursement arrangements with commercial third-party payors and government payors;</w:t>
      </w:r>
    </w:p>
    <w:p>
      <w:pPr>
        <w:spacing w:after="0" w:line="211" w:lineRule="exact"/>
        <w:rPr>
          <w:rFonts w:ascii="Arial" w:cs="Arial" w:eastAsia="Arial" w:hAnsi="Arial"/>
          <w:sz w:val="15"/>
          <w:szCs w:val="15"/>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Centrellis solution;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rate of progress in, and cost of research and development activities associated with, products and services in research and early development;</w:t>
      </w:r>
    </w:p>
    <w:p>
      <w:pPr>
        <w:spacing w:after="0" w:line="211" w:lineRule="exact"/>
        <w:rPr>
          <w:rFonts w:ascii="Arial" w:cs="Arial" w:eastAsia="Arial" w:hAnsi="Arial"/>
          <w:sz w:val="15"/>
          <w:szCs w:val="15"/>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28"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Any preferred equity securities issued also could provide for rights, preferences or</w:t>
      </w:r>
    </w:p>
    <w:p>
      <w:pPr>
        <w:spacing w:after="0" w:line="200" w:lineRule="exact"/>
        <w:rPr>
          <w:sz w:val="20"/>
          <w:szCs w:val="20"/>
          <w:color w:val="auto"/>
        </w:rPr>
      </w:pPr>
    </w:p>
    <w:p>
      <w:pPr>
        <w:spacing w:after="0" w:line="3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 Further, although we expect our cash and cash equivalents will be sufficient to fund operations for at least the next twelve months from the date of filing of this Form 10-Q, in the future, our ability to continue as a going concern may be dependent, in part, on our ability to raise additional capital, and should we be unable to raise sufficient additional capital, we may be required to undertake cost-cutting measures including delaying or discontinuing certain planned investments or programs.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22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4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September 30, 2022.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01"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9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01"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54"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For a discussion of our remediation plan and actions, see “Item 4. Controls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Procedures.” However, as noted above, as of September 30, 2022, the material weaknesses have not yet been fully remediated.</w:t>
      </w:r>
    </w:p>
    <w:p>
      <w:pPr>
        <w:spacing w:after="0" w:line="17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Arial" w:cs="Arial" w:eastAsia="Arial" w:hAnsi="Arial"/>
          <w:sz w:val="15"/>
          <w:szCs w:val="15"/>
          <w:i w:val="1"/>
          <w:iCs w:val="1"/>
          <w:color w:val="auto"/>
        </w:rPr>
        <w:t>Risks</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to 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rFonts w:ascii="Arial" w:cs="Arial" w:eastAsia="Arial" w:hAnsi="Arial"/>
          <w:sz w:val="15"/>
          <w:szCs w:val="15"/>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may be limited.</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spacing w:after="0" w:line="15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Furthermore, under Section 382 of the Internal Revenue Code of 1986, as amended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with CMLS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w:t>
      </w:r>
    </w:p>
    <w:p>
      <w:pPr>
        <w:spacing w:after="0" w:line="3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also be periods during which the use of NOLs is suspended or otherwise limited, which could accelerate or permanently increase state liability.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laboratories to perform certain elements of our service offerings.</w:t>
      </w:r>
    </w:p>
    <w:p>
      <w:pPr>
        <w:spacing w:after="0" w:line="17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34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may not have sufficient alternative backup if one or more of the third-party laboratories that we contract with are unable to satisfy their obligations to us with sufficient performance, quality and timeliness.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payors,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rely on Mount Sinai, which is a related party, and its clinicians for a portion of our test volumes in connection with our diagnostic solutions and for substantially all of the de-identified clinical records in our databases. In addition, we sublease certain facilities from Mount Sinai, we provide certain research and data services to Mount Sinai, and we and Mount Sinai have entered into certain collaborative and commercial arrangements. Certain of our employees perform duties for or on behalf of Mount Sinai. Furthermore, we may in the future enter into other contracts for services or other engagements with Mount Sinai.</w:t>
      </w:r>
    </w:p>
    <w:p>
      <w:pPr>
        <w:spacing w:after="0" w:line="16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3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Icahn School of Medicine at Mount Sinai, or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5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 and Other Strategic Transactions</w:t>
      </w:r>
    </w:p>
    <w:p>
      <w:pPr>
        <w:spacing w:after="0" w:line="200" w:lineRule="exact"/>
        <w:rPr>
          <w:sz w:val="20"/>
          <w:szCs w:val="20"/>
          <w:color w:val="auto"/>
        </w:rPr>
      </w:pPr>
    </w:p>
    <w:p>
      <w:pPr>
        <w:spacing w:after="0" w:line="222"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b w:val="1"/>
          <w:bCs w:val="1"/>
          <w:i w:val="1"/>
          <w:iCs w:val="1"/>
          <w:color w:val="auto"/>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result of the Acquisition, OPKO became the owner of 80 million shares of Class A common stock as of the Closing Date. OPKO is subject to transfer restrictions and requirements to dispose of its shares in marketed sales processes under the shareholder agreements that were entered into in connection with the Acquisition, but those restrictions and requirements are finite and subject to exceptions.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the shares held by OPKO or the other holders party such shareholder agreements are sold, or if it is perceived that they will be sold in the public market, the trading price of our Class A common stock could decline.</w:t>
      </w:r>
    </w:p>
    <w:p>
      <w:pPr>
        <w:spacing w:after="0" w:line="141" w:lineRule="exact"/>
        <w:rPr>
          <w:sz w:val="20"/>
          <w:szCs w:val="20"/>
          <w:color w:val="auto"/>
        </w:rPr>
      </w:pPr>
    </w:p>
    <w:p>
      <w:pPr>
        <w:ind w:right="140"/>
        <w:spacing w:after="0" w:line="365" w:lineRule="auto"/>
        <w:rPr>
          <w:sz w:val="20"/>
          <w:szCs w:val="20"/>
          <w:color w:val="auto"/>
        </w:rPr>
      </w:pPr>
      <w:r>
        <w:rPr>
          <w:rFonts w:ascii="Arial" w:cs="Arial" w:eastAsia="Arial" w:hAnsi="Arial"/>
          <w:sz w:val="15"/>
          <w:szCs w:val="15"/>
          <w:b w:val="1"/>
          <w:bCs w:val="1"/>
          <w:i w:val="1"/>
          <w:iCs w:val="1"/>
          <w:color w:val="auto"/>
        </w:rPr>
        <w:t>Our ability to be successful is dependent following the Acquisition depends upon our efforts to integrate Sema4’s and GeneDx’s business and operations, and the anticipated benefits of the Acquisition may not be realized fully or at all or may take longer to realize than expected.</w:t>
      </w:r>
    </w:p>
    <w:p>
      <w:pPr>
        <w:spacing w:after="0" w:line="8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Acquisition involves the integration of two companies that have previously operated independently. Prior to the announcement, we and GeneDx did not conduct any integration planning for the two companies, and our ability to do so prior to consummation of the Acquisition was limited by applicable law. Following the closing of the Acquisition, we are devoting significant management attention and resources to integrating the two businesses. Delays in this process could adversely affect the combined company’s business, financial results, financial condition and stock price. Even if we are able to integrate the two companies’ business operations successfully, there can be no assurance that this integration will result in the realization of the full benefits of synergies, cost savings, innovation and operational efficiencies that we expected from this integration or that these benefits will be achieved within the anticipated time frame.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be successful is further dependent upon the efforts of our key personnel, including the key personnel of GeneDx following the Acquisition.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negatively impact our operations and profitability our financial condition could suffer as a result.</w:t>
      </w:r>
    </w:p>
    <w:p>
      <w:pPr>
        <w:spacing w:after="0" w:line="16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ability to be successful is dependent upon the efforts of our key personnel, including the key personnel of GeneDx who became our employees as of the closing of the Acquisition. Although our key personnel are expected to continue to remain with the Company in their current roles, it is possible that we will lose some key personnel, the loss of which could negatively impact the operations and profitability of our business.</w:t>
      </w:r>
    </w:p>
    <w:p>
      <w:pPr>
        <w:spacing w:after="0" w:line="1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GeneDx’s success depends to a significant degree upon the continued contributions of senior management, certain of whom would be difficult to replace. Departure by certain of GeneDx’s officers could have a material adverse effect on GeneDx’s business, financial condition, or operating results. The services of such personnel may not continue to be available to us.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will continue to incur significant transaction and transition costs in connection with the Acquisition.</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incurred significant, non-recurring costs in connection with consummating the Acquisition. Furthermore, we expect to incur additional significant, non-recurring costs in connection with the integration of the businesses of our Company and GeneDx. We may also incur additional costs to retain key employees.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Acquisition’s benefits do not meet the expectations of investors, stockholders or financial analysts, the market price of our securities may decline.</w:t>
      </w:r>
    </w:p>
    <w:p>
      <w:pPr>
        <w:spacing w:after="0" w:line="22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 benefits of the Acquisition do not meet the expectations of investors or securities analysts, the market price of our securities may decline. For additional factors that may affect the trading price of our securities see “</w:t>
      </w:r>
      <w:r>
        <w:rPr>
          <w:rFonts w:ascii="Arial" w:cs="Arial" w:eastAsia="Arial" w:hAnsi="Arial"/>
          <w:sz w:val="18"/>
          <w:szCs w:val="18"/>
          <w:i w:val="1"/>
          <w:iCs w:val="1"/>
          <w:color w:val="auto"/>
        </w:rPr>
        <w:t>—Risks Related to Being a Public Company—If we do not meet the expectations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investors, stockholders or financial analysts, the market price of our securities may decline</w:t>
      </w:r>
      <w:r>
        <w:rPr>
          <w:rFonts w:ascii="Arial" w:cs="Arial" w:eastAsia="Arial" w:hAnsi="Arial"/>
          <w:sz w:val="18"/>
          <w:szCs w:val="18"/>
          <w:color w:val="auto"/>
        </w:rPr>
        <w:t>.”</w:t>
      </w:r>
    </w:p>
    <w:p>
      <w:pPr>
        <w:spacing w:after="0" w:line="13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i w:val="1"/>
          <w:iCs w:val="1"/>
          <w:color w:val="auto"/>
        </w:rPr>
        <w:t>We may be unable to realize the level of the anticipated benefits that we expect from exiting businesses and restructuring our operations, which may adversely impact our business and results of operations.</w:t>
      </w:r>
    </w:p>
    <w:p>
      <w:pPr>
        <w:spacing w:after="0" w:line="188" w:lineRule="exact"/>
        <w:rPr>
          <w:sz w:val="20"/>
          <w:szCs w:val="20"/>
          <w:color w:val="auto"/>
        </w:rPr>
      </w:pPr>
    </w:p>
    <w:p>
      <w:pPr>
        <w:jc w:val="both"/>
        <w:ind w:firstLine="318"/>
        <w:spacing w:after="0" w:line="290" w:lineRule="auto"/>
        <w:rPr>
          <w:sz w:val="20"/>
          <w:szCs w:val="20"/>
          <w:color w:val="auto"/>
        </w:rPr>
      </w:pPr>
      <w:r>
        <w:rPr>
          <w:rFonts w:ascii="Arial" w:cs="Arial" w:eastAsia="Arial" w:hAnsi="Arial"/>
          <w:sz w:val="15"/>
          <w:szCs w:val="15"/>
          <w:color w:val="auto"/>
        </w:rPr>
        <w:t>From time to time, we may decide to exit certain businesses or otherwise undertake restructuring, reorganization, or other strategic initiatives and business transformation plans to realign our resources with our growth strategies, operate more efficiently and control costs. The successful implementation of our restructuring activities may from time to time require us to effect business and asset dispositions, workforce reductions, management restructurings, decisions to limit investments in or otherwise exit businesses, facility consolidations and closures, and other actions, each of which may depend on a number of factors that may not be within our control. For example, as described in more detail elsewhere in this Quarterly Report, we have announced plans to exit our reproductive and women’s health testing business and exit our somatic tumor testing business.</w:t>
      </w:r>
    </w:p>
    <w:p>
      <w:pPr>
        <w:spacing w:after="0" w:line="18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Any such effort to realign or streamline our organization may result in the recording of restructuring or other charges, such as asset impairment charges, contract and lease termination costs, exit costs, termination benefits, and other restructuring costs. In particular, we expect that material cash and non-cash charges will be incurred and recorded in our future reporting periods as a result of the exit of the reproductive and women’s health testing and somatic tumor testing businesses. Further, as a result of restructuring initiatives, we may experience a loss of continuity, loss of accumulated knowledge and proficiency, adverse effects on employee morale, loss of key employees and/or other retention issues during transitional periods. Reorganization and restructuring can impact a significant amount of management and other employees’ time and focus, which may divert attention from operating and growing our business. Further, upon completion of any restructuring initiatives, our business may not be more efficient or effective than prior to the implementation of the plan and we may be unable to achieve anticipated operating enhancements or cost reductions, which would adversely affect our business, competitive position, operating results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assumed GeneDx’s risks arising from various legal proceedings.</w:t>
      </w:r>
    </w:p>
    <w:p>
      <w:pPr>
        <w:spacing w:after="0" w:line="19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connection with the Acquisition, as of the Closing, we assumed GeneDx’s risks arising from legal proceedings. In particular, GeneDx has received from the Medicaid offices of certain states requests for refunds of up to approximately $1.8 million of previously issued reimbursements for certain services and testing provided by GeneDx both prior to and following the Acquisition. This amount represents the initial amounts expressed in writing by the Medicaid offices as well as our estimate based on our participation in discussions with OPKO and the Medicaid offices. We are working with OPKO to investigate these issues and in discussions with these payors regarding their requests and, at this time, we can express no opinion as to the likelihood of an unfavorable outcome or the range of potential loss in this matter. Although we expect OPKO’s indemnification obligations under the Acquisition Merger Agreement would apply to certain of the requested refunds related to the services and testing provided prior to the closing of the Acquisition, we would be responsible for any refunds related to services and testing provided after the Closing of the Acquisition. Furthermore, following the Closing of the Acquisition, the strategies or motivations of a party or parties with respect to actual or potential litigation against us may change. We cannot predict with certainty the eventual outcome of GeneDx’s pending or future legal proceedings and the ultimate outcome of such matters could be material to our results of operations, cash flows and financial condition.</w:t>
      </w:r>
    </w:p>
    <w:p>
      <w:pPr>
        <w:spacing w:after="0" w:line="14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Finally, the Acquisition may result in post-transaction disputes with OPKO or the other counterparties to the Acquisition Merger Agreement and the related agreements regarding a number of matters, including any post-closing adjustments to the Cash Consideration, the occurrence or non-occurrence of any Milestone Event (as defined in the Acquisition Merger Agreement for the Acquisition) or payment of any Milestone Payment (as defined in the Acquisition Merger Agreement) or any liabilities for which we or OPKO believes it was indemnified under the Acquisition Merger Agreement.</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We may seek to grow our business through additional acquisitions of complementary products or technologies and we may from time to time dispose of businesses or assets, and the failure to manage these acquisitions or dispositions, or the failure to integrate acquired businesses with our existing business, could have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From time to time, we may consider additional opportunities to acquire other products or technologies that may enhance our product platform or technology, expand the breadth of our markets or customer base, or advance our business strategies. In addition, we plan to exit our reproductive and women's health testing business and our somatic tumor testing business, which may involve a divestiture of these businesses, and we may consider disposing other assets or businesses in the future.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Potential acquisitions involve numerous risks, including:</w:t>
      </w:r>
    </w:p>
    <w:p>
      <w:pPr>
        <w:spacing w:after="0" w:line="124" w:lineRule="exact"/>
        <w:rPr>
          <w:sz w:val="20"/>
          <w:szCs w:val="20"/>
          <w:color w:val="auto"/>
        </w:rPr>
      </w:pPr>
    </w:p>
    <w:p>
      <w:pPr>
        <w:ind w:left="1280" w:hanging="638"/>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137" w:lineRule="exact"/>
        <w:rPr>
          <w:rFonts w:ascii="Arial" w:cs="Arial" w:eastAsia="Arial" w:hAnsi="Arial"/>
          <w:sz w:val="18"/>
          <w:szCs w:val="18"/>
          <w:color w:val="auto"/>
        </w:rPr>
      </w:pPr>
    </w:p>
    <w:p>
      <w:pPr>
        <w:ind w:left="1280" w:hanging="638"/>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37" w:lineRule="exact"/>
        <w:rPr>
          <w:rFonts w:ascii="Arial" w:cs="Arial" w:eastAsia="Arial" w:hAnsi="Arial"/>
          <w:sz w:val="18"/>
          <w:szCs w:val="18"/>
          <w:color w:val="auto"/>
        </w:rPr>
      </w:pPr>
    </w:p>
    <w:p>
      <w:pPr>
        <w:ind w:left="1280" w:hanging="638"/>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Dispositions may similarly involve </w:t>
      </w:r>
      <w:r>
        <w:rPr>
          <w:rFonts w:ascii="Arial" w:cs="Arial" w:eastAsia="Arial" w:hAnsi="Arial"/>
          <w:sz w:val="15"/>
          <w:szCs w:val="15"/>
          <w:color w:val="212529"/>
        </w:rPr>
        <w:t>risks associated with the potential disruption of our ongoing business and distraction of our management team, and the</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 xml:space="preserve">anticipated benefits and cost savings of these transactions may not be realized fully, or at all, or take longer to realize than anticipated. In addition, dispositions </w:t>
      </w:r>
      <w:r>
        <w:rPr>
          <w:rFonts w:ascii="Arial" w:cs="Arial" w:eastAsia="Arial" w:hAnsi="Arial"/>
          <w:sz w:val="18"/>
          <w:szCs w:val="18"/>
          <w:color w:val="000000"/>
        </w:rPr>
        <w:t>may involve our continued financial involvement in a divested business, such as through continuing equity ownership, transition service agreements, guarantees, indemnities or other current or contingent financial obligations. Under these arrangements, performance by the acquired or divested business, or other conditions outside our control, could affect our future financial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22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4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202"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 xml:space="preserve">We currently offer a laboratory-develop test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200" w:lineRule="exact"/>
        <w:rPr>
          <w:sz w:val="20"/>
          <w:szCs w:val="20"/>
          <w:color w:val="auto"/>
        </w:rPr>
      </w:pPr>
    </w:p>
    <w:p>
      <w:pPr>
        <w:spacing w:after="0" w:line="3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Recently, the FDA has also taken a more active role in certain diagnostic areas, including the oversight of pharmacogenetic (“PGx”)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6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5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request to down classify the device into Class II or Class I, which would not require a PMA. In the </w:t>
      </w:r>
      <w:r>
        <w:rPr>
          <w:rFonts w:ascii="Arial" w:cs="Arial" w:eastAsia="Arial" w:hAnsi="Arial"/>
          <w:sz w:val="15"/>
          <w:szCs w:val="15"/>
          <w:i w:val="1"/>
          <w:iCs w:val="1"/>
          <w:color w:val="auto"/>
        </w:rPr>
        <w:t xml:space="preserve">de novo </w:t>
      </w:r>
      <w:r>
        <w:rPr>
          <w:rFonts w:ascii="Arial" w:cs="Arial" w:eastAsia="Arial" w:hAnsi="Arial"/>
          <w:sz w:val="15"/>
          <w:szCs w:val="15"/>
          <w:color w:val="auto"/>
        </w:rPr>
        <w:t>process, the FDA must determine that general and special controls are sufficient to provide reasonable assurance of the safety and effectiveness of a</w:t>
      </w:r>
      <w:r>
        <w:rPr>
          <w:rFonts w:ascii="Arial" w:cs="Arial" w:eastAsia="Arial" w:hAnsi="Arial"/>
          <w:sz w:val="15"/>
          <w:szCs w:val="15"/>
          <w:i w:val="1"/>
          <w:iCs w:val="1"/>
          <w:color w:val="auto"/>
        </w:rPr>
        <w:t xml:space="preserve"> </w:t>
      </w:r>
      <w:r>
        <w:rPr>
          <w:rFonts w:ascii="Arial" w:cs="Arial" w:eastAsia="Arial" w:hAnsi="Arial"/>
          <w:sz w:val="15"/>
          <w:szCs w:val="15"/>
          <w:color w:val="auto"/>
        </w:rPr>
        <w:t>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33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1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77"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77"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31" w:lineRule="exact"/>
        <w:rPr>
          <w:rFonts w:ascii="Arial" w:cs="Arial" w:eastAsia="Arial" w:hAnsi="Arial"/>
          <w:sz w:val="17"/>
          <w:szCs w:val="17"/>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may identify deficiencies in our marketing application;</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may identify deficiencies in our or our collaborators’ manufacturing processes, facilities or analytical methods;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FDA or foreign regulatory authorities may review clinical trial data and conclude that the data is not sufficiently reliable to support a PMA.</w:t>
      </w:r>
    </w:p>
    <w:p>
      <w:pPr>
        <w:spacing w:after="0" w:line="18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6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insurance;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also required to comply with FDA regulations, including with respect to our labeling and promotion activities. In addition, advertising and marketing of our clinical products are subject to regulation by the Federal Trade Commission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4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51" w:lineRule="exact"/>
        <w:rPr>
          <w:sz w:val="20"/>
          <w:szCs w:val="20"/>
          <w:color w:val="auto"/>
        </w:rPr>
      </w:pPr>
    </w:p>
    <w:p>
      <w:pPr>
        <w:ind w:left="640" w:hanging="316"/>
        <w:spacing w:after="0" w:line="294"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130" w:lineRule="exact"/>
        <w:rPr>
          <w:rFonts w:ascii="Arial" w:cs="Arial" w:eastAsia="Arial" w:hAnsi="Arial"/>
          <w:sz w:val="17"/>
          <w:szCs w:val="17"/>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Some of our activities may subject the Company to risks under federal and state laws prohibiting ‘kickbacks’ and false or fraudulent claims.</w:t>
      </w:r>
    </w:p>
    <w:p>
      <w:pPr>
        <w:spacing w:after="0" w:line="21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4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2018, Congress passed the Eliminating Kickbacks in Recovery Act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still a relatively new law, there is no agency guidance and only two courts have addressed the application of EKRA and those courts reached opposite conclusions. One court ruled that the commission-based compensation provisions of a laboratory employee’s contract did not violate EKRA while the other court expressly disagreed. Given the conflicting opinions, we cannot assure you that our relationships with healthcare providers, hospitals,</w:t>
      </w: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customers, our own sales representatives, or any other party will not be subject to scrutiny or will survive regulatory challenge under EKRA.</w:t>
      </w:r>
    </w:p>
    <w:p>
      <w:pPr>
        <w:spacing w:after="0" w:line="19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payor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4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3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4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7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41" w:lineRule="exact"/>
        <w:rPr>
          <w:sz w:val="20"/>
          <w:szCs w:val="20"/>
          <w:color w:val="auto"/>
        </w:rPr>
      </w:pPr>
    </w:p>
    <w:p>
      <w:pPr>
        <w:ind w:left="640" w:hanging="316"/>
        <w:spacing w:after="0" w:line="264"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5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42"/>
        </w:numPr>
        <w:rPr>
          <w:rFonts w:ascii="Arial" w:cs="Arial" w:eastAsia="Arial" w:hAnsi="Arial"/>
          <w:sz w:val="15"/>
          <w:szCs w:val="15"/>
          <w:color w:val="auto"/>
        </w:rPr>
      </w:pPr>
      <w:r>
        <w:rPr>
          <w:rFonts w:ascii="Arial" w:cs="Arial" w:eastAsia="Arial" w:hAnsi="Arial"/>
          <w:sz w:val="15"/>
          <w:szCs w:val="15"/>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71"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General Data Protection Regulation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48"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California Consumer Privacy Act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 and other similar state laws;</w:t>
      </w:r>
    </w:p>
    <w:p>
      <w:pPr>
        <w:spacing w:after="0" w:line="164"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5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40"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40"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1"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40" w:hanging="316"/>
        <w:spacing w:after="0" w:line="255"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payor, including private insurers;</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40"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5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43"/>
        </w:numPr>
        <w:rPr>
          <w:rFonts w:ascii="Arial" w:cs="Arial" w:eastAsia="Arial" w:hAnsi="Arial"/>
          <w:sz w:val="15"/>
          <w:szCs w:val="15"/>
          <w:color w:val="auto"/>
        </w:rPr>
      </w:pPr>
      <w:r>
        <w:rPr>
          <w:rFonts w:ascii="Arial" w:cs="Arial" w:eastAsia="Arial" w:hAnsi="Arial"/>
          <w:sz w:val="15"/>
          <w:szCs w:val="15"/>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84" w:lineRule="exact"/>
        <w:rPr>
          <w:rFonts w:ascii="Arial" w:cs="Arial" w:eastAsia="Arial" w:hAnsi="Arial"/>
          <w:sz w:val="15"/>
          <w:szCs w:val="15"/>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40"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43"/>
        </w:numPr>
        <w:rPr>
          <w:rFonts w:ascii="Arial" w:cs="Arial" w:eastAsia="Arial" w:hAnsi="Arial"/>
          <w:sz w:val="15"/>
          <w:szCs w:val="15"/>
          <w:color w:val="auto"/>
        </w:rPr>
      </w:pPr>
      <w:r>
        <w:rPr>
          <w:rFonts w:ascii="Arial" w:cs="Arial" w:eastAsia="Arial" w:hAnsi="Arial"/>
          <w:sz w:val="15"/>
          <w:szCs w:val="15"/>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payors;</w:t>
      </w:r>
    </w:p>
    <w:p>
      <w:pPr>
        <w:spacing w:after="0" w:line="84" w:lineRule="exact"/>
        <w:rPr>
          <w:rFonts w:ascii="Arial" w:cs="Arial" w:eastAsia="Arial" w:hAnsi="Arial"/>
          <w:sz w:val="15"/>
          <w:szCs w:val="15"/>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us in the countries in which we operate or may operate in the future; and</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uncertainty related to healthcare reform, pricing, coverage and reimbursement and other regulatory changes, which could reduce our revenue.</w:t>
      </w:r>
    </w:p>
    <w:p>
      <w:pPr>
        <w:spacing w:after="0" w:line="21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w:t>
      </w: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5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payor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payors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2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Coverage of our screening products that we may develop may also depend, in whole or in part, on whether payors determine, or courts and/or regulatory authorities determine, coverage is required under applicable federal or state laws mandating coverage of certain cancer screening services.</w:t>
      </w:r>
    </w:p>
    <w:p>
      <w:pPr>
        <w:spacing w:after="0" w:line="7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payors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16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Further, in June 2022, the U.S. Supreme Court in Dobbs v. Jackson Women's Health Organization reversed Roe v. Wade by holding that there is no constitutional right to abortion. Consequently, certain states have recently enacted or proposed restrictive abortion laws that may also implicate our reproductive and women’s health screening products, which may decrease the demand for or coverage of our reproductive and women’s health screening products. We cannot predict the timing or impact of any future rulemaking, court decisions or other changes in the law, or in how such laws, once enacted, would be interpreted and enforced. We have announced plans to exit our reproductive and women’s health testing business.</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Outside of the U.S., we would largely depend on public or government-controlled payors for coverage of our oncology tests. As compared to many more routine diagnostic tests, our oncology tests are more complicated, expensive and are performed in a central, specialized lab. In order to accommodate the unique characteristics of our diagnostic products, public payors in certain non-U.S. markets have designed reimbursement frameworks specifically for each test type. These payors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payors covering the test or the number of orders placed. Public payors could condition reimbursement of our tests upon performance of our tests locally or, even in laboratories owned or operated by the payors.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payors or patients.</w:t>
      </w:r>
    </w:p>
    <w:p>
      <w:pPr>
        <w:spacing w:after="0" w:line="3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5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5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increasingly complex taxation rules and practices, which may affect how we conduct our business and our results of operations.</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Trade Secrets</w:t>
      </w: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5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3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inability to effectively protect our proprietary technologies under certain jurisdictions and legal regimes could harm our competitive position.</w:t>
      </w:r>
    </w:p>
    <w:p>
      <w:pPr>
        <w:spacing w:after="0" w:line="21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adversely affect our ability to obtain commercially relevant or competitively advantageous patent protection for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13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and Myriad </w:t>
      </w:r>
      <w:r>
        <w:rPr>
          <w:rFonts w:ascii="Arial" w:cs="Arial" w:eastAsia="Arial" w:hAnsi="Arial"/>
          <w:sz w:val="18"/>
          <w:szCs w:val="18"/>
          <w:color w:val="auto"/>
        </w:rPr>
        <w:t>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subsequent case law, affect the legal concept of subject matter eligibility by seemingly narrowing the scope of the statute defining patentable inventions.</w:t>
      </w:r>
    </w:p>
    <w:p>
      <w:pPr>
        <w:spacing w:after="0" w:line="15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5"/>
          <w:szCs w:val="15"/>
          <w:i w:val="1"/>
          <w:iCs w:val="1"/>
          <w:color w:val="auto"/>
        </w:rPr>
        <w:t>Mayo, Association for Molecular Pathology v. Myriad Genetics, Inc.</w:t>
      </w:r>
      <w:r>
        <w:rPr>
          <w:rFonts w:ascii="Arial" w:cs="Arial" w:eastAsia="Arial" w:hAnsi="Arial"/>
          <w:sz w:val="15"/>
          <w:szCs w:val="15"/>
          <w:color w:val="auto"/>
        </w:rPr>
        <w:t xml:space="preserve">, and </w:t>
      </w:r>
      <w:r>
        <w:rPr>
          <w:rFonts w:ascii="Arial" w:cs="Arial" w:eastAsia="Arial" w:hAnsi="Arial"/>
          <w:sz w:val="15"/>
          <w:szCs w:val="15"/>
          <w:i w:val="1"/>
          <w:iCs w:val="1"/>
          <w:color w:val="auto"/>
        </w:rPr>
        <w:t>Alice</w:t>
      </w:r>
      <w:r>
        <w:rPr>
          <w:rFonts w:ascii="Arial" w:cs="Arial" w:eastAsia="Arial" w:hAnsi="Arial"/>
          <w:sz w:val="15"/>
          <w:szCs w:val="15"/>
          <w:color w:val="auto"/>
        </w:rPr>
        <w:t xml:space="preserve"> </w:t>
      </w:r>
      <w:r>
        <w:rPr>
          <w:rFonts w:ascii="Arial" w:cs="Arial" w:eastAsia="Arial" w:hAnsi="Arial"/>
          <w:sz w:val="15"/>
          <w:szCs w:val="15"/>
          <w:i w:val="1"/>
          <w:iCs w:val="1"/>
          <w:color w:val="auto"/>
        </w:rPr>
        <w:t>Corporation Pty. Ltd. v. CLS Bank International</w:t>
      </w:r>
      <w:r>
        <w:rPr>
          <w:rFonts w:ascii="Arial" w:cs="Arial" w:eastAsia="Arial" w:hAnsi="Arial"/>
          <w:sz w:val="15"/>
          <w:szCs w:val="15"/>
          <w:color w:val="auto"/>
        </w:rPr>
        <w:t>, and others. The guidance indicates that claims directed to a law of nature, a natural phenomenon, or an</w:t>
      </w:r>
      <w:r>
        <w:rPr>
          <w:rFonts w:ascii="Arial" w:cs="Arial" w:eastAsia="Arial" w:hAnsi="Arial"/>
          <w:sz w:val="15"/>
          <w:szCs w:val="15"/>
          <w:i w:val="1"/>
          <w:iCs w:val="1"/>
          <w:color w:val="auto"/>
        </w:rPr>
        <w:t xml:space="preserve"> </w:t>
      </w:r>
      <w:r>
        <w:rPr>
          <w:rFonts w:ascii="Arial" w:cs="Arial" w:eastAsia="Arial" w:hAnsi="Arial"/>
          <w:sz w:val="15"/>
          <w:szCs w:val="15"/>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1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5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5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5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Because the U.S. Patent &amp; Trademark Office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33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3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w:t>
      </w: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could be required to release the source code of our proprietary software, which could substantially help our competitors develop products that are similar to or better than our products.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4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3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4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7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payors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w:t>
      </w: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2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payors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spacing w:after="0" w:line="15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The relationship between the United Kingdom and the EU remains uncertain, for example how data transfers between the United Kingdom and the EU and other jurisdictions will be</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treated and the role of the United Kingdom’s supervisory authority. For example, on June 28, 2021, the European Commission adopted the adequacy decision (the “UK Adequacy Decision”) in the wake of a non-binding vote by the European Parliament against the then-draft UK Adequacy Decision the month prior. Consequently, personal data can continue to flow from the EEA to the United Kingdom without the need for appropriate safeguards. The UK Adequacy Decision includes a “sunset clause”, rendering the decision valid for four years only, after which it will be reviewed by the European Commission and renewed only if the European Commission considers that the United Kingdom continues to ensure an adequate level of data protection. The European Commission also stated that it would intervene at any point within the four years if the United Kingdom deviates from the level of protection presently in place. If this adequacy decision reversed by the European Commission, it would require that companies implement protection measures such as the standard contractual clauses for data transfers between the EU and the United Kingdom.</w:t>
      </w:r>
    </w:p>
    <w:p>
      <w:pPr>
        <w:spacing w:after="0" w:line="155"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is scheduled to go into effect on January 1, 2023. The CPRA would, among other things, amend the CCPA to give California residents the ability to limit the use of their “sensitive personal information” and the use of personal information for automated decision-making or targeted advertising, provide for penalties for CPRA violations concerning California residents under the age of 16, and establish a new California Privacy Protection Agency to implement and enforce the law. Many aspects of the CCPA, the CPRA, and their interpretation remain unclear, and their full impact on our business and operations remains uncertain. Following the lead of California, several other states, including Colorado, Utah, Virginia and Connecticut have each enacted laws similar to the CCPA/CPRA and other states are considering enacting privacy laws as well.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34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6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scientific computing and information technology and management systems and any failure of these systems could harm our business.</w:t>
      </w:r>
    </w:p>
    <w:p>
      <w:pPr>
        <w:spacing w:after="0" w:line="21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6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4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payors, handling physician inquiries, conducting research and development activities and managing the administrative aspects of our business. Any disruption or loss of information</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technology or telecommunications systems on which critical aspects of our operations depend could have an adverse effect on our business and our reputation, and we may be unable to regain or repair our reputation in the future.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meet the expectations of investors, stockholders or financial analysts, the market price of our securities may decline.</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77"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8" w:lineRule="exact"/>
        <w:rPr>
          <w:rFonts w:ascii="Arial" w:cs="Arial" w:eastAsia="Arial" w:hAnsi="Arial"/>
          <w:sz w:val="17"/>
          <w:szCs w:val="17"/>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that the Acquisition disrupts our current plans and operations or affects our ability to retain or recruit key employees;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related to the Acquisition diverting management’s or employees’ attention from ongoing business operations;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 of the Acquisition on our business relationships (including, without limitation customers, strategic partners, collaborators and suppliers), operating results and business generally;</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of the costs, fees, expenses and charges related to the Acquisition;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substantial amounts of Class A common stock by our directors, officers or significant stockholders or the perception that such sales could occur;</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realization of any of the risk factors described herein;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comply with the requirements of the Nasdaq;</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rising inflation and interest rates, global conflicts such as the war in Ukraine, fuel prices, international currency fluctuations and acts of war or terrorism.</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In particular, on September 7, 2022, a shareholder class action lawsuit was filed in the United States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color w:val="auto"/>
        </w:rPr>
        <w:t>District Court for the District of Connecticut against the Company and certain of the Company’s current and former officers. For more information, see “Item</w:t>
      </w:r>
    </w:p>
    <w:p>
      <w:pPr>
        <w:spacing w:after="0" w:line="51" w:lineRule="exact"/>
        <w:rPr>
          <w:sz w:val="20"/>
          <w:szCs w:val="20"/>
          <w:color w:val="auto"/>
        </w:rPr>
      </w:pPr>
    </w:p>
    <w:p>
      <w:pPr>
        <w:ind w:right="20" w:firstLine="6"/>
        <w:spacing w:after="0" w:line="251" w:lineRule="auto"/>
        <w:tabs>
          <w:tab w:leader="none" w:pos="1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Legal Proceedings.” This type of litigation could result in substantial costs and divert our management’s attention and resources, and could also require us to make substantial payments to satisfy judgments or to settle litigation.</w:t>
      </w:r>
    </w:p>
    <w:p>
      <w:pPr>
        <w:spacing w:after="0" w:line="165"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7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Charter and Restated Bylaws, as well as provisions of Delaware law, could impair a takeover attempt.</w:t>
      </w:r>
    </w:p>
    <w:p>
      <w:pPr>
        <w:spacing w:after="0" w:line="21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19"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Charter must be approved by holders of at least two-thirds of our Class A common stock; and</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from conducting a solicitation of proxies to elect the acquirer’s own slate of directors or otherwise attempting to obtain control of us.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$1.235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14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5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4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and federal court within the State of Delaware will be exclusive forums for any:</w:t>
      </w:r>
    </w:p>
    <w:p>
      <w:pPr>
        <w:spacing w:after="0" w:line="154"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action asserting a claim against the us or any of our directors, officers, stockholders, employees or agents arising pursuant to any provision of the General Corporation Law, our Charter or our Restated Bylaws or as to which the General Corporation Law confers jurisdiction on the Court of Chancery of the State of Delaware:</w:t>
      </w:r>
    </w:p>
    <w:p>
      <w:pPr>
        <w:spacing w:after="0" w:line="161"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Charter or our Bylaws; or</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18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Former Sponsor, or its permitted transferees.</w:t>
      </w:r>
    </w:p>
    <w:p>
      <w:pPr>
        <w:spacing w:after="0" w:line="3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of September 30, 2022, our public warrants are exercisable for 14,758,305 shares of Class A common stock at $11.50 per share. Our private warrants are exercisable for 7,236,667 shares of Class A common stock at $11.50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Included on our condensed consolidated balance sheet as of September 30, 2022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Future resales of our Class A common stock could cause the market price of our Class A common stock to drop significantly, even if our business is doing well.</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had outstanding 381,428,905 shares of Class A common stock as of September 30, 2022. We have filed a registration statement which registers the offer and sale from time to time by certain selling stockholders of up to 356,524,688 shares of our Class A common stock, although the 110,864,198 shares of our Class A common stock</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registered on behalf of OPKO pursuant to this registration statement will be subject to certain transfer restrictions pursuant to the shareholder agreements that were entered into in connection with the Acquisition. To the extent shares of our Class A common stock are sold into the market pursuant to an effective registration statement, under Rule 144 under the Securities Act or otherwise, particularly in substantial quantities and following the end of the transfer restrictions provided for in the shareholder agreements in the case of OPKO and the other stockholders party to such shareholder agreements, the market price of our Class A common stock could decline.</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There is no guarantee that the public warrants will ever be in the money, and they may expire worthless and the terms of our public warrants may be amended.</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exercise price for the public warrants is $11.50 per share of Class A common stock. There is no guarantee that the public warrants will ever be in the money prior to their expiration, and as such, the public warrants may expire worthless.</w:t>
      </w:r>
    </w:p>
    <w:p>
      <w:pPr>
        <w:spacing w:after="0" w:line="14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cannot guarantee that we will be able to satisfy the continued listing standards of Nasdaq going forward and if we fail to satisfy the continued listing requirements of Nasdaq, including the minimum closing bid price requirement, Nasdaq may take steps to delist our Class A common stock.</w:t>
      </w:r>
    </w:p>
    <w:p>
      <w:pPr>
        <w:spacing w:after="0" w:line="8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Class A common stock and public warrants are listed on the Nasdaq under the symbols “SMFR” and “SMFRW,” respectively. However, we cannot ensure that we will be able to satisfy the continued listing standards of Nasdaq, including the minimum closing bid price requirement, going forward. If we cannot satisfy the continued listing standards going forward, The Nasdaq Stock Market may commence delisting procedures against us, which could result in our Class A common stock or public warrants being removed from listing on Nasdaq. If either of our Class A common stock or public warrants were to be delisted, the liquidity of our Class A common stock or warrants could be adversely affected and the market price of our Class A common stock or warrants could decrease. Delisting could also adversely affect our securityholders’ ability to trade or obtain quotations on our securities because of lower trading volumes and transaction delays. These factors could contribute to lower prices and larger spreads in the bid and ask price for our securities. Investors may also not be able to resell their Class A common stock or warrants at or above the price they paid for such securities or at all.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w:t>
      </w:r>
      <w:r>
        <w:rPr>
          <w:rFonts w:ascii="Arial" w:cs="Arial" w:eastAsia="Arial" w:hAnsi="Arial"/>
          <w:sz w:val="18"/>
          <w:szCs w:val="18"/>
          <w:color w:val="auto"/>
        </w:rPr>
        <w:t>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gridSpan w:val="15"/>
          </w:tcPr>
          <w:p>
            <w:pPr>
              <w:spacing w:after="0"/>
              <w:rPr>
                <w:sz w:val="20"/>
                <w:szCs w:val="20"/>
                <w:color w:val="auto"/>
              </w:rPr>
            </w:pPr>
            <w:r>
              <w:rPr>
                <w:rFonts w:ascii="Arial" w:cs="Arial" w:eastAsia="Arial" w:hAnsi="Arial"/>
                <w:sz w:val="16"/>
                <w:szCs w:val="16"/>
                <w:b w:val="1"/>
                <w:bCs w:val="1"/>
                <w:color w:val="auto"/>
              </w:rPr>
              <w:t>Description of Exhibit</w:t>
            </w:r>
          </w:p>
        </w:tc>
      </w:tr>
      <w:tr>
        <w:trPr>
          <w:trHeight w:val="243"/>
        </w:trPr>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60" w:type="dxa"/>
            <w:vAlign w:val="bottom"/>
            <w:gridSpan w:val="15"/>
          </w:tcPr>
          <w:p>
            <w:pPr>
              <w:spacing w:after="0"/>
              <w:rPr>
                <w:rFonts w:ascii="Arial" w:cs="Arial" w:eastAsia="Arial" w:hAnsi="Arial"/>
                <w:sz w:val="16"/>
                <w:szCs w:val="16"/>
                <w:color w:val="0000FF"/>
                <w:w w:val="96"/>
              </w:rPr>
            </w:pPr>
            <w:hyperlink r:id="rId140">
              <w:r>
                <w:rPr>
                  <w:rFonts w:ascii="Arial" w:cs="Arial" w:eastAsia="Arial" w:hAnsi="Arial"/>
                  <w:sz w:val="16"/>
                  <w:szCs w:val="16"/>
                  <w:color w:val="0000FF"/>
                  <w:w w:val="96"/>
                </w:rPr>
                <w:t>Separation Agreement and General Release with Isaac Ro,</w:t>
              </w:r>
            </w:hyperlink>
          </w:p>
        </w:tc>
      </w:tr>
      <w:tr>
        <w:trPr>
          <w:trHeight w:val="152"/>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9"/>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dated as of August 11, 2022</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8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60" w:type="dxa"/>
            <w:vAlign w:val="bottom"/>
            <w:gridSpan w:val="15"/>
          </w:tcPr>
          <w:p>
            <w:pPr>
              <w:spacing w:after="0"/>
              <w:rPr>
                <w:rFonts w:ascii="Arial" w:cs="Arial" w:eastAsia="Arial" w:hAnsi="Arial"/>
                <w:sz w:val="16"/>
                <w:szCs w:val="16"/>
                <w:color w:val="0000FF"/>
                <w:w w:val="94"/>
              </w:rPr>
            </w:pPr>
            <w:hyperlink r:id="rId141">
              <w:r>
                <w:rPr>
                  <w:rFonts w:ascii="Arial" w:cs="Arial" w:eastAsia="Arial" w:hAnsi="Arial"/>
                  <w:sz w:val="16"/>
                  <w:szCs w:val="16"/>
                  <w:color w:val="0000FF"/>
                  <w:w w:val="94"/>
                </w:rPr>
                <w:t>Separation Agreement, dated as of August 12, 2022, by and</w:t>
              </w:r>
            </w:hyperlink>
          </w:p>
        </w:tc>
      </w:tr>
      <w:tr>
        <w:trPr>
          <w:trHeight w:val="152"/>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6"/>
          </w:tcPr>
          <w:p>
            <w:pPr>
              <w:spacing w:after="0" w:line="152" w:lineRule="exact"/>
              <w:rPr>
                <w:rFonts w:ascii="Arial" w:cs="Arial" w:eastAsia="Arial" w:hAnsi="Arial"/>
                <w:sz w:val="16"/>
                <w:szCs w:val="16"/>
                <w:color w:val="0000FF"/>
                <w:w w:val="89"/>
              </w:rPr>
            </w:pPr>
            <w:hyperlink r:id="rId141">
              <w:r>
                <w:rPr>
                  <w:rFonts w:ascii="Arial" w:cs="Arial" w:eastAsia="Arial" w:hAnsi="Arial"/>
                  <w:sz w:val="16"/>
                  <w:szCs w:val="16"/>
                  <w:color w:val="0000FF"/>
                  <w:w w:val="89"/>
                </w:rPr>
                <w:t>between Sema4 Holdings Corp. and Eric Schadt</w:t>
              </w:r>
            </w:hyperlink>
          </w:p>
        </w:tc>
        <w:tc>
          <w:tcPr>
            <w:tcW w:w="720" w:type="dxa"/>
            <w:vAlign w:val="bottom"/>
            <w:tcBorders>
              <w:top w:val="single" w:sz="8" w:color="0000FF"/>
            </w:tcBorders>
            <w:gridSpan w:val="4"/>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2"/>
        </w:trPr>
        <w:tc>
          <w:tcPr>
            <w:tcW w:w="8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60" w:type="dxa"/>
            <w:vAlign w:val="bottom"/>
            <w:gridSpan w:val="15"/>
          </w:tcPr>
          <w:p>
            <w:pPr>
              <w:spacing w:after="0"/>
              <w:rPr>
                <w:rFonts w:ascii="Arial" w:cs="Arial" w:eastAsia="Arial" w:hAnsi="Arial"/>
                <w:sz w:val="16"/>
                <w:szCs w:val="16"/>
                <w:color w:val="0000FF"/>
                <w:w w:val="95"/>
              </w:rPr>
            </w:pPr>
            <w:hyperlink r:id="rId142">
              <w:r>
                <w:rPr>
                  <w:rFonts w:ascii="Arial" w:cs="Arial" w:eastAsia="Arial" w:hAnsi="Arial"/>
                  <w:sz w:val="16"/>
                  <w:szCs w:val="16"/>
                  <w:color w:val="0000FF"/>
                  <w:w w:val="95"/>
                </w:rPr>
                <w:t>Amendment No.1 to the Employment of Agreement of Kevin</w:t>
              </w:r>
            </w:hyperlink>
          </w:p>
        </w:tc>
      </w:tr>
      <w:tr>
        <w:trPr>
          <w:trHeight w:val="152"/>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5"/>
          </w:tcPr>
          <w:p>
            <w:pPr>
              <w:spacing w:after="0" w:line="152" w:lineRule="exact"/>
              <w:rPr>
                <w:rFonts w:ascii="Arial" w:cs="Arial" w:eastAsia="Arial" w:hAnsi="Arial"/>
                <w:sz w:val="16"/>
                <w:szCs w:val="16"/>
                <w:color w:val="0000FF"/>
                <w:w w:val="88"/>
              </w:rPr>
            </w:pPr>
            <w:hyperlink r:id="rId142">
              <w:r>
                <w:rPr>
                  <w:rFonts w:ascii="Arial" w:cs="Arial" w:eastAsia="Arial" w:hAnsi="Arial"/>
                  <w:sz w:val="16"/>
                  <w:szCs w:val="16"/>
                  <w:color w:val="0000FF"/>
                  <w:w w:val="88"/>
                </w:rPr>
                <w:t>Feeley, dated August 25, 2022</w:t>
              </w:r>
            </w:hyperlink>
          </w:p>
        </w:tc>
        <w:tc>
          <w:tcPr>
            <w:tcW w:w="198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2"/>
        </w:trPr>
        <w:tc>
          <w:tcPr>
            <w:tcW w:w="860" w:type="dxa"/>
            <w:vAlign w:val="bottom"/>
          </w:tcPr>
          <w:p>
            <w:pPr>
              <w:jc w:val="center"/>
              <w:spacing w:after="0"/>
              <w:rPr>
                <w:sz w:val="20"/>
                <w:szCs w:val="20"/>
                <w:color w:val="auto"/>
              </w:rPr>
            </w:pPr>
            <w:r>
              <w:rPr>
                <w:rFonts w:ascii="Arial" w:cs="Arial" w:eastAsia="Arial" w:hAnsi="Arial"/>
                <w:sz w:val="16"/>
                <w:szCs w:val="16"/>
                <w:color w:val="auto"/>
                <w:w w:val="96"/>
              </w:rPr>
              <w:t>31.1*</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60" w:type="dxa"/>
            <w:vAlign w:val="bottom"/>
            <w:gridSpan w:val="15"/>
          </w:tcPr>
          <w:p>
            <w:pPr>
              <w:spacing w:after="0"/>
              <w:rPr>
                <w:sz w:val="20"/>
                <w:szCs w:val="20"/>
                <w:color w:val="auto"/>
              </w:rPr>
            </w:pPr>
            <w:r>
              <w:rPr>
                <w:rFonts w:ascii="Arial" w:cs="Arial" w:eastAsia="Arial" w:hAnsi="Arial"/>
                <w:sz w:val="16"/>
                <w:szCs w:val="16"/>
                <w:color w:val="0000FF"/>
              </w:rPr>
              <w:t>Certification of Principal Executive Officer Pursuant to</w:t>
            </w: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2"/>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gridSpan w:val="15"/>
          </w:tcPr>
          <w:p>
            <w:pPr>
              <w:spacing w:after="0" w:line="152" w:lineRule="exact"/>
              <w:rPr>
                <w:sz w:val="20"/>
                <w:szCs w:val="20"/>
                <w:color w:val="auto"/>
              </w:rPr>
            </w:pPr>
            <w:r>
              <w:rPr>
                <w:rFonts w:ascii="Arial" w:cs="Arial" w:eastAsia="Arial" w:hAnsi="Arial"/>
                <w:sz w:val="16"/>
                <w:szCs w:val="16"/>
                <w:color w:val="0000FF"/>
                <w:w w:val="93"/>
              </w:rPr>
              <w:t>Securities Exchange Act Rules 13a-14(a) and 15(d)-14(a), as</w:t>
            </w: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6"/>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gridSpan w:val="15"/>
          </w:tcPr>
          <w:p>
            <w:pPr>
              <w:spacing w:after="0" w:line="165" w:lineRule="exact"/>
              <w:rPr>
                <w:sz w:val="20"/>
                <w:szCs w:val="20"/>
                <w:color w:val="auto"/>
              </w:rPr>
            </w:pPr>
            <w:r>
              <w:rPr>
                <w:rFonts w:ascii="Arial" w:cs="Arial" w:eastAsia="Arial" w:hAnsi="Arial"/>
                <w:sz w:val="16"/>
                <w:szCs w:val="16"/>
                <w:color w:val="0000FF"/>
                <w:w w:val="91"/>
              </w:rPr>
              <w:t>adopted Pursuant to Section 302 of the Sarbanes-Oxley Act of</w:t>
            </w:r>
          </w:p>
        </w:tc>
      </w:tr>
      <w:tr>
        <w:trPr>
          <w:trHeight w:val="152"/>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2" w:lineRule="exact"/>
              <w:rPr>
                <w:sz w:val="20"/>
                <w:szCs w:val="20"/>
                <w:color w:val="auto"/>
              </w:rPr>
            </w:pPr>
            <w:r>
              <w:rPr>
                <w:rFonts w:ascii="Arial" w:cs="Arial" w:eastAsia="Arial" w:hAnsi="Arial"/>
                <w:sz w:val="16"/>
                <w:szCs w:val="16"/>
                <w:color w:val="0000FF"/>
                <w:w w:val="84"/>
              </w:rPr>
              <w:t>2002.</w:t>
            </w:r>
          </w:p>
        </w:tc>
        <w:tc>
          <w:tcPr>
            <w:tcW w:w="1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2"/>
        </w:trPr>
        <w:tc>
          <w:tcPr>
            <w:tcW w:w="860" w:type="dxa"/>
            <w:vAlign w:val="bottom"/>
          </w:tcPr>
          <w:p>
            <w:pPr>
              <w:jc w:val="center"/>
              <w:spacing w:after="0"/>
              <w:rPr>
                <w:sz w:val="20"/>
                <w:szCs w:val="20"/>
                <w:color w:val="auto"/>
              </w:rPr>
            </w:pPr>
            <w:r>
              <w:rPr>
                <w:rFonts w:ascii="Arial" w:cs="Arial" w:eastAsia="Arial" w:hAnsi="Arial"/>
                <w:sz w:val="16"/>
                <w:szCs w:val="16"/>
                <w:color w:val="auto"/>
                <w:w w:val="96"/>
              </w:rPr>
              <w:t>31.2*</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60" w:type="dxa"/>
            <w:vAlign w:val="bottom"/>
            <w:gridSpan w:val="15"/>
          </w:tcPr>
          <w:p>
            <w:pPr>
              <w:spacing w:after="0"/>
              <w:rPr>
                <w:sz w:val="20"/>
                <w:szCs w:val="20"/>
                <w:color w:val="auto"/>
              </w:rPr>
            </w:pPr>
            <w:r>
              <w:rPr>
                <w:rFonts w:ascii="Arial" w:cs="Arial" w:eastAsia="Arial" w:hAnsi="Arial"/>
                <w:sz w:val="16"/>
                <w:szCs w:val="16"/>
                <w:color w:val="0000FF"/>
              </w:rPr>
              <w:t>Certification of Principal Financial Officer Pursuant to</w:t>
            </w: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2"/>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gridSpan w:val="15"/>
          </w:tcPr>
          <w:p>
            <w:pPr>
              <w:spacing w:after="0" w:line="152" w:lineRule="exact"/>
              <w:rPr>
                <w:sz w:val="20"/>
                <w:szCs w:val="20"/>
                <w:color w:val="auto"/>
              </w:rPr>
            </w:pPr>
            <w:r>
              <w:rPr>
                <w:rFonts w:ascii="Arial" w:cs="Arial" w:eastAsia="Arial" w:hAnsi="Arial"/>
                <w:sz w:val="16"/>
                <w:szCs w:val="16"/>
                <w:color w:val="0000FF"/>
                <w:w w:val="93"/>
              </w:rPr>
              <w:t>Securities Exchange Act Rules 13a-14(a) and 15(d)-14(a), as</w:t>
            </w: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6"/>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gridSpan w:val="15"/>
          </w:tcPr>
          <w:p>
            <w:pPr>
              <w:spacing w:after="0" w:line="165" w:lineRule="exact"/>
              <w:rPr>
                <w:sz w:val="20"/>
                <w:szCs w:val="20"/>
                <w:color w:val="auto"/>
              </w:rPr>
            </w:pPr>
            <w:r>
              <w:rPr>
                <w:rFonts w:ascii="Arial" w:cs="Arial" w:eastAsia="Arial" w:hAnsi="Arial"/>
                <w:sz w:val="16"/>
                <w:szCs w:val="16"/>
                <w:color w:val="0000FF"/>
                <w:w w:val="91"/>
              </w:rPr>
              <w:t>adopted Pursuant to Section 302 of the Sarbanes-Oxley Act of</w:t>
            </w:r>
          </w:p>
        </w:tc>
      </w:tr>
      <w:tr>
        <w:trPr>
          <w:trHeight w:val="152"/>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2" w:lineRule="exact"/>
              <w:rPr>
                <w:sz w:val="20"/>
                <w:szCs w:val="20"/>
                <w:color w:val="auto"/>
              </w:rPr>
            </w:pPr>
            <w:r>
              <w:rPr>
                <w:rFonts w:ascii="Arial" w:cs="Arial" w:eastAsia="Arial" w:hAnsi="Arial"/>
                <w:sz w:val="16"/>
                <w:szCs w:val="16"/>
                <w:color w:val="0000FF"/>
                <w:w w:val="84"/>
              </w:rPr>
              <w:t>2002.</w:t>
            </w:r>
          </w:p>
        </w:tc>
        <w:tc>
          <w:tcPr>
            <w:tcW w:w="1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2"/>
        </w:trPr>
        <w:tc>
          <w:tcPr>
            <w:tcW w:w="860" w:type="dxa"/>
            <w:vAlign w:val="bottom"/>
          </w:tcPr>
          <w:p>
            <w:pPr>
              <w:jc w:val="center"/>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60" w:type="dxa"/>
            <w:vAlign w:val="bottom"/>
            <w:gridSpan w:val="15"/>
          </w:tcPr>
          <w:p>
            <w:pPr>
              <w:spacing w:after="0"/>
              <w:rPr>
                <w:sz w:val="20"/>
                <w:szCs w:val="20"/>
                <w:color w:val="auto"/>
              </w:rPr>
            </w:pPr>
            <w:r>
              <w:rPr>
                <w:rFonts w:ascii="Arial" w:cs="Arial" w:eastAsia="Arial" w:hAnsi="Arial"/>
                <w:sz w:val="16"/>
                <w:szCs w:val="16"/>
                <w:color w:val="0000FF"/>
              </w:rPr>
              <w:t>Certification of Principal Executive Officer Pursuant to 18</w:t>
            </w: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2"/>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gridSpan w:val="15"/>
          </w:tcPr>
          <w:p>
            <w:pPr>
              <w:spacing w:after="0" w:line="152" w:lineRule="exact"/>
              <w:rPr>
                <w:sz w:val="20"/>
                <w:szCs w:val="20"/>
                <w:color w:val="auto"/>
              </w:rPr>
            </w:pPr>
            <w:r>
              <w:rPr>
                <w:rFonts w:ascii="Arial" w:cs="Arial" w:eastAsia="Arial" w:hAnsi="Arial"/>
                <w:sz w:val="16"/>
                <w:szCs w:val="16"/>
                <w:color w:val="0000FF"/>
                <w:w w:val="89"/>
              </w:rPr>
              <w:t>U.S.C. Section 1350, as adopted Pursuant to Section 906 of the</w:t>
            </w:r>
          </w:p>
        </w:tc>
      </w:tr>
      <w:tr>
        <w:trPr>
          <w:trHeight w:val="165"/>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tcBorders>
              <w:top w:val="single" w:sz="8" w:color="0000FF"/>
              <w:bottom w:val="single" w:sz="8" w:color="0000FF"/>
            </w:tcBorders>
            <w:gridSpan w:val="4"/>
          </w:tcPr>
          <w:p>
            <w:pPr>
              <w:spacing w:after="0" w:line="165" w:lineRule="exact"/>
              <w:rPr>
                <w:sz w:val="20"/>
                <w:szCs w:val="20"/>
                <w:color w:val="auto"/>
              </w:rPr>
            </w:pPr>
            <w:r>
              <w:rPr>
                <w:rFonts w:ascii="Arial" w:cs="Arial" w:eastAsia="Arial" w:hAnsi="Arial"/>
                <w:sz w:val="16"/>
                <w:szCs w:val="16"/>
                <w:color w:val="0000FF"/>
                <w:w w:val="90"/>
              </w:rPr>
              <w:t>Sarbanes-Oxley Act of 2002.</w:t>
            </w:r>
          </w:p>
        </w:tc>
        <w:tc>
          <w:tcPr>
            <w:tcW w:w="214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r>
      <w:tr>
        <w:trPr>
          <w:trHeight w:val="258"/>
        </w:trPr>
        <w:tc>
          <w:tcPr>
            <w:tcW w:w="860" w:type="dxa"/>
            <w:vAlign w:val="bottom"/>
          </w:tcPr>
          <w:p>
            <w:pPr>
              <w:jc w:val="center"/>
              <w:spacing w:after="0"/>
              <w:rPr>
                <w:sz w:val="20"/>
                <w:szCs w:val="20"/>
                <w:color w:val="auto"/>
              </w:rPr>
            </w:pPr>
            <w:r>
              <w:rPr>
                <w:rFonts w:ascii="Arial" w:cs="Arial" w:eastAsia="Arial" w:hAnsi="Arial"/>
                <w:sz w:val="16"/>
                <w:szCs w:val="16"/>
                <w:color w:val="auto"/>
              </w:rPr>
              <w:t>32.2**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60" w:type="dxa"/>
            <w:vAlign w:val="bottom"/>
            <w:gridSpan w:val="15"/>
          </w:tcPr>
          <w:p>
            <w:pPr>
              <w:spacing w:after="0"/>
              <w:rPr>
                <w:sz w:val="20"/>
                <w:szCs w:val="20"/>
                <w:color w:val="auto"/>
              </w:rPr>
            </w:pPr>
            <w:r>
              <w:rPr>
                <w:rFonts w:ascii="Arial" w:cs="Arial" w:eastAsia="Arial" w:hAnsi="Arial"/>
                <w:sz w:val="16"/>
                <w:szCs w:val="16"/>
                <w:color w:val="0000FF"/>
              </w:rPr>
              <w:t>Certification of Principal Financial Officer Pursuant to 18</w:t>
            </w:r>
          </w:p>
        </w:tc>
      </w:tr>
      <w:tr>
        <w:trPr>
          <w:trHeight w:val="152"/>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8"/>
          </w:tcPr>
          <w:p>
            <w:pPr>
              <w:spacing w:after="0" w:line="152" w:lineRule="exact"/>
              <w:rPr>
                <w:sz w:val="20"/>
                <w:szCs w:val="20"/>
                <w:color w:val="auto"/>
              </w:rPr>
            </w:pPr>
            <w:r>
              <w:rPr>
                <w:rFonts w:ascii="Arial" w:cs="Arial" w:eastAsia="Arial" w:hAnsi="Arial"/>
                <w:sz w:val="16"/>
                <w:szCs w:val="16"/>
                <w:color w:val="0000FF"/>
                <w:w w:val="90"/>
              </w:rPr>
              <w:t>U.S.C. Section 1350, as adopted Pursuant to Section 906</w:t>
            </w:r>
          </w:p>
        </w:tc>
        <w:tc>
          <w:tcPr>
            <w:tcW w:w="340" w:type="dxa"/>
            <w:vAlign w:val="bottom"/>
            <w:gridSpan w:val="7"/>
          </w:tcPr>
          <w:p>
            <w:pPr>
              <w:spacing w:after="0" w:line="152" w:lineRule="exact"/>
              <w:rPr>
                <w:sz w:val="20"/>
                <w:szCs w:val="20"/>
                <w:color w:val="auto"/>
              </w:rPr>
            </w:pPr>
            <w:r>
              <w:rPr>
                <w:rFonts w:ascii="Arial" w:cs="Arial" w:eastAsia="Arial" w:hAnsi="Arial"/>
                <w:sz w:val="16"/>
                <w:szCs w:val="16"/>
                <w:color w:val="0000FF"/>
                <w:w w:val="79"/>
              </w:rPr>
              <w:t>of the</w:t>
            </w:r>
          </w:p>
        </w:tc>
      </w:tr>
      <w:tr>
        <w:trPr>
          <w:trHeight w:val="165"/>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top w:val="single" w:sz="8" w:color="0000FF"/>
              <w:bottom w:val="single" w:sz="8" w:color="0000FF"/>
            </w:tcBorders>
            <w:gridSpan w:val="3"/>
          </w:tcPr>
          <w:p>
            <w:pPr>
              <w:spacing w:after="0" w:line="165" w:lineRule="exact"/>
              <w:rPr>
                <w:sz w:val="20"/>
                <w:szCs w:val="20"/>
                <w:color w:val="auto"/>
              </w:rPr>
            </w:pPr>
            <w:r>
              <w:rPr>
                <w:rFonts w:ascii="Arial" w:cs="Arial" w:eastAsia="Arial" w:hAnsi="Arial"/>
                <w:sz w:val="16"/>
                <w:szCs w:val="16"/>
                <w:color w:val="0000FF"/>
                <w:w w:val="89"/>
              </w:rPr>
              <w:t>Sarbanes-Oxley Act of 2002.</w:t>
            </w:r>
          </w:p>
        </w:tc>
        <w:tc>
          <w:tcPr>
            <w:tcW w:w="2160" w:type="dxa"/>
            <w:vAlign w:val="bottom"/>
            <w:tcBorders>
              <w:top w:val="single" w:sz="8" w:color="0000FF"/>
            </w:tcBorders>
            <w:gridSpan w:val="11"/>
          </w:tcPr>
          <w:p>
            <w:pPr>
              <w:spacing w:after="0"/>
              <w:rPr>
                <w:sz w:val="14"/>
                <w:szCs w:val="14"/>
                <w:color w:val="auto"/>
              </w:rPr>
            </w:pPr>
          </w:p>
        </w:tc>
        <w:tc>
          <w:tcPr>
            <w:tcW w:w="40" w:type="dxa"/>
            <w:vAlign w:val="bottom"/>
          </w:tcPr>
          <w:p>
            <w:pPr>
              <w:spacing w:after="0"/>
              <w:rPr>
                <w:sz w:val="14"/>
                <w:szCs w:val="14"/>
                <w:color w:val="auto"/>
              </w:rPr>
            </w:pPr>
          </w:p>
        </w:tc>
      </w:tr>
      <w:tr>
        <w:trPr>
          <w:trHeight w:val="293"/>
        </w:trPr>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101.INS</w:t>
            </w:r>
          </w:p>
        </w:tc>
        <w:tc>
          <w:tcPr>
            <w:tcW w:w="20" w:type="dxa"/>
            <w:vAlign w:val="bottom"/>
          </w:tcPr>
          <w:p>
            <w:pPr>
              <w:spacing w:after="0"/>
              <w:rPr>
                <w:sz w:val="24"/>
                <w:szCs w:val="24"/>
                <w:color w:val="auto"/>
              </w:rPr>
            </w:pPr>
          </w:p>
        </w:tc>
        <w:tc>
          <w:tcPr>
            <w:tcW w:w="4060" w:type="dxa"/>
            <w:vAlign w:val="bottom"/>
            <w:gridSpan w:val="15"/>
          </w:tcPr>
          <w:p>
            <w:pPr>
              <w:spacing w:after="0"/>
              <w:rPr>
                <w:sz w:val="20"/>
                <w:szCs w:val="20"/>
                <w:color w:val="auto"/>
              </w:rPr>
            </w:pPr>
            <w:r>
              <w:rPr>
                <w:rFonts w:ascii="Arial" w:cs="Arial" w:eastAsia="Arial" w:hAnsi="Arial"/>
                <w:sz w:val="16"/>
                <w:szCs w:val="16"/>
                <w:color w:val="auto"/>
              </w:rPr>
              <w:t>XBRL Instance Document</w:t>
            </w:r>
          </w:p>
        </w:tc>
      </w:tr>
      <w:tr>
        <w:trPr>
          <w:trHeight w:val="278"/>
        </w:trPr>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101.CAL</w:t>
            </w:r>
          </w:p>
        </w:tc>
        <w:tc>
          <w:tcPr>
            <w:tcW w:w="20" w:type="dxa"/>
            <w:vAlign w:val="bottom"/>
          </w:tcPr>
          <w:p>
            <w:pPr>
              <w:spacing w:after="0"/>
              <w:rPr>
                <w:sz w:val="24"/>
                <w:szCs w:val="24"/>
                <w:color w:val="auto"/>
              </w:rPr>
            </w:pPr>
          </w:p>
        </w:tc>
        <w:tc>
          <w:tcPr>
            <w:tcW w:w="4060" w:type="dxa"/>
            <w:vAlign w:val="bottom"/>
            <w:gridSpan w:val="15"/>
          </w:tcPr>
          <w:p>
            <w:pPr>
              <w:spacing w:after="0"/>
              <w:rPr>
                <w:sz w:val="20"/>
                <w:szCs w:val="20"/>
                <w:color w:val="auto"/>
              </w:rPr>
            </w:pPr>
            <w:r>
              <w:rPr>
                <w:rFonts w:ascii="Arial" w:cs="Arial" w:eastAsia="Arial" w:hAnsi="Arial"/>
                <w:sz w:val="16"/>
                <w:szCs w:val="16"/>
                <w:color w:val="auto"/>
                <w:w w:val="95"/>
              </w:rPr>
              <w:t>XBRL Taxonomy Extension Calculation Linkbase Document</w:t>
            </w:r>
          </w:p>
        </w:tc>
      </w:tr>
      <w:tr>
        <w:trPr>
          <w:trHeight w:val="278"/>
        </w:trPr>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101.SCH</w:t>
            </w:r>
          </w:p>
        </w:tc>
        <w:tc>
          <w:tcPr>
            <w:tcW w:w="20" w:type="dxa"/>
            <w:vAlign w:val="bottom"/>
          </w:tcPr>
          <w:p>
            <w:pPr>
              <w:spacing w:after="0"/>
              <w:rPr>
                <w:sz w:val="24"/>
                <w:szCs w:val="24"/>
                <w:color w:val="auto"/>
              </w:rPr>
            </w:pPr>
          </w:p>
        </w:tc>
        <w:tc>
          <w:tcPr>
            <w:tcW w:w="4060" w:type="dxa"/>
            <w:vAlign w:val="bottom"/>
            <w:gridSpan w:val="15"/>
          </w:tcPr>
          <w:p>
            <w:pPr>
              <w:spacing w:after="0"/>
              <w:rPr>
                <w:sz w:val="20"/>
                <w:szCs w:val="20"/>
                <w:color w:val="auto"/>
              </w:rPr>
            </w:pPr>
            <w:r>
              <w:rPr>
                <w:rFonts w:ascii="Arial" w:cs="Arial" w:eastAsia="Arial" w:hAnsi="Arial"/>
                <w:sz w:val="16"/>
                <w:szCs w:val="16"/>
                <w:color w:val="auto"/>
              </w:rPr>
              <w:t>XBRL Taxonomy Extension Schema Document</w:t>
            </w:r>
          </w:p>
        </w:tc>
      </w:tr>
      <w:tr>
        <w:trPr>
          <w:trHeight w:val="278"/>
        </w:trPr>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101.DEF</w:t>
            </w:r>
          </w:p>
        </w:tc>
        <w:tc>
          <w:tcPr>
            <w:tcW w:w="20" w:type="dxa"/>
            <w:vAlign w:val="bottom"/>
          </w:tcPr>
          <w:p>
            <w:pPr>
              <w:spacing w:after="0"/>
              <w:rPr>
                <w:sz w:val="24"/>
                <w:szCs w:val="24"/>
                <w:color w:val="auto"/>
              </w:rPr>
            </w:pPr>
          </w:p>
        </w:tc>
        <w:tc>
          <w:tcPr>
            <w:tcW w:w="4060" w:type="dxa"/>
            <w:vAlign w:val="bottom"/>
            <w:gridSpan w:val="15"/>
          </w:tcPr>
          <w:p>
            <w:pPr>
              <w:spacing w:after="0"/>
              <w:rPr>
                <w:sz w:val="20"/>
                <w:szCs w:val="20"/>
                <w:color w:val="auto"/>
              </w:rPr>
            </w:pPr>
            <w:r>
              <w:rPr>
                <w:rFonts w:ascii="Arial" w:cs="Arial" w:eastAsia="Arial" w:hAnsi="Arial"/>
                <w:sz w:val="16"/>
                <w:szCs w:val="16"/>
                <w:color w:val="auto"/>
                <w:w w:val="97"/>
              </w:rPr>
              <w:t>XBRL Taxonomy Extension Definition Linkbase Document</w:t>
            </w:r>
          </w:p>
        </w:tc>
      </w:tr>
      <w:tr>
        <w:trPr>
          <w:trHeight w:val="278"/>
        </w:trPr>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101.LAB</w:t>
            </w:r>
          </w:p>
        </w:tc>
        <w:tc>
          <w:tcPr>
            <w:tcW w:w="20" w:type="dxa"/>
            <w:vAlign w:val="bottom"/>
          </w:tcPr>
          <w:p>
            <w:pPr>
              <w:spacing w:after="0"/>
              <w:rPr>
                <w:sz w:val="24"/>
                <w:szCs w:val="24"/>
                <w:color w:val="auto"/>
              </w:rPr>
            </w:pPr>
          </w:p>
        </w:tc>
        <w:tc>
          <w:tcPr>
            <w:tcW w:w="4060" w:type="dxa"/>
            <w:vAlign w:val="bottom"/>
            <w:gridSpan w:val="15"/>
          </w:tcPr>
          <w:p>
            <w:pPr>
              <w:spacing w:after="0"/>
              <w:rPr>
                <w:sz w:val="20"/>
                <w:szCs w:val="20"/>
                <w:color w:val="auto"/>
              </w:rPr>
            </w:pPr>
            <w:r>
              <w:rPr>
                <w:rFonts w:ascii="Arial" w:cs="Arial" w:eastAsia="Arial" w:hAnsi="Arial"/>
                <w:sz w:val="16"/>
                <w:szCs w:val="16"/>
                <w:color w:val="auto"/>
              </w:rPr>
              <w:t>XBRL Taxonomy Extension Labels Linkbase Document</w:t>
            </w:r>
          </w:p>
        </w:tc>
      </w:tr>
      <w:tr>
        <w:trPr>
          <w:trHeight w:val="278"/>
        </w:trPr>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87"/>
              </w:rPr>
              <w:t>101.PRE</w:t>
            </w:r>
          </w:p>
        </w:tc>
        <w:tc>
          <w:tcPr>
            <w:tcW w:w="20" w:type="dxa"/>
            <w:vAlign w:val="bottom"/>
          </w:tcPr>
          <w:p>
            <w:pPr>
              <w:spacing w:after="0"/>
              <w:rPr>
                <w:sz w:val="24"/>
                <w:szCs w:val="24"/>
                <w:color w:val="auto"/>
              </w:rPr>
            </w:pPr>
          </w:p>
        </w:tc>
        <w:tc>
          <w:tcPr>
            <w:tcW w:w="4060" w:type="dxa"/>
            <w:vAlign w:val="bottom"/>
            <w:gridSpan w:val="15"/>
          </w:tcPr>
          <w:p>
            <w:pPr>
              <w:spacing w:after="0"/>
              <w:rPr>
                <w:sz w:val="20"/>
                <w:szCs w:val="20"/>
                <w:color w:val="auto"/>
              </w:rPr>
            </w:pPr>
            <w:r>
              <w:rPr>
                <w:rFonts w:ascii="Arial" w:cs="Arial" w:eastAsia="Arial" w:hAnsi="Arial"/>
                <w:sz w:val="16"/>
                <w:szCs w:val="16"/>
                <w:color w:val="auto"/>
                <w:w w:val="92"/>
              </w:rPr>
              <w:t>XBRL Taxonomy Extension Presentation Linkbase Document</w:t>
            </w:r>
          </w:p>
        </w:tc>
      </w:tr>
    </w:tbl>
    <w:p>
      <w:pPr>
        <w:spacing w:after="0" w:line="75" w:lineRule="exact"/>
        <w:rPr>
          <w:sz w:val="20"/>
          <w:szCs w:val="20"/>
          <w:color w:val="auto"/>
        </w:rPr>
      </w:pPr>
    </w:p>
    <w:p>
      <w:pPr>
        <w:ind w:left="1040" w:right="140" w:hanging="723"/>
        <w:spacing w:after="0" w:line="246" w:lineRule="auto"/>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70"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4"/>
          <w:szCs w:val="14"/>
          <w:color w:val="auto"/>
        </w:rPr>
        <w:t>XBRL Taxonomy Extension Presentation Linkbase Document</w:t>
      </w:r>
    </w:p>
    <w:p>
      <w:pPr>
        <w:spacing w:after="0" w:line="94" w:lineRule="exact"/>
        <w:rPr>
          <w:sz w:val="20"/>
          <w:szCs w:val="20"/>
          <w:color w:val="auto"/>
        </w:rPr>
      </w:pPr>
    </w:p>
    <w:p>
      <w:pPr>
        <w:ind w:left="1040" w:right="140" w:hanging="723"/>
        <w:spacing w:after="0" w:line="246" w:lineRule="auto"/>
        <w:tabs>
          <w:tab w:leader="none" w:pos="10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22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Form</w:t>
            </w:r>
          </w:p>
        </w:tc>
        <w:tc>
          <w:tcPr>
            <w:tcW w:w="160" w:type="dxa"/>
            <w:vAlign w:val="bottom"/>
          </w:tcPr>
          <w:p>
            <w:pPr>
              <w:spacing w:after="0"/>
              <w:rPr>
                <w:sz w:val="19"/>
                <w:szCs w:val="19"/>
                <w:color w:val="auto"/>
              </w:rPr>
            </w:pPr>
          </w:p>
        </w:tc>
        <w:tc>
          <w:tcPr>
            <w:tcW w:w="12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60" w:type="dxa"/>
            <w:vAlign w:val="bottom"/>
          </w:tcPr>
          <w:p>
            <w:pPr>
              <w:spacing w:after="0"/>
              <w:rPr>
                <w:sz w:val="19"/>
                <w:szCs w:val="19"/>
                <w:color w:val="auto"/>
              </w:rPr>
            </w:pPr>
          </w:p>
        </w:tc>
        <w:tc>
          <w:tcPr>
            <w:tcW w:w="1240" w:type="dxa"/>
            <w:vAlign w:val="bottom"/>
            <w:tcBorders>
              <w:top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Filing Date</w:t>
            </w:r>
          </w:p>
        </w:tc>
        <w:tc>
          <w:tcPr>
            <w:tcW w:w="100" w:type="dxa"/>
            <w:vAlign w:val="bottom"/>
          </w:tcPr>
          <w:p>
            <w:pPr>
              <w:spacing w:after="0"/>
              <w:rPr>
                <w:sz w:val="19"/>
                <w:szCs w:val="19"/>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Filed Herewith</w:t>
            </w:r>
          </w:p>
        </w:tc>
      </w:tr>
      <w:tr>
        <w:trPr>
          <w:trHeight w:val="336"/>
        </w:trPr>
        <w:tc>
          <w:tcPr>
            <w:tcW w:w="1380" w:type="dxa"/>
            <w:vAlign w:val="bottom"/>
            <w:gridSpan w:val="4"/>
          </w:tcPr>
          <w:p>
            <w:pPr>
              <w:jc w:val="center"/>
              <w:ind w:right="160"/>
              <w:spacing w:after="0"/>
              <w:rPr>
                <w:sz w:val="20"/>
                <w:szCs w:val="20"/>
                <w:color w:val="auto"/>
              </w:rPr>
            </w:pPr>
            <w:r>
              <w:rPr>
                <w:rFonts w:ascii="Arial" w:cs="Arial" w:eastAsia="Arial" w:hAnsi="Arial"/>
                <w:sz w:val="16"/>
                <w:szCs w:val="16"/>
                <w:color w:val="auto"/>
                <w:w w:val="95"/>
              </w:rPr>
              <w:t>10-Q</w:t>
            </w:r>
          </w:p>
        </w:tc>
        <w:tc>
          <w:tcPr>
            <w:tcW w:w="480" w:type="dxa"/>
            <w:vAlign w:val="bottom"/>
          </w:tcPr>
          <w:p>
            <w:pPr>
              <w:spacing w:after="0"/>
              <w:rPr>
                <w:sz w:val="24"/>
                <w:szCs w:val="24"/>
                <w:color w:val="auto"/>
              </w:rPr>
            </w:pPr>
          </w:p>
        </w:tc>
        <w:tc>
          <w:tcPr>
            <w:tcW w:w="28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5</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auto"/>
                <w:w w:val="89"/>
              </w:rPr>
              <w:t>08/15/2022</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44"/>
        </w:trPr>
        <w:tc>
          <w:tcPr>
            <w:tcW w:w="1380" w:type="dxa"/>
            <w:vAlign w:val="bottom"/>
            <w:gridSpan w:val="4"/>
          </w:tcPr>
          <w:p>
            <w:pPr>
              <w:jc w:val="center"/>
              <w:ind w:right="160"/>
              <w:spacing w:after="0"/>
              <w:rPr>
                <w:sz w:val="20"/>
                <w:szCs w:val="20"/>
                <w:color w:val="auto"/>
              </w:rPr>
            </w:pPr>
            <w:r>
              <w:rPr>
                <w:rFonts w:ascii="Arial" w:cs="Arial" w:eastAsia="Arial" w:hAnsi="Arial"/>
                <w:sz w:val="16"/>
                <w:szCs w:val="16"/>
                <w:color w:val="auto"/>
                <w:w w:val="95"/>
              </w:rPr>
              <w:t>10-Q</w:t>
            </w:r>
          </w:p>
        </w:tc>
        <w:tc>
          <w:tcPr>
            <w:tcW w:w="480" w:type="dxa"/>
            <w:vAlign w:val="bottom"/>
          </w:tcPr>
          <w:p>
            <w:pPr>
              <w:spacing w:after="0"/>
              <w:rPr>
                <w:sz w:val="24"/>
                <w:szCs w:val="24"/>
                <w:color w:val="auto"/>
              </w:rPr>
            </w:pPr>
          </w:p>
        </w:tc>
        <w:tc>
          <w:tcPr>
            <w:tcW w:w="28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6</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auto"/>
                <w:w w:val="89"/>
              </w:rPr>
              <w:t>08/15/2022</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44"/>
        </w:trPr>
        <w:tc>
          <w:tcPr>
            <w:tcW w:w="48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6"/>
                <w:szCs w:val="16"/>
                <w:color w:val="0000FF"/>
              </w:rPr>
              <w:t>8-K</w:t>
            </w:r>
          </w:p>
        </w:tc>
        <w:tc>
          <w:tcPr>
            <w:tcW w:w="64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8/26/2022</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-765175</wp:posOffset>
            </wp:positionV>
            <wp:extent cx="6739255" cy="1371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6739255" cy="1371600"/>
                    </a:xfrm>
                    <a:prstGeom prst="rect">
                      <a:avLst/>
                    </a:prstGeom>
                    <a:noFill/>
                  </pic:spPr>
                </pic:pic>
              </a:graphicData>
            </a:graphic>
          </wp:anchor>
        </w:drawing>
      </w:r>
    </w:p>
    <w:p>
      <w:pPr>
        <w:spacing w:after="0" w:line="169"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402590</wp:posOffset>
            </wp:positionV>
            <wp:extent cx="6739255" cy="4876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6739255" cy="48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402590</wp:posOffset>
            </wp:positionV>
            <wp:extent cx="6739255" cy="3702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6739255" cy="37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285115</wp:posOffset>
            </wp:positionV>
            <wp:extent cx="6739255" cy="3702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6739255" cy="37020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285115</wp:posOffset>
            </wp:positionV>
            <wp:extent cx="6739255" cy="142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739255" cy="14287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57785</wp:posOffset>
            </wp:positionV>
            <wp:extent cx="6739255" cy="142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739255" cy="142875"/>
                    </a:xfrm>
                    <a:prstGeom prst="rect">
                      <a:avLst/>
                    </a:prstGeom>
                    <a:noFill/>
                  </pic:spPr>
                </pic:pic>
              </a:graphicData>
            </a:graphic>
          </wp:anchor>
        </w:drawing>
      </w:r>
    </w:p>
    <w:p>
      <w:pPr>
        <w:spacing w:after="0" w:line="7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57785</wp:posOffset>
            </wp:positionV>
            <wp:extent cx="6739255" cy="142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6739255" cy="142875"/>
                    </a:xfrm>
                    <a:prstGeom prst="rect">
                      <a:avLst/>
                    </a:prstGeom>
                    <a:noFill/>
                  </pic:spPr>
                </pic:pic>
              </a:graphicData>
            </a:graphic>
          </wp:anchor>
        </w:drawing>
      </w:r>
    </w:p>
    <w:p>
      <w:pPr>
        <w:spacing w:after="0" w:line="7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57785</wp:posOffset>
            </wp:positionV>
            <wp:extent cx="6739255" cy="142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6739255" cy="142875"/>
                    </a:xfrm>
                    <a:prstGeom prst="rect">
                      <a:avLst/>
                    </a:prstGeom>
                    <a:noFill/>
                  </pic:spPr>
                </pic:pic>
              </a:graphicData>
            </a:graphic>
          </wp:anchor>
        </w:drawing>
      </w:r>
    </w:p>
    <w:p>
      <w:pPr>
        <w:spacing w:after="0" w:line="7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57785</wp:posOffset>
            </wp:positionV>
            <wp:extent cx="6739255" cy="142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6739255" cy="142875"/>
                    </a:xfrm>
                    <a:prstGeom prst="rect">
                      <a:avLst/>
                    </a:prstGeom>
                    <a:noFill/>
                  </pic:spPr>
                </pic:pic>
              </a:graphicData>
            </a:graphic>
          </wp:anchor>
        </w:drawing>
      </w:r>
    </w:p>
    <w:p>
      <w:pPr>
        <w:spacing w:after="0" w:line="7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57785</wp:posOffset>
            </wp:positionV>
            <wp:extent cx="6739255" cy="142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6739255" cy="142875"/>
                    </a:xfrm>
                    <a:prstGeom prst="rect">
                      <a:avLst/>
                    </a:prstGeom>
                    <a:noFill/>
                  </pic:spPr>
                </pic:pic>
              </a:graphicData>
            </a:graphic>
          </wp:anchor>
        </w:drawing>
      </w:r>
    </w:p>
    <w:p>
      <w:pPr>
        <w:spacing w:after="0" w:line="7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57785</wp:posOffset>
            </wp:positionV>
            <wp:extent cx="6739255" cy="3702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6739255" cy="370205"/>
                    </a:xfrm>
                    <a:prstGeom prst="rect">
                      <a:avLst/>
                    </a:prstGeom>
                    <a:noFill/>
                  </pic:spPr>
                </pic:pic>
              </a:graphicData>
            </a:graphic>
          </wp:anchor>
        </w:drawing>
      </w:r>
    </w:p>
    <w:p>
      <w:pPr>
        <w:spacing w:after="0" w:line="7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285115</wp:posOffset>
            </wp:positionV>
            <wp:extent cx="6739255" cy="142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6739255" cy="14287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57785</wp:posOffset>
            </wp:positionV>
            <wp:extent cx="6739255" cy="3702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6739255" cy="370205"/>
                    </a:xfrm>
                    <a:prstGeom prst="rect">
                      <a:avLst/>
                    </a:prstGeom>
                    <a:noFill/>
                  </pic:spPr>
                </pic:pic>
              </a:graphicData>
            </a:graphic>
          </wp:anchor>
        </w:drawing>
      </w:r>
    </w:p>
    <w:p>
      <w:pPr>
        <w:spacing w:after="0" w:line="7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X</w:t>
      </w:r>
    </w:p>
    <w:p>
      <w:pPr>
        <w:spacing w:after="0" w:line="568" w:lineRule="exact"/>
        <w:rPr>
          <w:sz w:val="20"/>
          <w:szCs w:val="20"/>
          <w:color w:val="auto"/>
        </w:rPr>
      </w:pPr>
    </w:p>
    <w:p>
      <w:pPr>
        <w:sectPr>
          <w:pgSz w:w="11900" w:h="16838" w:orient="portrait"/>
          <w:cols w:equalWidth="0" w:num="2">
            <w:col w:w="5100" w:space="160"/>
            <w:col w:w="5360"/>
          </w:cols>
          <w:pgMar w:left="320" w:top="140" w:right="959" w:bottom="1440" w:gutter="0" w:footer="0" w:header="0"/>
        </w:sectPr>
      </w:pPr>
    </w:p>
    <w:p>
      <w:pPr>
        <w:ind w:left="440" w:hanging="416"/>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44"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Furnished.</w:t>
      </w:r>
    </w:p>
    <w:p>
      <w:pPr>
        <w:spacing w:after="0" w:line="45" w:lineRule="exact"/>
        <w:rPr>
          <w:sz w:val="20"/>
          <w:szCs w:val="20"/>
          <w:color w:val="auto"/>
        </w:rPr>
      </w:pPr>
    </w:p>
    <w:p>
      <w:pPr>
        <w:ind w:left="440" w:right="3580" w:hanging="416"/>
        <w:spacing w:after="0" w:line="239" w:lineRule="auto"/>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200" w:lineRule="exact"/>
        <w:rPr>
          <w:sz w:val="20"/>
          <w:szCs w:val="20"/>
          <w:color w:val="auto"/>
        </w:rPr>
      </w:pPr>
    </w:p>
    <w:p>
      <w:pPr>
        <w:spacing w:after="0" w:line="3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620"/>
          </w:cols>
          <w:pgMar w:left="320" w:top="140" w:right="95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ind w:right="460"/>
        <w:spacing w:after="0" w:line="249"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220" w:type="dxa"/>
            <w:vAlign w:val="bottom"/>
            <w:gridSpan w:val="2"/>
          </w:tcPr>
          <w:p>
            <w:pPr>
              <w:ind w:left="6240"/>
              <w:spacing w:after="0"/>
              <w:rPr>
                <w:sz w:val="20"/>
                <w:szCs w:val="20"/>
                <w:color w:val="auto"/>
              </w:rPr>
            </w:pPr>
            <w:r>
              <w:rPr>
                <w:rFonts w:ascii="Arial" w:cs="Arial" w:eastAsia="Arial" w:hAnsi="Arial"/>
                <w:sz w:val="18"/>
                <w:szCs w:val="18"/>
                <w:b w:val="1"/>
                <w:bCs w:val="1"/>
                <w:color w:val="auto"/>
              </w:rPr>
              <w:t>SEMA4 HOLDINGS CORP.</w:t>
            </w:r>
          </w:p>
        </w:tc>
        <w:tc>
          <w:tcPr>
            <w:tcW w:w="0" w:type="dxa"/>
            <w:vAlign w:val="bottom"/>
          </w:tcPr>
          <w:p>
            <w:pPr>
              <w:spacing w:after="0"/>
              <w:rPr>
                <w:sz w:val="1"/>
                <w:szCs w:val="1"/>
                <w:color w:val="auto"/>
              </w:rPr>
            </w:pPr>
          </w:p>
        </w:tc>
      </w:tr>
      <w:tr>
        <w:trPr>
          <w:trHeight w:val="517"/>
        </w:trPr>
        <w:tc>
          <w:tcPr>
            <w:tcW w:w="7040" w:type="dxa"/>
            <w:vAlign w:val="bottom"/>
          </w:tcPr>
          <w:p>
            <w:pPr>
              <w:spacing w:after="0"/>
              <w:rPr>
                <w:sz w:val="20"/>
                <w:szCs w:val="20"/>
                <w:color w:val="auto"/>
              </w:rPr>
            </w:pPr>
            <w:r>
              <w:rPr>
                <w:rFonts w:ascii="Arial" w:cs="Arial" w:eastAsia="Arial" w:hAnsi="Arial"/>
                <w:sz w:val="18"/>
                <w:szCs w:val="18"/>
                <w:color w:val="auto"/>
              </w:rPr>
              <w:t>Date: November 14, 2022</w:t>
            </w:r>
          </w:p>
        </w:tc>
        <w:tc>
          <w:tcPr>
            <w:tcW w:w="4180" w:type="dxa"/>
            <w:vAlign w:val="bottom"/>
          </w:tcPr>
          <w:p>
            <w:pPr>
              <w:ind w:left="20"/>
              <w:spacing w:after="0"/>
              <w:rPr>
                <w:sz w:val="20"/>
                <w:szCs w:val="20"/>
                <w:color w:val="auto"/>
              </w:rPr>
            </w:pPr>
            <w:r>
              <w:rPr>
                <w:rFonts w:ascii="Arial" w:cs="Arial" w:eastAsia="Arial" w:hAnsi="Arial"/>
                <w:sz w:val="18"/>
                <w:szCs w:val="18"/>
                <w:color w:val="auto"/>
              </w:rPr>
              <w:t>/s/ Katherine Stueland</w:t>
            </w:r>
          </w:p>
        </w:tc>
        <w:tc>
          <w:tcPr>
            <w:tcW w:w="0" w:type="dxa"/>
            <w:vAlign w:val="bottom"/>
          </w:tcPr>
          <w:p>
            <w:pPr>
              <w:spacing w:after="0"/>
              <w:rPr>
                <w:sz w:val="1"/>
                <w:szCs w:val="1"/>
                <w:color w:val="auto"/>
              </w:rPr>
            </w:pPr>
          </w:p>
        </w:tc>
      </w:tr>
      <w:tr>
        <w:trPr>
          <w:trHeight w:val="28"/>
        </w:trPr>
        <w:tc>
          <w:tcPr>
            <w:tcW w:w="7040" w:type="dxa"/>
            <w:vAlign w:val="bottom"/>
            <w:vMerge w:val="restart"/>
          </w:tcPr>
          <w:p>
            <w:pPr>
              <w:ind w:left="6240"/>
              <w:spacing w:after="0"/>
              <w:rPr>
                <w:sz w:val="20"/>
                <w:szCs w:val="20"/>
                <w:color w:val="auto"/>
              </w:rPr>
            </w:pPr>
            <w:r>
              <w:rPr>
                <w:rFonts w:ascii="Arial" w:cs="Arial" w:eastAsia="Arial" w:hAnsi="Arial"/>
                <w:sz w:val="18"/>
                <w:szCs w:val="18"/>
                <w:color w:val="auto"/>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40" w:type="dxa"/>
            <w:vAlign w:val="bottom"/>
            <w:vMerge w:val="continue"/>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Katherine Stueland</w:t>
            </w:r>
          </w:p>
        </w:tc>
        <w:tc>
          <w:tcPr>
            <w:tcW w:w="0" w:type="dxa"/>
            <w:vAlign w:val="bottom"/>
          </w:tcPr>
          <w:p>
            <w:pPr>
              <w:spacing w:after="0"/>
              <w:rPr>
                <w:sz w:val="1"/>
                <w:szCs w:val="1"/>
                <w:color w:val="auto"/>
              </w:rPr>
            </w:pPr>
          </w:p>
        </w:tc>
      </w:tr>
      <w:tr>
        <w:trPr>
          <w:trHeight w:val="214"/>
        </w:trPr>
        <w:tc>
          <w:tcPr>
            <w:tcW w:w="7040" w:type="dxa"/>
            <w:vAlign w:val="bottom"/>
          </w:tcPr>
          <w:p>
            <w:pPr>
              <w:ind w:left="6240"/>
              <w:spacing w:after="0"/>
              <w:rPr>
                <w:sz w:val="20"/>
                <w:szCs w:val="20"/>
                <w:color w:val="auto"/>
              </w:rPr>
            </w:pPr>
            <w:r>
              <w:rPr>
                <w:rFonts w:ascii="Arial" w:cs="Arial" w:eastAsia="Arial" w:hAnsi="Arial"/>
                <w:sz w:val="18"/>
                <w:szCs w:val="18"/>
                <w:color w:val="auto"/>
              </w:rPr>
              <w:t>Title:</w:t>
            </w:r>
          </w:p>
        </w:tc>
        <w:tc>
          <w:tcPr>
            <w:tcW w:w="4180" w:type="dxa"/>
            <w:vAlign w:val="bottom"/>
          </w:tcPr>
          <w:p>
            <w:pPr>
              <w:ind w:left="20"/>
              <w:spacing w:after="0"/>
              <w:rPr>
                <w:sz w:val="20"/>
                <w:szCs w:val="20"/>
                <w:color w:val="auto"/>
              </w:rPr>
            </w:pPr>
            <w:r>
              <w:rPr>
                <w:rFonts w:ascii="Arial" w:cs="Arial" w:eastAsia="Arial" w:hAnsi="Arial"/>
                <w:sz w:val="18"/>
                <w:szCs w:val="18"/>
                <w:color w:val="auto"/>
                <w:w w:val="92"/>
              </w:rPr>
              <w:t>Chief Executive Officer and Director (Principal Executive</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530"/>
        </w:trPr>
        <w:tc>
          <w:tcPr>
            <w:tcW w:w="7040" w:type="dxa"/>
            <w:vAlign w:val="bottom"/>
          </w:tcPr>
          <w:p>
            <w:pPr>
              <w:spacing w:after="0"/>
              <w:rPr>
                <w:sz w:val="20"/>
                <w:szCs w:val="20"/>
                <w:color w:val="auto"/>
              </w:rPr>
            </w:pPr>
            <w:r>
              <w:rPr>
                <w:rFonts w:ascii="Arial" w:cs="Arial" w:eastAsia="Arial" w:hAnsi="Arial"/>
                <w:sz w:val="18"/>
                <w:szCs w:val="18"/>
                <w:color w:val="auto"/>
              </w:rPr>
              <w:t>Date: November 14, 2022</w:t>
            </w:r>
          </w:p>
        </w:tc>
        <w:tc>
          <w:tcPr>
            <w:tcW w:w="4180" w:type="dxa"/>
            <w:vAlign w:val="bottom"/>
          </w:tcPr>
          <w:p>
            <w:pPr>
              <w:ind w:left="20"/>
              <w:spacing w:after="0"/>
              <w:rPr>
                <w:sz w:val="20"/>
                <w:szCs w:val="20"/>
                <w:color w:val="auto"/>
              </w:rPr>
            </w:pPr>
            <w:r>
              <w:rPr>
                <w:rFonts w:ascii="Arial" w:cs="Arial" w:eastAsia="Arial" w:hAnsi="Arial"/>
                <w:sz w:val="18"/>
                <w:szCs w:val="18"/>
                <w:color w:val="auto"/>
              </w:rPr>
              <w:t>/s/ Kevin Feeley</w:t>
            </w:r>
          </w:p>
        </w:tc>
        <w:tc>
          <w:tcPr>
            <w:tcW w:w="0" w:type="dxa"/>
            <w:vAlign w:val="bottom"/>
          </w:tcPr>
          <w:p>
            <w:pPr>
              <w:spacing w:after="0"/>
              <w:rPr>
                <w:sz w:val="1"/>
                <w:szCs w:val="1"/>
                <w:color w:val="auto"/>
              </w:rPr>
            </w:pPr>
          </w:p>
        </w:tc>
      </w:tr>
      <w:tr>
        <w:trPr>
          <w:trHeight w:val="28"/>
        </w:trPr>
        <w:tc>
          <w:tcPr>
            <w:tcW w:w="7040" w:type="dxa"/>
            <w:vAlign w:val="bottom"/>
            <w:vMerge w:val="restart"/>
          </w:tcPr>
          <w:p>
            <w:pPr>
              <w:ind w:left="6240"/>
              <w:spacing w:after="0"/>
              <w:rPr>
                <w:sz w:val="20"/>
                <w:szCs w:val="20"/>
                <w:color w:val="auto"/>
              </w:rPr>
            </w:pPr>
            <w:r>
              <w:rPr>
                <w:rFonts w:ascii="Arial" w:cs="Arial" w:eastAsia="Arial" w:hAnsi="Arial"/>
                <w:sz w:val="18"/>
                <w:szCs w:val="18"/>
                <w:color w:val="auto"/>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40" w:type="dxa"/>
            <w:vAlign w:val="bottom"/>
            <w:vMerge w:val="continue"/>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Kevin Feeley</w:t>
            </w:r>
          </w:p>
        </w:tc>
        <w:tc>
          <w:tcPr>
            <w:tcW w:w="0" w:type="dxa"/>
            <w:vAlign w:val="bottom"/>
          </w:tcPr>
          <w:p>
            <w:pPr>
              <w:spacing w:after="0"/>
              <w:rPr>
                <w:sz w:val="1"/>
                <w:szCs w:val="1"/>
                <w:color w:val="auto"/>
              </w:rPr>
            </w:pPr>
          </w:p>
        </w:tc>
      </w:tr>
      <w:tr>
        <w:trPr>
          <w:trHeight w:val="252"/>
        </w:trPr>
        <w:tc>
          <w:tcPr>
            <w:tcW w:w="7040" w:type="dxa"/>
            <w:vAlign w:val="bottom"/>
          </w:tcPr>
          <w:p>
            <w:pPr>
              <w:ind w:left="6240"/>
              <w:spacing w:after="0"/>
              <w:rPr>
                <w:sz w:val="20"/>
                <w:szCs w:val="20"/>
                <w:color w:val="auto"/>
              </w:rPr>
            </w:pPr>
            <w:r>
              <w:rPr>
                <w:rFonts w:ascii="Arial" w:cs="Arial" w:eastAsia="Arial" w:hAnsi="Arial"/>
                <w:sz w:val="18"/>
                <w:szCs w:val="18"/>
                <w:color w:val="auto"/>
              </w:rPr>
              <w:t>Title:</w:t>
            </w:r>
          </w:p>
        </w:tc>
        <w:tc>
          <w:tcPr>
            <w:tcW w:w="418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742"/>
        </w:trPr>
        <w:tc>
          <w:tcPr>
            <w:tcW w:w="7040" w:type="dxa"/>
            <w:vAlign w:val="bottom"/>
          </w:tcPr>
          <w:p>
            <w:pPr>
              <w:ind w:left="5640"/>
              <w:spacing w:after="0"/>
              <w:rPr>
                <w:sz w:val="20"/>
                <w:szCs w:val="20"/>
                <w:color w:val="auto"/>
              </w:rPr>
            </w:pPr>
            <w:r>
              <w:rPr>
                <w:rFonts w:ascii="Arial" w:cs="Arial" w:eastAsia="Arial" w:hAnsi="Arial"/>
                <w:sz w:val="18"/>
                <w:szCs w:val="18"/>
                <w:color w:val="auto"/>
              </w:rPr>
              <w:t>111</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RULES 13a-14(a) AND 15d-14(a)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THE SECURITIES EXCHANGE ACT 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I, Katherine Stueland, certify that:</w:t>
      </w:r>
    </w:p>
    <w:p>
      <w:pPr>
        <w:spacing w:after="0" w:line="209" w:lineRule="exact"/>
        <w:rPr>
          <w:sz w:val="20"/>
          <w:szCs w:val="20"/>
          <w:color w:val="auto"/>
        </w:rPr>
      </w:pPr>
    </w:p>
    <w:p>
      <w:pPr>
        <w:ind w:left="320" w:hanging="314"/>
        <w:spacing w:after="0"/>
        <w:tabs>
          <w:tab w:leader="none" w:pos="3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Sema4 Holdings Corp. (the “registrant”);</w:t>
      </w:r>
    </w:p>
    <w:p>
      <w:pPr>
        <w:spacing w:after="0" w:line="209" w:lineRule="exact"/>
        <w:rPr>
          <w:rFonts w:ascii="Arial" w:cs="Arial" w:eastAsia="Arial" w:hAnsi="Arial"/>
          <w:sz w:val="21"/>
          <w:szCs w:val="21"/>
          <w:color w:val="auto"/>
        </w:rPr>
      </w:pPr>
    </w:p>
    <w:p>
      <w:pPr>
        <w:ind w:left="320" w:right="240" w:hanging="314"/>
        <w:spacing w:after="0" w:line="230" w:lineRule="auto"/>
        <w:tabs>
          <w:tab w:leader="none" w:pos="3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21"/>
          <w:szCs w:val="21"/>
          <w:color w:val="auto"/>
        </w:rPr>
      </w:pPr>
    </w:p>
    <w:p>
      <w:pPr>
        <w:ind w:left="320" w:right="340" w:hanging="314"/>
        <w:spacing w:after="0" w:line="230" w:lineRule="auto"/>
        <w:tabs>
          <w:tab w:leader="none" w:pos="3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21"/>
          <w:szCs w:val="21"/>
          <w:color w:val="auto"/>
        </w:rPr>
      </w:pPr>
    </w:p>
    <w:p>
      <w:pPr>
        <w:ind w:left="320" w:right="20" w:hanging="314"/>
        <w:spacing w:after="0" w:line="239" w:lineRule="auto"/>
        <w:tabs>
          <w:tab w:leader="none" w:pos="3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for the registrant and have:</w:t>
      </w:r>
    </w:p>
    <w:p>
      <w:pPr>
        <w:spacing w:after="0" w:line="181" w:lineRule="exact"/>
        <w:rPr>
          <w:rFonts w:ascii="Arial" w:cs="Arial" w:eastAsia="Arial" w:hAnsi="Arial"/>
          <w:sz w:val="21"/>
          <w:szCs w:val="21"/>
          <w:color w:val="auto"/>
        </w:rPr>
      </w:pPr>
    </w:p>
    <w:p>
      <w:pPr>
        <w:ind w:left="640" w:right="60" w:hanging="316"/>
        <w:spacing w:after="0" w:line="261" w:lineRule="auto"/>
        <w:tabs>
          <w:tab w:leader="none" w:pos="628" w:val="left"/>
        </w:tabs>
        <w:numPr>
          <w:ilvl w:val="1"/>
          <w:numId w:val="53"/>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9"/>
          <w:szCs w:val="19"/>
          <w:color w:val="auto"/>
        </w:rPr>
      </w:pPr>
    </w:p>
    <w:p>
      <w:pPr>
        <w:ind w:left="640" w:hanging="316"/>
        <w:spacing w:after="0" w:line="230" w:lineRule="auto"/>
        <w:tabs>
          <w:tab w:leader="none" w:pos="640" w:val="left"/>
        </w:tabs>
        <w:numPr>
          <w:ilvl w:val="1"/>
          <w:numId w:val="53"/>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21"/>
          <w:szCs w:val="21"/>
          <w:color w:val="auto"/>
        </w:rPr>
      </w:pPr>
    </w:p>
    <w:p>
      <w:pPr>
        <w:ind w:left="640" w:right="40" w:hanging="316"/>
        <w:spacing w:after="0" w:line="261" w:lineRule="auto"/>
        <w:tabs>
          <w:tab w:leader="none" w:pos="628" w:val="left"/>
        </w:tabs>
        <w:numPr>
          <w:ilvl w:val="1"/>
          <w:numId w:val="5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9"/>
          <w:szCs w:val="19"/>
          <w:color w:val="auto"/>
        </w:rPr>
      </w:pPr>
    </w:p>
    <w:p>
      <w:pPr>
        <w:ind w:left="320" w:right="660" w:hanging="314"/>
        <w:spacing w:after="0" w:line="230" w:lineRule="auto"/>
        <w:tabs>
          <w:tab w:leader="none" w:pos="3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21"/>
          <w:szCs w:val="21"/>
          <w:color w:val="auto"/>
        </w:rPr>
      </w:pPr>
    </w:p>
    <w:p>
      <w:pPr>
        <w:ind w:left="640" w:right="320" w:hanging="316"/>
        <w:spacing w:after="0" w:line="230" w:lineRule="auto"/>
        <w:tabs>
          <w:tab w:leader="none" w:pos="628" w:val="left"/>
        </w:tabs>
        <w:numPr>
          <w:ilvl w:val="1"/>
          <w:numId w:val="53"/>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06" w:right="339" w:bottom="1440" w:gutter="0" w:footer="0" w:header="0"/>
        </w:sectPr>
      </w:pPr>
    </w:p>
    <w:bookmarkStart w:id="112" w:name="page113"/>
    <w:bookmarkEnd w:id="112"/>
    <w:p>
      <w:pPr>
        <w:ind w:left="620" w:hanging="316"/>
        <w:spacing w:after="0" w:line="239" w:lineRule="auto"/>
        <w:tabs>
          <w:tab w:leader="none" w:pos="6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spacing w:after="0"/>
        <w:tabs>
          <w:tab w:leader="none" w:pos="6100" w:val="left"/>
          <w:tab w:leader="none" w:pos="6560" w:val="left"/>
        </w:tabs>
        <w:rPr>
          <w:sz w:val="20"/>
          <w:szCs w:val="20"/>
          <w:color w:val="auto"/>
        </w:rPr>
      </w:pPr>
      <w:r>
        <w:rPr>
          <w:rFonts w:ascii="Arial" w:cs="Arial" w:eastAsia="Arial" w:hAnsi="Arial"/>
          <w:sz w:val="21"/>
          <w:szCs w:val="21"/>
          <w:color w:val="auto"/>
        </w:rPr>
        <w:t>Date: November 14, 2022</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20320</wp:posOffset>
            </wp:positionV>
            <wp:extent cx="29533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21"/>
          <w:szCs w:val="21"/>
          <w:color w:val="auto"/>
        </w:rPr>
        <w:t>Katherine Stueland</w:t>
      </w:r>
    </w:p>
    <w:p>
      <w:pPr>
        <w:spacing w:after="0" w:line="65" w:lineRule="exact"/>
        <w:rPr>
          <w:sz w:val="20"/>
          <w:szCs w:val="20"/>
          <w:color w:val="auto"/>
        </w:rPr>
      </w:pPr>
    </w:p>
    <w:p>
      <w:pPr>
        <w:ind w:left="6580"/>
        <w:spacing w:after="0"/>
        <w:rPr>
          <w:sz w:val="20"/>
          <w:szCs w:val="20"/>
          <w:color w:val="auto"/>
        </w:rPr>
      </w:pPr>
      <w:r>
        <w:rPr>
          <w:rFonts w:ascii="Arial" w:cs="Arial" w:eastAsia="Arial" w:hAnsi="Arial"/>
          <w:sz w:val="21"/>
          <w:szCs w:val="21"/>
          <w:color w:val="auto"/>
        </w:rPr>
        <w:t>Chief Executive Officer</w:t>
      </w:r>
    </w:p>
    <w:p>
      <w:pPr>
        <w:ind w:left="6580"/>
        <w:spacing w:after="0"/>
        <w:rPr>
          <w:sz w:val="20"/>
          <w:szCs w:val="20"/>
          <w:color w:val="auto"/>
        </w:rPr>
      </w:pPr>
      <w:r>
        <w:rPr>
          <w:rFonts w:ascii="Arial" w:cs="Arial" w:eastAsia="Arial" w:hAnsi="Arial"/>
          <w:sz w:val="21"/>
          <w:szCs w:val="21"/>
          <w:color w:val="auto"/>
        </w:rPr>
        <w:t>(Principal Executive Officer)</w:t>
      </w:r>
    </w:p>
    <w:p>
      <w:pPr>
        <w:sectPr>
          <w:pgSz w:w="11900" w:h="16838" w:orient="portrait"/>
          <w:cols w:equalWidth="0" w:num="1">
            <w:col w:w="10460"/>
          </w:cols>
          <w:pgMar w:left="340" w:top="1377" w:right="10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RULES 13a-14(a) AND 15d-14(a)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THE SECURITIES EXCHANGE ACT 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I, Kevin Feeley, certify that:</w:t>
      </w:r>
    </w:p>
    <w:p>
      <w:pPr>
        <w:spacing w:after="0" w:line="209" w:lineRule="exact"/>
        <w:rPr>
          <w:sz w:val="20"/>
          <w:szCs w:val="20"/>
          <w:color w:val="auto"/>
        </w:rPr>
      </w:pPr>
    </w:p>
    <w:p>
      <w:pPr>
        <w:ind w:left="320" w:hanging="314"/>
        <w:spacing w:after="0"/>
        <w:tabs>
          <w:tab w:leader="none" w:pos="320" w:val="left"/>
        </w:tabs>
        <w:numPr>
          <w:ilvl w:val="0"/>
          <w:numId w:val="55"/>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Sema4 Holdings Corp. (the “registrant”);</w:t>
      </w:r>
    </w:p>
    <w:p>
      <w:pPr>
        <w:spacing w:after="0" w:line="209" w:lineRule="exact"/>
        <w:rPr>
          <w:rFonts w:ascii="Arial" w:cs="Arial" w:eastAsia="Arial" w:hAnsi="Arial"/>
          <w:sz w:val="21"/>
          <w:szCs w:val="21"/>
          <w:color w:val="auto"/>
        </w:rPr>
      </w:pPr>
    </w:p>
    <w:p>
      <w:pPr>
        <w:ind w:left="320" w:right="240" w:hanging="314"/>
        <w:spacing w:after="0" w:line="230" w:lineRule="auto"/>
        <w:tabs>
          <w:tab w:leader="none" w:pos="320" w:val="left"/>
        </w:tabs>
        <w:numPr>
          <w:ilvl w:val="0"/>
          <w:numId w:val="55"/>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21"/>
          <w:szCs w:val="21"/>
          <w:color w:val="auto"/>
        </w:rPr>
      </w:pPr>
    </w:p>
    <w:p>
      <w:pPr>
        <w:ind w:left="320" w:right="340" w:hanging="314"/>
        <w:spacing w:after="0" w:line="230" w:lineRule="auto"/>
        <w:tabs>
          <w:tab w:leader="none" w:pos="320" w:val="left"/>
        </w:tabs>
        <w:numPr>
          <w:ilvl w:val="0"/>
          <w:numId w:val="55"/>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21"/>
          <w:szCs w:val="21"/>
          <w:color w:val="auto"/>
        </w:rPr>
      </w:pPr>
    </w:p>
    <w:p>
      <w:pPr>
        <w:ind w:left="320" w:right="20" w:hanging="314"/>
        <w:spacing w:after="0" w:line="239" w:lineRule="auto"/>
        <w:tabs>
          <w:tab w:leader="none" w:pos="32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for the registrant and have:</w:t>
      </w:r>
    </w:p>
    <w:p>
      <w:pPr>
        <w:spacing w:after="0" w:line="181" w:lineRule="exact"/>
        <w:rPr>
          <w:rFonts w:ascii="Arial" w:cs="Arial" w:eastAsia="Arial" w:hAnsi="Arial"/>
          <w:sz w:val="21"/>
          <w:szCs w:val="21"/>
          <w:color w:val="auto"/>
        </w:rPr>
      </w:pPr>
    </w:p>
    <w:p>
      <w:pPr>
        <w:ind w:left="640" w:right="60" w:hanging="316"/>
        <w:spacing w:after="0" w:line="261" w:lineRule="auto"/>
        <w:tabs>
          <w:tab w:leader="none" w:pos="628" w:val="left"/>
        </w:tabs>
        <w:numPr>
          <w:ilvl w:val="1"/>
          <w:numId w:val="5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9"/>
          <w:szCs w:val="19"/>
          <w:color w:val="auto"/>
        </w:rPr>
      </w:pPr>
    </w:p>
    <w:p>
      <w:pPr>
        <w:ind w:left="640" w:hanging="316"/>
        <w:spacing w:after="0" w:line="230" w:lineRule="auto"/>
        <w:tabs>
          <w:tab w:leader="none" w:pos="640" w:val="left"/>
        </w:tabs>
        <w:numPr>
          <w:ilvl w:val="1"/>
          <w:numId w:val="55"/>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21"/>
          <w:szCs w:val="21"/>
          <w:color w:val="auto"/>
        </w:rPr>
      </w:pPr>
    </w:p>
    <w:p>
      <w:pPr>
        <w:ind w:left="640" w:right="40" w:hanging="316"/>
        <w:spacing w:after="0" w:line="261" w:lineRule="auto"/>
        <w:tabs>
          <w:tab w:leader="none" w:pos="628" w:val="left"/>
        </w:tabs>
        <w:numPr>
          <w:ilvl w:val="1"/>
          <w:numId w:val="5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9"/>
          <w:szCs w:val="19"/>
          <w:color w:val="auto"/>
        </w:rPr>
      </w:pPr>
    </w:p>
    <w:p>
      <w:pPr>
        <w:ind w:left="320" w:right="660" w:hanging="314"/>
        <w:spacing w:after="0" w:line="230" w:lineRule="auto"/>
        <w:tabs>
          <w:tab w:leader="none" w:pos="32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21"/>
          <w:szCs w:val="21"/>
          <w:color w:val="auto"/>
        </w:rPr>
      </w:pPr>
    </w:p>
    <w:p>
      <w:pPr>
        <w:ind w:left="640" w:right="320" w:hanging="316"/>
        <w:spacing w:after="0" w:line="230" w:lineRule="auto"/>
        <w:tabs>
          <w:tab w:leader="none" w:pos="628" w:val="left"/>
        </w:tabs>
        <w:numPr>
          <w:ilvl w:val="1"/>
          <w:numId w:val="55"/>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06" w:right="339" w:bottom="1440" w:gutter="0" w:footer="0" w:header="0"/>
        </w:sectPr>
      </w:pPr>
    </w:p>
    <w:bookmarkStart w:id="114" w:name="page115"/>
    <w:bookmarkEnd w:id="114"/>
    <w:p>
      <w:pPr>
        <w:ind w:left="620" w:hanging="316"/>
        <w:spacing w:after="0" w:line="239" w:lineRule="auto"/>
        <w:tabs>
          <w:tab w:leader="none" w:pos="620"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spacing w:after="0"/>
        <w:tabs>
          <w:tab w:leader="none" w:pos="6100" w:val="left"/>
          <w:tab w:leader="none" w:pos="6560" w:val="left"/>
        </w:tabs>
        <w:rPr>
          <w:sz w:val="20"/>
          <w:szCs w:val="20"/>
          <w:color w:val="auto"/>
        </w:rPr>
      </w:pPr>
      <w:r>
        <w:rPr>
          <w:rFonts w:ascii="Arial" w:cs="Arial" w:eastAsia="Arial" w:hAnsi="Arial"/>
          <w:sz w:val="21"/>
          <w:szCs w:val="21"/>
          <w:color w:val="auto"/>
        </w:rPr>
        <w:t>Date: November 14, 2022</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20320</wp:posOffset>
            </wp:positionV>
            <wp:extent cx="29533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21"/>
          <w:szCs w:val="21"/>
          <w:color w:val="auto"/>
        </w:rPr>
        <w:t>Kevin Feeley</w:t>
      </w:r>
    </w:p>
    <w:p>
      <w:pPr>
        <w:spacing w:after="0" w:line="65" w:lineRule="exact"/>
        <w:rPr>
          <w:sz w:val="20"/>
          <w:szCs w:val="20"/>
          <w:color w:val="auto"/>
        </w:rPr>
      </w:pPr>
    </w:p>
    <w:p>
      <w:pPr>
        <w:ind w:left="6580"/>
        <w:spacing w:after="0"/>
        <w:rPr>
          <w:sz w:val="20"/>
          <w:szCs w:val="20"/>
          <w:color w:val="auto"/>
        </w:rPr>
      </w:pPr>
      <w:r>
        <w:rPr>
          <w:rFonts w:ascii="Arial" w:cs="Arial" w:eastAsia="Arial" w:hAnsi="Arial"/>
          <w:sz w:val="21"/>
          <w:szCs w:val="21"/>
          <w:color w:val="auto"/>
        </w:rPr>
        <w:t>Chief Financial Officer</w:t>
      </w:r>
    </w:p>
    <w:p>
      <w:pPr>
        <w:ind w:left="6580"/>
        <w:spacing w:after="0"/>
        <w:rPr>
          <w:sz w:val="20"/>
          <w:szCs w:val="20"/>
          <w:color w:val="auto"/>
        </w:rPr>
      </w:pPr>
      <w:r>
        <w:rPr>
          <w:rFonts w:ascii="Arial" w:cs="Arial" w:eastAsia="Arial" w:hAnsi="Arial"/>
          <w:sz w:val="21"/>
          <w:szCs w:val="21"/>
          <w:color w:val="auto"/>
        </w:rPr>
        <w:t>(Principal Financial Officer)</w:t>
      </w:r>
    </w:p>
    <w:p>
      <w:pPr>
        <w:sectPr>
          <w:pgSz w:w="11900" w:h="16838" w:orient="portrait"/>
          <w:cols w:equalWidth="0" w:num="1">
            <w:col w:w="10460"/>
          </w:cols>
          <w:pgMar w:left="340" w:top="1377" w:right="1099" w:bottom="1440" w:gutter="0" w:footer="0" w:header="0"/>
        </w:sectPr>
      </w:pPr>
    </w:p>
    <w:bookmarkStart w:id="115" w:name="page116"/>
    <w:bookmarkEnd w:id="115"/>
    <w:p>
      <w:pPr>
        <w:jc w:val="right"/>
        <w:spacing w:after="0"/>
        <w:rPr>
          <w:sz w:val="20"/>
          <w:szCs w:val="20"/>
          <w:color w:val="auto"/>
        </w:rPr>
      </w:pPr>
      <w:r>
        <w:rPr>
          <w:rFonts w:ascii="Arial" w:cs="Arial" w:eastAsia="Arial" w:hAnsi="Arial"/>
          <w:sz w:val="21"/>
          <w:szCs w:val="21"/>
          <w:b w:val="1"/>
          <w:bCs w:val="1"/>
          <w:color w:val="auto"/>
        </w:rPr>
        <w:t>Exhibit 32.1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18 U.S.C. SECTION 1350,</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ADDED BY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pacing w:after="0" w:line="281" w:lineRule="exact"/>
        <w:rPr>
          <w:sz w:val="20"/>
          <w:szCs w:val="20"/>
          <w:color w:val="auto"/>
        </w:rPr>
      </w:pPr>
    </w:p>
    <w:p>
      <w:pPr>
        <w:ind w:right="140"/>
        <w:spacing w:after="0" w:line="305" w:lineRule="auto"/>
        <w:rPr>
          <w:sz w:val="20"/>
          <w:szCs w:val="20"/>
          <w:color w:val="auto"/>
        </w:rPr>
      </w:pPr>
      <w:r>
        <w:rPr>
          <w:rFonts w:ascii="Arial" w:cs="Arial" w:eastAsia="Arial" w:hAnsi="Arial"/>
          <w:sz w:val="19"/>
          <w:szCs w:val="19"/>
          <w:color w:val="auto"/>
        </w:rPr>
        <w:t>In connection with the Quarterly Report of Sema4 Holdings Corp. (the “registrant”) on Form 10-Q for the quarterly period ended September 30, 2022, as filed with the Securities and Exchange Commission (the “Report”), I, Katherine Stueland, Chief Executive Officer of the registrant, certify, pursuant to 18 U.S.C. §1350, as added by §906 of the Sarbanes-Oxley Act of 2002, that:</w:t>
      </w:r>
    </w:p>
    <w:p>
      <w:pPr>
        <w:spacing w:after="0" w:line="2"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73" w:lineRule="exact"/>
        <w:rPr>
          <w:rFonts w:ascii="Arial" w:cs="Arial" w:eastAsia="Arial" w:hAnsi="Arial"/>
          <w:sz w:val="17"/>
          <w:szCs w:val="17"/>
          <w:color w:val="auto"/>
        </w:rPr>
      </w:pPr>
    </w:p>
    <w:p>
      <w:pPr>
        <w:ind w:left="640" w:right="320" w:hanging="316"/>
        <w:spacing w:after="0" w:line="305"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21"/>
          <w:szCs w:val="21"/>
          <w:color w:val="auto"/>
        </w:rPr>
        <w:t>To my knowledge, the information contained in the Report fairly presents, in all material respects, the financial condition and results of operations of the registrant.</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72"/>
        </w:trPr>
        <w:tc>
          <w:tcPr>
            <w:tcW w:w="4040" w:type="dxa"/>
            <w:vAlign w:val="bottom"/>
          </w:tcPr>
          <w:p>
            <w:pPr>
              <w:spacing w:after="0"/>
              <w:rPr>
                <w:sz w:val="20"/>
                <w:szCs w:val="20"/>
                <w:color w:val="auto"/>
              </w:rPr>
            </w:pPr>
            <w:r>
              <w:rPr>
                <w:rFonts w:ascii="Arial" w:cs="Arial" w:eastAsia="Arial" w:hAnsi="Arial"/>
                <w:sz w:val="21"/>
                <w:szCs w:val="21"/>
                <w:color w:val="auto"/>
              </w:rPr>
              <w:t>Date: November 14, 2022</w:t>
            </w:r>
          </w:p>
        </w:tc>
        <w:tc>
          <w:tcPr>
            <w:tcW w:w="6760" w:type="dxa"/>
            <w:vAlign w:val="bottom"/>
            <w:gridSpan w:val="2"/>
          </w:tcPr>
          <w:p>
            <w:pPr>
              <w:ind w:left="1840"/>
              <w:spacing w:after="0"/>
              <w:rPr>
                <w:sz w:val="20"/>
                <w:szCs w:val="20"/>
                <w:color w:val="auto"/>
              </w:rPr>
            </w:pPr>
            <w:r>
              <w:rPr>
                <w:rFonts w:ascii="Arial" w:cs="Arial" w:eastAsia="Arial" w:hAnsi="Arial"/>
                <w:sz w:val="21"/>
                <w:szCs w:val="21"/>
                <w:color w:val="auto"/>
              </w:rPr>
              <w:t>By:  /s/ Katherine Stueland</w:t>
            </w:r>
          </w:p>
        </w:tc>
      </w:tr>
      <w:tr>
        <w:trPr>
          <w:trHeight w:val="265"/>
        </w:trPr>
        <w:tc>
          <w:tcPr>
            <w:tcW w:w="4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Katherine Stueland</w:t>
            </w:r>
          </w:p>
        </w:tc>
      </w:tr>
      <w:tr>
        <w:trPr>
          <w:trHeight w:val="251"/>
        </w:trPr>
        <w:tc>
          <w:tcPr>
            <w:tcW w:w="40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Chief Executive Officer</w:t>
            </w:r>
          </w:p>
        </w:tc>
      </w:tr>
      <w:tr>
        <w:trPr>
          <w:trHeight w:val="271"/>
        </w:trPr>
        <w:tc>
          <w:tcPr>
            <w:tcW w:w="4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(Principal Executive Officer)</w:t>
            </w:r>
          </w:p>
        </w:tc>
      </w:tr>
    </w:tbl>
    <w:p>
      <w:pPr>
        <w:sectPr>
          <w:pgSz w:w="11900" w:h="16838" w:orient="portrait"/>
          <w:cols w:equalWidth="0" w:num="1">
            <w:col w:w="11240"/>
          </w:cols>
          <w:pgMar w:left="320" w:top="93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1"/>
          <w:szCs w:val="21"/>
          <w:b w:val="1"/>
          <w:bCs w:val="1"/>
          <w:color w:val="auto"/>
        </w:rPr>
        <w:t>Exhibit 32.2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18 U.S.C. SECTION 1350,</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ADDED BY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pacing w:after="0" w:line="281" w:lineRule="exact"/>
        <w:rPr>
          <w:sz w:val="20"/>
          <w:szCs w:val="20"/>
          <w:color w:val="auto"/>
        </w:rPr>
      </w:pPr>
    </w:p>
    <w:p>
      <w:pPr>
        <w:ind w:right="40"/>
        <w:spacing w:after="0" w:line="305" w:lineRule="auto"/>
        <w:rPr>
          <w:sz w:val="20"/>
          <w:szCs w:val="20"/>
          <w:color w:val="auto"/>
        </w:rPr>
      </w:pPr>
      <w:r>
        <w:rPr>
          <w:rFonts w:ascii="Arial" w:cs="Arial" w:eastAsia="Arial" w:hAnsi="Arial"/>
          <w:sz w:val="19"/>
          <w:szCs w:val="19"/>
          <w:color w:val="auto"/>
        </w:rPr>
        <w:t>In connection with the Quarterly Report of Sema4 Holdings Corp. (the “registrant”) on Form 10-Q for the quarterly period ended September 30, 2022, as filed with the Securities and Exchange Commission (the “Report”), I, Kevin Feeley, Chief Financial Officer of the registrant, certify, pursuant to 18 U.S.C. §1350, as added by §906 of the Sarbanes-Oxley Act of 2002, that:</w:t>
      </w:r>
    </w:p>
    <w:p>
      <w:pPr>
        <w:spacing w:after="0" w:line="2"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73" w:lineRule="exact"/>
        <w:rPr>
          <w:rFonts w:ascii="Arial" w:cs="Arial" w:eastAsia="Arial" w:hAnsi="Arial"/>
          <w:sz w:val="17"/>
          <w:szCs w:val="17"/>
          <w:color w:val="auto"/>
        </w:rPr>
      </w:pPr>
    </w:p>
    <w:p>
      <w:pPr>
        <w:ind w:left="640" w:right="320" w:hanging="316"/>
        <w:spacing w:after="0" w:line="305"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21"/>
          <w:szCs w:val="21"/>
          <w:color w:val="auto"/>
        </w:rPr>
        <w:t>To my knowledge, the information contained in the Report fairly presents, in all material respects, the financial condition and results of operations of the registrant.</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72"/>
        </w:trPr>
        <w:tc>
          <w:tcPr>
            <w:tcW w:w="4040" w:type="dxa"/>
            <w:vAlign w:val="bottom"/>
          </w:tcPr>
          <w:p>
            <w:pPr>
              <w:spacing w:after="0"/>
              <w:rPr>
                <w:sz w:val="20"/>
                <w:szCs w:val="20"/>
                <w:color w:val="auto"/>
              </w:rPr>
            </w:pPr>
            <w:r>
              <w:rPr>
                <w:rFonts w:ascii="Arial" w:cs="Arial" w:eastAsia="Arial" w:hAnsi="Arial"/>
                <w:sz w:val="21"/>
                <w:szCs w:val="21"/>
                <w:color w:val="auto"/>
              </w:rPr>
              <w:t>Date: November 14, 2022</w:t>
            </w:r>
          </w:p>
        </w:tc>
        <w:tc>
          <w:tcPr>
            <w:tcW w:w="6760" w:type="dxa"/>
            <w:vAlign w:val="bottom"/>
            <w:gridSpan w:val="2"/>
          </w:tcPr>
          <w:p>
            <w:pPr>
              <w:ind w:left="1840"/>
              <w:spacing w:after="0"/>
              <w:rPr>
                <w:sz w:val="20"/>
                <w:szCs w:val="20"/>
                <w:color w:val="auto"/>
              </w:rPr>
            </w:pPr>
            <w:r>
              <w:rPr>
                <w:rFonts w:ascii="Arial" w:cs="Arial" w:eastAsia="Arial" w:hAnsi="Arial"/>
                <w:sz w:val="21"/>
                <w:szCs w:val="21"/>
                <w:color w:val="auto"/>
              </w:rPr>
              <w:t>By:  /s/ Kevin Feeley</w:t>
            </w:r>
          </w:p>
        </w:tc>
      </w:tr>
      <w:tr>
        <w:trPr>
          <w:trHeight w:val="265"/>
        </w:trPr>
        <w:tc>
          <w:tcPr>
            <w:tcW w:w="4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Kevin Feeley</w:t>
            </w:r>
          </w:p>
        </w:tc>
      </w:tr>
      <w:tr>
        <w:trPr>
          <w:trHeight w:val="251"/>
        </w:trPr>
        <w:tc>
          <w:tcPr>
            <w:tcW w:w="40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Chief Financial Officer</w:t>
            </w:r>
          </w:p>
        </w:tc>
      </w:tr>
      <w:tr>
        <w:trPr>
          <w:trHeight w:val="271"/>
        </w:trPr>
        <w:tc>
          <w:tcPr>
            <w:tcW w:w="4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lowerRoman"/>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1"/>
      <w:numFmt w:val="decimal"/>
      <w:start w:val="104"/>
    </w:lvl>
  </w:abstractNum>
  <w:abstractNum w:abstractNumId="49">
    <w:nsid w:val="374A3FE6"/>
    <w:multiLevelType w:val="hybridMultilevel"/>
    <w:lvl w:ilvl="0">
      <w:lvlJc w:val="left"/>
      <w:lvlText w:val="%1"/>
      <w:numFmt w:val="decimal"/>
      <w:start w:val="104"/>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decimal"/>
      <w:start w:val="1"/>
    </w:lvl>
    <w:lvl w:ilvl="1">
      <w:lvlJc w:val="left"/>
      <w:lvlText w:val="%2."/>
      <w:numFmt w:val="lowerLetter"/>
      <w:start w:val="1"/>
    </w:lvl>
  </w:abstractNum>
  <w:abstractNum w:abstractNumId="53">
    <w:nsid w:val="275AC794"/>
    <w:multiLevelType w:val="hybridMultilevel"/>
    <w:lvl w:ilvl="0">
      <w:lvlJc w:val="left"/>
      <w:lvlText w:val="%1."/>
      <w:numFmt w:val="lowerLetter"/>
      <w:start w:val="2"/>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lowerLetter"/>
      <w:start w:val="2"/>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40" Type="http://schemas.openxmlformats.org/officeDocument/2006/relationships/hyperlink" Target="https://www.sec.gov/Archives/edgar/data/1818331/000181833122000069/sema4-iroconsultingagreeme.htm" TargetMode="External"/><Relationship Id="rId141" Type="http://schemas.openxmlformats.org/officeDocument/2006/relationships/hyperlink" Target="https://www.sec.gov/Archives/edgar/data/1818331/000181833122000069/sema4-agreementeschadt.htm" TargetMode="External"/><Relationship Id="rId142" Type="http://schemas.openxmlformats.org/officeDocument/2006/relationships/hyperlink" Target="https://www.sec.gov/Archives/edgar/data/1818331/000162828022023779/exhibit101-8xkx826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2022-11-14T08:42:54Z</dcterms:created>
  <dcterms:modified xsi:type="dcterms:W3CDTF">2022-11-14T08:42:54Z</dcterms:modified>
</cp:coreProperties>
</file>