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-10160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40" w:space="300"/>
            <w:col w:w="854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 Isaac</w:t>
              </w:r>
            </w:hyperlink>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Sema4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SMFR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80" w:type="dxa"/>
            <w:vAlign w:val="bottom"/>
          </w:tcPr>
          <w:p>
            <w:pPr>
              <w:ind w:left="2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08/08/2022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537" w:type="dxa"/>
        <w:tblCellMar>
          <w:top w:w="0" w:type="dxa"/>
          <w:left w:w="0" w:type="dxa"/>
          <w:bottom w:w="0" w:type="dxa"/>
          <w:right w:w="0" w:type="dxa"/>
        </w:tblCellMar>
      </w:tblPr>
      <w:tr>
        <w:trPr>
          <w:trHeight w:val="169"/>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0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7"/>
          <w:szCs w:val="17"/>
          <w:color w:val="0000FF"/>
        </w:rPr>
        <w:t>Former CFO</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08/08/2022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62,500</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264,286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08/09/2022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20,245</w:t>
            </w:r>
          </w:p>
        </w:tc>
        <w:tc>
          <w:tcPr>
            <w:tcW w:w="6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1.9865</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244,041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62,500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08/08/2022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62,500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625,000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$1.89 to $1.97,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1/8th of the total shares vested on October 25, 2021, 1/16th of the total shares vested on November 8, 2021, and thereafter vests as to 1/16th of the total shares underlying the award in quarterly installments until fully vested on February 8,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Clark,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08/10/2022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2022-08-10T18:55:13Z</dcterms:created>
  <dcterms:modified xsi:type="dcterms:W3CDTF">2022-08-10T18:55:13Z</dcterms:modified>
</cp:coreProperties>
</file>