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22225</wp:posOffset>
            </wp:positionV>
            <wp:extent cx="7045960" cy="661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198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22" w:right="359" w:bottom="782"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RUCH JOSHUA</w:t>
        </w:r>
      </w:hyperlink>
    </w:p>
    <w:p>
      <w:pPr>
        <w:spacing w:after="0" w:line="300"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0" w:lineRule="auto"/>
        <w:rPr>
          <w:sz w:val="20"/>
          <w:szCs w:val="20"/>
          <w:color w:val="auto"/>
        </w:rPr>
      </w:pPr>
      <w:r>
        <w:rPr>
          <w:rFonts w:ascii="Arial" w:cs="Arial" w:eastAsia="Arial" w:hAnsi="Arial"/>
          <w:sz w:val="16"/>
          <w:szCs w:val="16"/>
          <w:color w:val="0000FF"/>
        </w:rPr>
        <w:t>C/O GENEDX HOLDINGS CORP. 333 LUDLOW ST, NORTH TOWER</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980" w:type="dxa"/>
            <w:vAlign w:val="bottom"/>
          </w:tcPr>
          <w:p>
            <w:pPr>
              <w:ind w:left="16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2100" w:type="dxa"/>
            <w:vAlign w:val="bottom"/>
            <w:gridSpan w:val="3"/>
          </w:tcPr>
          <w:p>
            <w:pPr>
              <w:ind w:left="80"/>
              <w:spacing w:after="0"/>
              <w:rPr>
                <w:sz w:val="20"/>
                <w:szCs w:val="20"/>
                <w:color w:val="auto"/>
              </w:rPr>
            </w:pPr>
            <w:r>
              <w:rPr>
                <w:rFonts w:ascii="Arial" w:cs="Arial" w:eastAsia="Arial" w:hAnsi="Arial"/>
                <w:sz w:val="17"/>
                <w:szCs w:val="17"/>
                <w:color w:val="0000FF"/>
              </w:rPr>
              <w:t>10/15/2023</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4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2" w:right="359" w:bottom="78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7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right"/>
              <w:ind w:right="95"/>
              <w:spacing w:after="0"/>
              <w:rPr>
                <w:sz w:val="20"/>
                <w:szCs w:val="20"/>
                <w:color w:val="auto"/>
              </w:rPr>
            </w:pPr>
            <w:r>
              <w:rPr>
                <w:rFonts w:ascii="Arial" w:cs="Arial" w:eastAsia="Arial" w:hAnsi="Arial"/>
                <w:sz w:val="17"/>
                <w:szCs w:val="17"/>
                <w:color w:val="0000FF"/>
              </w:rPr>
              <w:t>10/15/2023</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80"/>
              <w:spacing w:after="0"/>
              <w:rPr>
                <w:sz w:val="20"/>
                <w:szCs w:val="20"/>
                <w:color w:val="auto"/>
              </w:rPr>
            </w:pPr>
            <w:r>
              <w:rPr>
                <w:rFonts w:ascii="Arial" w:cs="Arial" w:eastAsia="Arial" w:hAnsi="Arial"/>
                <w:sz w:val="17"/>
                <w:szCs w:val="17"/>
                <w:color w:val="0000FF"/>
              </w:rPr>
              <w:t>129</w:t>
            </w:r>
          </w:p>
        </w:tc>
        <w:tc>
          <w:tcPr>
            <w:tcW w:w="580" w:type="dxa"/>
            <w:vAlign w:val="bottom"/>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84"/>
              <w:spacing w:after="0"/>
              <w:rPr>
                <w:sz w:val="20"/>
                <w:szCs w:val="20"/>
                <w:color w:val="auto"/>
              </w:rPr>
            </w:pPr>
            <w:r>
              <w:rPr>
                <w:rFonts w:ascii="Arial" w:cs="Arial" w:eastAsia="Arial" w:hAnsi="Arial"/>
                <w:sz w:val="11"/>
                <w:szCs w:val="11"/>
                <w:color w:val="008000"/>
              </w:rPr>
              <w:t>(1)</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2,025</w:t>
            </w:r>
          </w:p>
        </w:tc>
        <w:tc>
          <w:tcPr>
            <w:tcW w:w="940" w:type="dxa"/>
            <w:vAlign w:val="bottom"/>
          </w:tcPr>
          <w:p>
            <w:pPr>
              <w:ind w:left="440"/>
              <w:spacing w:after="0"/>
              <w:rPr>
                <w:sz w:val="20"/>
                <w:szCs w:val="20"/>
                <w:color w:val="auto"/>
              </w:rPr>
            </w:pPr>
            <w:r>
              <w:rPr>
                <w:rFonts w:ascii="Arial" w:cs="Arial" w:eastAsia="Arial" w:hAnsi="Arial"/>
                <w:sz w:val="17"/>
                <w:szCs w:val="17"/>
                <w:color w:val="0000FF"/>
              </w:rPr>
              <w:t>D</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2"/>
              </w:rPr>
              <w:t>14,844</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rPr>
              <w:t>By Kariba</w:t>
            </w:r>
          </w:p>
        </w:tc>
        <w:tc>
          <w:tcPr>
            <w:tcW w:w="0" w:type="dxa"/>
            <w:vAlign w:val="bottom"/>
          </w:tcPr>
          <w:p>
            <w:pPr>
              <w:spacing w:after="0"/>
              <w:rPr>
                <w:sz w:val="1"/>
                <w:szCs w:val="1"/>
                <w:color w:val="auto"/>
              </w:rPr>
            </w:pPr>
          </w:p>
        </w:tc>
      </w:tr>
      <w:tr>
        <w:trPr>
          <w:trHeight w:val="111"/>
        </w:trPr>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line="269"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65"/>
        </w:trPr>
        <w:tc>
          <w:tcPr>
            <w:tcW w:w="246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92"/>
              </w:rPr>
              <w:t>30,137</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rPr>
              <w:t>RUGU2</w:t>
            </w:r>
          </w:p>
        </w:tc>
        <w:tc>
          <w:tcPr>
            <w:tcW w:w="0" w:type="dxa"/>
            <w:vAlign w:val="bottom"/>
          </w:tcPr>
          <w:p>
            <w:pPr>
              <w:spacing w:after="0"/>
              <w:rPr>
                <w:sz w:val="1"/>
                <w:szCs w:val="1"/>
                <w:color w:val="auto"/>
              </w:rPr>
            </w:pPr>
          </w:p>
        </w:tc>
      </w:tr>
      <w:tr>
        <w:trPr>
          <w:trHeight w:val="275"/>
        </w:trPr>
        <w:tc>
          <w:tcPr>
            <w:tcW w:w="246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line="269"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0000FF"/>
              </w:rPr>
              <w:t>By VAAL</w:t>
            </w:r>
          </w:p>
        </w:tc>
        <w:tc>
          <w:tcPr>
            <w:tcW w:w="0" w:type="dxa"/>
            <w:vAlign w:val="bottom"/>
          </w:tcPr>
          <w:p>
            <w:pPr>
              <w:spacing w:after="0"/>
              <w:rPr>
                <w:sz w:val="1"/>
                <w:szCs w:val="1"/>
                <w:color w:val="auto"/>
              </w:rPr>
            </w:pPr>
          </w:p>
        </w:tc>
      </w:tr>
      <w:tr>
        <w:trPr>
          <w:trHeight w:val="208"/>
        </w:trPr>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149,283</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w w:val="96"/>
              </w:rPr>
              <w:t>Investment</w:t>
            </w:r>
          </w:p>
        </w:tc>
        <w:tc>
          <w:tcPr>
            <w:tcW w:w="0" w:type="dxa"/>
            <w:vAlign w:val="bottom"/>
          </w:tcPr>
          <w:p>
            <w:pPr>
              <w:spacing w:after="0"/>
              <w:rPr>
                <w:sz w:val="1"/>
                <w:szCs w:val="1"/>
                <w:color w:val="auto"/>
              </w:rPr>
            </w:pPr>
          </w:p>
        </w:tc>
      </w:tr>
      <w:tr>
        <w:trPr>
          <w:trHeight w:val="111"/>
        </w:trPr>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04"/>
        </w:trPr>
        <w:tc>
          <w:tcPr>
            <w:tcW w:w="24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Arial" w:cs="Arial" w:eastAsia="Arial" w:hAnsi="Arial"/>
          <w:sz w:val="17"/>
          <w:szCs w:val="17"/>
          <w:color w:val="0000FF"/>
        </w:rPr>
        <w:t>Q9 LP</w:t>
      </w:r>
      <w:r>
        <w:rPr>
          <w:rFonts w:ascii="Arial" w:cs="Arial" w:eastAsia="Arial" w:hAnsi="Arial"/>
          <w:sz w:val="21"/>
          <w:szCs w:val="21"/>
          <w:color w:val="008000"/>
          <w:vertAlign w:val="superscript"/>
        </w:rPr>
        <w:t>(2)</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129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10/15/2023</w:t>
            </w:r>
          </w:p>
        </w:tc>
        <w:tc>
          <w:tcPr>
            <w:tcW w:w="1100" w:type="dxa"/>
            <w:vAlign w:val="bottom"/>
          </w:tcPr>
          <w:p>
            <w:pPr>
              <w:spacing w:after="0"/>
              <w:rPr>
                <w:sz w:val="5"/>
                <w:szCs w:val="5"/>
                <w:color w:val="auto"/>
              </w:rPr>
            </w:pPr>
          </w:p>
        </w:tc>
        <w:tc>
          <w:tcPr>
            <w:tcW w:w="80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72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129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130</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p>
      <w:pPr>
        <w:spacing w:after="0" w:line="31"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will vest in equal annual installments over the three-year period following the grant date of October 15, 2021, subject to the Reporting Person continuing to provide services to the Issuer through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Devin Schaffer, Attorney-</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10/17/2023</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8"/>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7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2023-10-17T17:52:06Z</dcterms:created>
  <dcterms:modified xsi:type="dcterms:W3CDTF">2023-10-17T17:52:06Z</dcterms:modified>
</cp:coreProperties>
</file>