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March 14, 2023</w:t>
      </w: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GeneDx Holdings Corp.</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20" w:type="dxa"/>
            <w:vAlign w:val="bottom"/>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001-39482</w:t>
            </w:r>
          </w:p>
        </w:tc>
        <w:tc>
          <w:tcPr>
            <w:tcW w:w="80" w:type="dxa"/>
            <w:vAlign w:val="bottom"/>
          </w:tcPr>
          <w:p>
            <w:pPr>
              <w:spacing w:after="0"/>
              <w:rPr>
                <w:sz w:val="15"/>
                <w:szCs w:val="15"/>
                <w:color w:val="auto"/>
              </w:rPr>
            </w:pPr>
          </w:p>
        </w:tc>
        <w:tc>
          <w:tcPr>
            <w:tcW w:w="4220" w:type="dxa"/>
            <w:vAlign w:val="bottom"/>
          </w:tcPr>
          <w:p>
            <w:pPr>
              <w:jc w:val="right"/>
              <w:ind w:right="1760"/>
              <w:spacing w:after="0"/>
              <w:rPr>
                <w:sz w:val="20"/>
                <w:szCs w:val="20"/>
                <w:color w:val="auto"/>
              </w:rPr>
            </w:pPr>
            <w:r>
              <w:rPr>
                <w:rFonts w:ascii="Times New Roman" w:cs="Times New Roman" w:eastAsia="Times New Roman" w:hAnsi="Times New Roman"/>
                <w:sz w:val="12"/>
                <w:szCs w:val="12"/>
                <w:b w:val="1"/>
                <w:bCs w:val="1"/>
                <w:color w:val="auto"/>
              </w:rPr>
              <w:t>85-1966622</w:t>
            </w:r>
          </w:p>
        </w:tc>
      </w:tr>
      <w:tr>
        <w:trPr>
          <w:trHeight w:val="153"/>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60" w:type="dxa"/>
            <w:vAlign w:val="bottom"/>
          </w:tcPr>
          <w:p>
            <w:pPr>
              <w:spacing w:after="0"/>
              <w:rPr>
                <w:sz w:val="13"/>
                <w:szCs w:val="13"/>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80" w:type="dxa"/>
            <w:vAlign w:val="bottom"/>
          </w:tcPr>
          <w:p>
            <w:pPr>
              <w:spacing w:after="0"/>
              <w:rPr>
                <w:sz w:val="13"/>
                <w:szCs w:val="13"/>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05"/>
        </w:trPr>
        <w:tc>
          <w:tcPr>
            <w:tcW w:w="43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333 Ludlow Street, North Tower, 6th Floor</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r>
    </w:tbl>
    <w:p>
      <w:pPr>
        <w:spacing w:after="0" w:line="12" w:lineRule="exact"/>
        <w:rPr>
          <w:sz w:val="24"/>
          <w:szCs w:val="24"/>
          <w:color w:val="auto"/>
        </w:rPr>
      </w:pPr>
    </w:p>
    <w:p>
      <w:pPr>
        <w:sectPr>
          <w:pgSz w:w="11900" w:h="16838" w:orient="portrait"/>
          <w:cols w:equalWidth="0" w:num="1">
            <w:col w:w="11300"/>
          </w:cols>
          <w:pgMar w:left="300" w:top="918" w:right="299" w:bottom="1440" w:gutter="0" w:footer="0" w:header="0"/>
        </w:sectPr>
      </w:pPr>
    </w:p>
    <w:p>
      <w:pPr>
        <w:spacing w:after="0" w:line="1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2"/>
          <w:szCs w:val="12"/>
          <w:b w:val="1"/>
          <w:bCs w:val="1"/>
          <w:color w:val="auto"/>
        </w:rPr>
        <w:t>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26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92" w:lineRule="exact"/>
        <w:rPr>
          <w:sz w:val="24"/>
          <w:szCs w:val="24"/>
          <w:color w:val="auto"/>
        </w:rPr>
      </w:pPr>
    </w:p>
    <w:p>
      <w:pPr>
        <w:jc w:val="center"/>
        <w:ind w:left="3120"/>
        <w:spacing w:after="0"/>
        <w:rPr>
          <w:sz w:val="20"/>
          <w:szCs w:val="20"/>
          <w:color w:val="auto"/>
        </w:rPr>
      </w:pPr>
      <w:r>
        <w:rPr>
          <w:rFonts w:ascii="Times New Roman" w:cs="Times New Roman" w:eastAsia="Times New Roman" w:hAnsi="Times New Roman"/>
          <w:sz w:val="12"/>
          <w:szCs w:val="12"/>
          <w:b w:val="1"/>
          <w:bCs w:val="1"/>
          <w:color w:val="auto"/>
        </w:rPr>
        <w:t>(800) 298-6470</w:t>
      </w:r>
    </w:p>
    <w:p>
      <w:pPr>
        <w:spacing w:after="0" w:line="21" w:lineRule="exact"/>
        <w:rPr>
          <w:sz w:val="24"/>
          <w:szCs w:val="24"/>
          <w:color w:val="auto"/>
        </w:rPr>
      </w:pPr>
    </w:p>
    <w:p>
      <w:pPr>
        <w:jc w:val="center"/>
        <w:ind w:left="31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7" w:lineRule="exact"/>
        <w:rPr>
          <w:sz w:val="24"/>
          <w:szCs w:val="24"/>
          <w:color w:val="auto"/>
        </w:rPr>
      </w:pPr>
    </w:p>
    <w:p>
      <w:pPr>
        <w:jc w:val="right"/>
        <w:ind w:right="1040"/>
        <w:spacing w:after="0"/>
        <w:rPr>
          <w:sz w:val="20"/>
          <w:szCs w:val="20"/>
          <w:color w:val="auto"/>
        </w:rPr>
      </w:pPr>
      <w:r>
        <w:rPr>
          <w:rFonts w:ascii="Times New Roman" w:cs="Times New Roman" w:eastAsia="Times New Roman" w:hAnsi="Times New Roman"/>
          <w:sz w:val="12"/>
          <w:szCs w:val="12"/>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-1169670</wp:posOffset>
            </wp:positionH>
            <wp:positionV relativeFrom="paragraph">
              <wp:posOffset>24765</wp:posOffset>
            </wp:positionV>
            <wp:extent cx="26860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2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2"/>
          <w:szCs w:val="12"/>
          <w:color w:val="auto"/>
        </w:rPr>
        <w:t>(Zip Code)</w:t>
      </w:r>
    </w:p>
    <w:p>
      <w:pPr>
        <w:spacing w:after="0" w:line="689" w:lineRule="exact"/>
        <w:rPr>
          <w:sz w:val="24"/>
          <w:szCs w:val="24"/>
          <w:color w:val="auto"/>
        </w:rPr>
      </w:pPr>
    </w:p>
    <w:p>
      <w:pPr>
        <w:sectPr>
          <w:pgSz w:w="11900" w:h="16838" w:orient="portrait"/>
          <w:cols w:equalWidth="0" w:num="2">
            <w:col w:w="8180" w:space="720"/>
            <w:col w:w="2400"/>
          </w:cols>
          <w:pgMar w:left="300" w:top="91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60" w:type="dxa"/>
            <w:vAlign w:val="bottom"/>
            <w:tcBorders>
              <w:top w:val="single" w:sz="8" w:color="CCEEFF"/>
            </w:tcBorders>
            <w:shd w:val="clear" w:color="auto" w:fill="CCEEFF"/>
          </w:tcPr>
          <w:p>
            <w:pPr>
              <w:spacing w:after="0"/>
              <w:rPr>
                <w:sz w:val="12"/>
                <w:szCs w:val="12"/>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w w:val="99"/>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c>
          <w:tcPr>
            <w:tcW w:w="0" w:type="dxa"/>
            <w:vAlign w:val="bottom"/>
          </w:tcPr>
          <w:p>
            <w:pPr>
              <w:spacing w:after="0"/>
              <w:rPr>
                <w:sz w:val="1"/>
                <w:szCs w:val="1"/>
                <w:color w:val="auto"/>
              </w:rPr>
            </w:pPr>
          </w:p>
        </w:tc>
      </w:tr>
      <w:tr>
        <w:trPr>
          <w:trHeight w:val="99"/>
        </w:trPr>
        <w:tc>
          <w:tcPr>
            <w:tcW w:w="4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share</w:t>
            </w:r>
          </w:p>
        </w:tc>
        <w:tc>
          <w:tcPr>
            <w:tcW w:w="2060" w:type="dxa"/>
            <w:vAlign w:val="bottom"/>
            <w:gridSpan w:val="2"/>
            <w:vMerge w:val="continue"/>
          </w:tcPr>
          <w:p>
            <w:pPr>
              <w:spacing w:after="0"/>
              <w:rPr>
                <w:sz w:val="8"/>
                <w:szCs w:val="8"/>
                <w:color w:val="auto"/>
              </w:rPr>
            </w:pPr>
          </w:p>
        </w:tc>
        <w:tc>
          <w:tcPr>
            <w:tcW w:w="4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900" w:type="dxa"/>
            <w:vAlign w:val="bottom"/>
            <w:gridSpan w:val="2"/>
            <w:vMerge w:val="continue"/>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98"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454025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8" w:right="299" w:bottom="1440" w:gutter="0" w:footer="0" w:header="0"/>
          <w:type w:val="continuous"/>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18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March 14, 2023, GeneDx Holdings Corp. (the “Company”) issued a press release (the “Press Release”) and will hold a conference call announcing the Company's financial results for the year ended December 31, 2022. Copies of the Press Release and Earnings Presentation are furnished as Exhibits 99.1 and 99.2, respectively, to this Current Report on Form 8-K.</w:t>
      </w:r>
    </w:p>
    <w:p>
      <w:pPr>
        <w:spacing w:after="0" w:line="12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Exhibits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 w:type="dxa"/>
            <w:vAlign w:val="bottom"/>
            <w:vMerge w:val="restart"/>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460" w:type="dxa"/>
            <w:vAlign w:val="bottom"/>
            <w:vMerge w:val="restart"/>
          </w:tcPr>
          <w:p>
            <w:pPr>
              <w:spacing w:after="0"/>
              <w:rPr>
                <w:sz w:val="13"/>
                <w:szCs w:val="13"/>
                <w:color w:val="auto"/>
              </w:rPr>
            </w:pPr>
          </w:p>
        </w:tc>
        <w:tc>
          <w:tcPr>
            <w:tcW w:w="98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98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0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w w:val="95"/>
              </w:rPr>
              <w:t>99.1</w:t>
            </w:r>
          </w:p>
        </w:tc>
        <w:tc>
          <w:tcPr>
            <w:tcW w:w="460" w:type="dxa"/>
            <w:vAlign w:val="bottom"/>
          </w:tcPr>
          <w:p>
            <w:pPr>
              <w:spacing w:after="0"/>
              <w:rPr>
                <w:sz w:val="15"/>
                <w:szCs w:val="15"/>
                <w:color w:val="auto"/>
              </w:rPr>
            </w:pPr>
          </w:p>
        </w:tc>
        <w:tc>
          <w:tcPr>
            <w:tcW w:w="5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March 14, 2023, regarding the registrant’s results for the year ended December 31, 2022</w:t>
            </w: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gridSpan w:val="2"/>
            <w:vMerge w:val="restart"/>
          </w:tcPr>
          <w:p>
            <w:pPr>
              <w:jc w:val="center"/>
              <w:ind w:left="380"/>
              <w:spacing w:after="0"/>
              <w:rPr>
                <w:sz w:val="20"/>
                <w:szCs w:val="20"/>
                <w:color w:val="auto"/>
              </w:rPr>
            </w:pPr>
            <w:r>
              <w:rPr>
                <w:rFonts w:ascii="Times New Roman" w:cs="Times New Roman" w:eastAsia="Times New Roman" w:hAnsi="Times New Roman"/>
                <w:sz w:val="12"/>
                <w:szCs w:val="12"/>
                <w:color w:val="auto"/>
                <w:w w:val="95"/>
              </w:rPr>
              <w:t>99.2</w:t>
            </w:r>
          </w:p>
        </w:tc>
        <w:tc>
          <w:tcPr>
            <w:tcW w:w="460" w:type="dxa"/>
            <w:vAlign w:val="bottom"/>
          </w:tcPr>
          <w:p>
            <w:pPr>
              <w:spacing w:after="0"/>
              <w:rPr>
                <w:sz w:val="19"/>
                <w:szCs w:val="19"/>
                <w:color w:val="auto"/>
              </w:rPr>
            </w:pPr>
          </w:p>
        </w:tc>
        <w:tc>
          <w:tcPr>
            <w:tcW w:w="2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Earnings Presentation, dated March 14, 2023</w:t>
            </w:r>
          </w:p>
        </w:tc>
        <w:tc>
          <w:tcPr>
            <w:tcW w:w="76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160" w:type="dxa"/>
            <w:vAlign w:val="bottom"/>
            <w:gridSpan w:val="2"/>
          </w:tcPr>
          <w:p>
            <w:pPr>
              <w:spacing w:after="0"/>
              <w:rPr>
                <w:sz w:val="3"/>
                <w:szCs w:val="3"/>
                <w:color w:val="auto"/>
              </w:rPr>
            </w:pPr>
          </w:p>
        </w:tc>
        <w:tc>
          <w:tcPr>
            <w:tcW w:w="7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8"/>
        </w:trPr>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3"/>
                <w:szCs w:val="13"/>
                <w:b w:val="1"/>
                <w:bCs w:val="1"/>
                <w:color w:val="auto"/>
              </w:rPr>
              <w:t>GeneDx Holdings Corp.</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27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March 14, 2023</w:t>
            </w:r>
          </w:p>
        </w:tc>
        <w:tc>
          <w:tcPr>
            <w:tcW w:w="25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Katherine Stueland</w:t>
            </w:r>
          </w:p>
        </w:tc>
      </w:tr>
      <w:tr>
        <w:trPr>
          <w:trHeight w:val="159"/>
        </w:trPr>
        <w:tc>
          <w:tcPr>
            <w:tcW w:w="6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Name:</w:t>
            </w:r>
          </w:p>
        </w:tc>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Katherine Stueland</w:t>
            </w:r>
          </w:p>
        </w:tc>
      </w:tr>
      <w:tr>
        <w:trPr>
          <w:trHeight w:val="172"/>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Title:</w:t>
            </w:r>
          </w:p>
        </w:tc>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10640"/>
          </w:cols>
          <w:pgMar w:left="500" w:top="96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GeneDx Reports Fourth Quarter and Full Year 2022 Financial Results and Business Highlights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results are in line with previously announced preliminary 2022 results; Reiterating 2023 guidance, including total revenue of $205-220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Completed financing in January 2023 with $150 million in expected proceeds; fully funded to expected profitability in 2025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GeneDx to host conference call today at 4:30 p.m. ET</w:t>
      </w:r>
    </w:p>
    <w:p>
      <w:pPr>
        <w:spacing w:after="0" w:line="159"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STAMFORD, Conn., March 14, 2023 — </w:t>
      </w:r>
      <w:r>
        <w:rPr>
          <w:rFonts w:ascii="Arial" w:cs="Arial" w:eastAsia="Arial" w:hAnsi="Arial"/>
          <w:sz w:val="12"/>
          <w:szCs w:val="12"/>
          <w:u w:val="single" w:color="auto"/>
          <w:color w:val="0000FF"/>
        </w:rPr>
        <w:t>GeneDx Holdings Corp.</w:t>
      </w:r>
      <w:r>
        <w:rPr>
          <w:rFonts w:ascii="Arial" w:cs="Arial" w:eastAsia="Arial" w:hAnsi="Arial"/>
          <w:sz w:val="12"/>
          <w:szCs w:val="12"/>
          <w:b w:val="1"/>
          <w:bCs w:val="1"/>
          <w:color w:val="auto"/>
        </w:rPr>
        <w:t xml:space="preserve"> </w:t>
      </w:r>
      <w:r>
        <w:rPr>
          <w:rFonts w:ascii="Arial" w:cs="Arial" w:eastAsia="Arial" w:hAnsi="Arial"/>
          <w:sz w:val="12"/>
          <w:szCs w:val="12"/>
          <w:color w:val="auto"/>
        </w:rPr>
        <w:t>(Nasdaq: WGS) (“GeneDx” or the “Company”), a leader in delivering improved health outcomes through genomic and clinical insights, today</w:t>
      </w:r>
      <w:r>
        <w:rPr>
          <w:rFonts w:ascii="Arial" w:cs="Arial" w:eastAsia="Arial" w:hAnsi="Arial"/>
          <w:sz w:val="12"/>
          <w:szCs w:val="12"/>
          <w:b w:val="1"/>
          <w:bCs w:val="1"/>
          <w:color w:val="auto"/>
        </w:rPr>
        <w:t xml:space="preserve"> </w:t>
      </w:r>
      <w:r>
        <w:rPr>
          <w:rFonts w:ascii="Arial" w:cs="Arial" w:eastAsia="Arial" w:hAnsi="Arial"/>
          <w:sz w:val="12"/>
          <w:szCs w:val="12"/>
          <w:color w:val="auto"/>
        </w:rPr>
        <w:t>reported its financial results for the fourth quarter and full year ended December 31, 2022.</w:t>
      </w:r>
    </w:p>
    <w:p>
      <w:pPr>
        <w:spacing w:after="0" w:line="113"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“Entering 2023 with a new corporate strategy and a focus on delivering profitable growth, our team is uniquely positioned to enable precision medicine by combining the power of scalable genomic sequence analysis with data from our Centrellis® platform,” said Katherine Stueland, Chief Executive Officer of GeneDx. “We have a significant opportunity to grow testing in pediatric rare disease, expand into the adult and newborn screening markets, and build our data information business. With our strong balance sheet following the successful closing of our recent public offering, we are fully funded through our expected profitability in 2025.”</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Business Highlights</w:t>
      </w:r>
    </w:p>
    <w:p>
      <w:pPr>
        <w:spacing w:after="0" w:line="15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Announced name change to GeneDx Holdings Corp. and began trading under new ticker (Nasdaq: WGS) in January 2023</w:t>
      </w:r>
    </w:p>
    <w:p>
      <w:pPr>
        <w:spacing w:after="0" w:line="8" w:lineRule="exact"/>
        <w:rPr>
          <w:rFonts w:ascii="Times New Roman" w:cs="Times New Roman" w:eastAsia="Times New Roman" w:hAnsi="Times New Roman"/>
          <w:sz w:val="12"/>
          <w:szCs w:val="12"/>
          <w:color w:val="auto"/>
        </w:rPr>
      </w:pPr>
    </w:p>
    <w:p>
      <w:pPr>
        <w:ind w:left="420" w:hanging="212"/>
        <w:spacing w:after="0" w:line="267" w:lineRule="auto"/>
        <w:tabs>
          <w:tab w:leader="none" w:pos="417"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Announced the closing of an underwritten public offering and concurrent registered direct offering for expected total gross proceeds of approximately $150 million in January 2023, including proceeds from the pending issuance of the additional shares in the direct offering</w:t>
      </w:r>
    </w:p>
    <w:p>
      <w:pPr>
        <w:ind w:left="420" w:hanging="212"/>
        <w:spacing w:after="0" w:line="276" w:lineRule="auto"/>
        <w:tabs>
          <w:tab w:leader="none" w:pos="417"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Announced published research underscoring the role of genetic insights demonstrating how the study of rare disease can improve understanding of the biology of common disorders and can aid in the drug discovery and development process</w:t>
      </w: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Announced presentations at the upcoming 2023 American College of Medical Genetics and Genomics (ACMG) Annual Clinical Genetics Meeting</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Full Year 2022 Business Highlights</w:t>
      </w:r>
    </w:p>
    <w:p>
      <w:pPr>
        <w:spacing w:after="0" w:line="159" w:lineRule="exact"/>
        <w:rPr>
          <w:sz w:val="20"/>
          <w:szCs w:val="20"/>
          <w:color w:val="auto"/>
        </w:rPr>
      </w:pPr>
    </w:p>
    <w:p>
      <w:pPr>
        <w:ind w:left="420" w:right="20" w:hanging="212"/>
        <w:spacing w:after="0" w:line="281" w:lineRule="auto"/>
        <w:tabs>
          <w:tab w:leader="none" w:pos="417"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Completed acquisition of GeneDx, LLC (“Legacy GeneDx”) and corporate restructuring to focus on high growth and profitability by combining scalable exome and whole genome interpretation business with Centrellis® health insights platform</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Established new management team led by Katherine Stueland as Chief Executive Officer</w:t>
      </w:r>
    </w:p>
    <w:p>
      <w:pPr>
        <w:spacing w:after="0" w:line="20" w:lineRule="exact"/>
        <w:rPr>
          <w:rFonts w:ascii="Times New Roman" w:cs="Times New Roman" w:eastAsia="Times New Roman" w:hAnsi="Times New Roman"/>
          <w:sz w:val="12"/>
          <w:szCs w:val="12"/>
          <w:color w:val="auto"/>
        </w:rPr>
      </w:pPr>
    </w:p>
    <w:p>
      <w:pPr>
        <w:ind w:left="420" w:right="400" w:hanging="212"/>
        <w:spacing w:after="0" w:line="271" w:lineRule="auto"/>
        <w:tabs>
          <w:tab w:leader="none" w:pos="417"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Announced partnership in GUARDIAN genomic newborn screening study, the largest of its kind in North America, to improve population health by identifying more than 250 preventable and treatable conditions</w:t>
      </w:r>
    </w:p>
    <w:p>
      <w:pPr>
        <w:ind w:left="420" w:right="220" w:hanging="212"/>
        <w:spacing w:after="0" w:line="226" w:lineRule="auto"/>
        <w:tabs>
          <w:tab w:leader="none" w:pos="417"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Collaborated in research that demonstrated that the use of exome or genome sequencing results in a significantly lower rate of variants of uncertain significance (VUS) compared to panel-based testing, with 30% fewer inconclusive results; research presented at the 2022 American Society of Human Genetics (ASHG) Annual Meeting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Presented results from Phase 1 of SeqFirst Study at the 2022 ASHG Annual Meeting, demonstrating broad utility of rapid whole genome sequencing for critically ill newborns</w:t>
      </w:r>
    </w:p>
    <w:p>
      <w:pPr>
        <w:sectPr>
          <w:pgSz w:w="11900" w:h="16838" w:orient="portrait"/>
          <w:cols w:equalWidth="0" w:num="1">
            <w:col w:w="11300"/>
          </w:cols>
          <w:pgMar w:left="300" w:top="136"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Arial" w:cs="Arial" w:eastAsia="Arial" w:hAnsi="Arial"/>
          <w:sz w:val="12"/>
          <w:szCs w:val="12"/>
          <w:color w:val="auto"/>
        </w:rPr>
        <w:t>Presented research on autism spectrum disorders (ASD) at the Child Neurology Society (CNS) 2022 annual meeting, underscoring the positive outcomes of exome analysis for individuals with ASD</w:t>
      </w:r>
    </w:p>
    <w:p>
      <w:pPr>
        <w:spacing w:after="0" w:line="23" w:lineRule="exact"/>
        <w:rPr>
          <w:rFonts w:ascii="Times New Roman" w:cs="Times New Roman" w:eastAsia="Times New Roman" w:hAnsi="Times New Roman"/>
          <w:sz w:val="12"/>
          <w:szCs w:val="12"/>
          <w:color w:val="auto"/>
        </w:rPr>
      </w:pPr>
    </w:p>
    <w:p>
      <w:pPr>
        <w:ind w:left="420" w:right="320" w:hanging="212"/>
        <w:spacing w:after="0" w:line="300" w:lineRule="auto"/>
        <w:tabs>
          <w:tab w:leader="none" w:pos="417" w:val="left"/>
        </w:tabs>
        <w:numPr>
          <w:ilvl w:val="0"/>
          <w:numId w:val="4"/>
        </w:numPr>
        <w:rPr>
          <w:rFonts w:ascii="Times New Roman" w:cs="Times New Roman" w:eastAsia="Times New Roman" w:hAnsi="Times New Roman"/>
          <w:sz w:val="12"/>
          <w:szCs w:val="12"/>
          <w:color w:val="auto"/>
        </w:rPr>
      </w:pPr>
      <w:r>
        <w:rPr>
          <w:rFonts w:ascii="Arial" w:cs="Arial" w:eastAsia="Arial" w:hAnsi="Arial"/>
          <w:sz w:val="12"/>
          <w:szCs w:val="12"/>
          <w:color w:val="auto"/>
        </w:rPr>
        <w:t>Presented results of study on mitochondrial diseases in newborns, supporting the addition of mitochondrial DNA testing to rapid exome sequencing to lead to earlier diagnosis and potential changes in clinical management</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“During the fourth quarter, we saw strong momentum across the pro forma continuing operations of GeneDx, particularly in whole exome sequencing, with total volume and whole exome volume increasing by 25.8% and 18.8% year-over-year, respectively. Throughout 2022, the Company delivered strong growth, and expanded pro forma adjusted gross margins to 41% for the fourth quarter of 2022. We believe our strategy to target higher value areas of the genomics market is working, and in 2023 we intend to continue to execute on our plans to improve our operational efficiency and reduce our cash burn,” said Kevin Feeley, Chief Financial Officer of GeneDx.</w:t>
      </w:r>
    </w:p>
    <w:p>
      <w:pPr>
        <w:spacing w:after="0" w:line="103" w:lineRule="exact"/>
        <w:rPr>
          <w:sz w:val="20"/>
          <w:szCs w:val="20"/>
          <w:color w:val="auto"/>
        </w:rPr>
      </w:pPr>
    </w:p>
    <w:p>
      <w:pPr>
        <w:ind w:right="140"/>
        <w:spacing w:after="0" w:line="252" w:lineRule="auto"/>
        <w:rPr>
          <w:sz w:val="20"/>
          <w:szCs w:val="20"/>
          <w:color w:val="auto"/>
        </w:rPr>
      </w:pPr>
      <w:r>
        <w:rPr>
          <w:rFonts w:ascii="Arial" w:cs="Arial" w:eastAsia="Arial" w:hAnsi="Arial"/>
          <w:sz w:val="12"/>
          <w:szCs w:val="12"/>
          <w:color w:val="auto"/>
        </w:rPr>
        <w:t>In the discussion that follows, “Legacy Sema4” refers to the businesses of the Company excluding the Legacy GeneDx business, and the “now discontinued Legacy Sema4 diagnostic testing business” refers to reproductive and women’s health testing, which we exited during the first quarter of 2023, somatic tumor testing, which we exited in the fourth quarter of 2022, and COVID-19 testing, which we discontinued in the first quarter of 2022.</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Sema4 and GeneDx Combined Company Fourth Quarter and Full Year Financial Results Including Now Discontinued Legacy Sema4 Diagnostic Testing Business</w:t>
      </w:r>
      <w:r>
        <w:rPr>
          <w:rFonts w:ascii="Arial" w:cs="Arial" w:eastAsia="Arial" w:hAnsi="Arial"/>
          <w:sz w:val="15"/>
          <w:szCs w:val="15"/>
          <w:color w:val="565454"/>
          <w:vertAlign w:val="superscript"/>
        </w:rPr>
        <w:t>1</w:t>
      </w:r>
    </w:p>
    <w:p>
      <w:pPr>
        <w:spacing w:after="0" w:line="152" w:lineRule="exact"/>
        <w:rPr>
          <w:sz w:val="20"/>
          <w:szCs w:val="20"/>
          <w:color w:val="auto"/>
        </w:rPr>
      </w:pPr>
    </w:p>
    <w:p>
      <w:pPr>
        <w:jc w:val="both"/>
        <w:ind w:right="20"/>
        <w:spacing w:after="0" w:line="291" w:lineRule="auto"/>
        <w:rPr>
          <w:sz w:val="20"/>
          <w:szCs w:val="20"/>
          <w:color w:val="auto"/>
        </w:rPr>
      </w:pPr>
      <w:r>
        <w:rPr>
          <w:rFonts w:ascii="Arial" w:cs="Arial" w:eastAsia="Arial" w:hAnsi="Arial"/>
          <w:sz w:val="12"/>
          <w:szCs w:val="12"/>
          <w:color w:val="auto"/>
        </w:rPr>
        <w:t>Combined Company results reported today for the fourth quarter of 2022 include the combination of continuing operations and the now discontinued Legacy Sema4 diagnostic testing business, and total Company results for the full year 2022 include Legacy GeneDx and its revenues and costs only for the partial year period from the closing of the acquisition of Legacy GeneDx. Accordingly, combined Company results for 2021 do not include revenues or costs from Legacy GeneDx.</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Combined Company revenue for the fourth quarter of 2022 was $61.4 million, compared to $57.8 million in the fourth quarter of 2021, representing an increase of 6.2%. Combined Company revenue for the full year of 2022 was $234.7 million, compared to $212.2 million in 2021, representing an increase of 10%.</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Total Company gross margin for the fourth quarter of 2022 was (27)%, with an adjusted gross margin of 7%</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in the quarter. Total Company gross margin for the full year of 2022 was (11)%. Adjusted gross margin for the full year of 2022 was 5%</w:t>
      </w:r>
      <w:r>
        <w:rPr>
          <w:rFonts w:ascii="Arial" w:cs="Arial" w:eastAsia="Arial" w:hAnsi="Arial"/>
          <w:sz w:val="15"/>
          <w:szCs w:val="15"/>
          <w:color w:val="auto"/>
          <w:vertAlign w:val="superscript"/>
        </w:rPr>
        <w:t>2</w:t>
      </w:r>
      <w:r>
        <w:rPr>
          <w:rFonts w:ascii="Arial" w:cs="Arial" w:eastAsia="Arial" w:hAnsi="Arial"/>
          <w:sz w:val="12"/>
          <w:szCs w:val="12"/>
          <w:color w:val="auto"/>
        </w:rPr>
        <w:t>.</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Total Company net operating loss for the fourth quarter of 2022 was ($324.8) million. Total Company adjusted net operating loss for the fourth quarter of 2022 was ($72.7) million</w:t>
      </w:r>
      <w:r>
        <w:rPr>
          <w:rFonts w:ascii="Arial" w:cs="Arial" w:eastAsia="Arial" w:hAnsi="Arial"/>
          <w:sz w:val="15"/>
          <w:szCs w:val="15"/>
          <w:color w:val="auto"/>
          <w:vertAlign w:val="superscript"/>
        </w:rPr>
        <w:t>2</w:t>
      </w:r>
      <w:r>
        <w:rPr>
          <w:rFonts w:ascii="Arial" w:cs="Arial" w:eastAsia="Arial" w:hAnsi="Arial"/>
          <w:sz w:val="12"/>
          <w:szCs w:val="12"/>
          <w:color w:val="auto"/>
        </w:rPr>
        <w:t>. Total Company net operating loss for the full year of 2022 was ($667.6) million. Total Company adjusted net operating loss for the full year of 2022 was ($326.0) million</w:t>
      </w:r>
      <w:r>
        <w:rPr>
          <w:rFonts w:ascii="Arial" w:cs="Arial" w:eastAsia="Arial" w:hAnsi="Arial"/>
          <w:sz w:val="15"/>
          <w:szCs w:val="15"/>
          <w:color w:val="auto"/>
          <w:vertAlign w:val="superscript"/>
        </w:rPr>
        <w:t>2</w:t>
      </w:r>
      <w:r>
        <w:rPr>
          <w:rFonts w:ascii="Arial" w:cs="Arial" w:eastAsia="Arial" w:hAnsi="Arial"/>
          <w:sz w:val="12"/>
          <w:szCs w:val="12"/>
          <w:color w:val="auto"/>
        </w:rPr>
        <w:t>.Total cash and cash equivalents and restricted cash were $138.3 million as of December 31, 2022.</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GeneDx Pro Forma Fourth Quarter and Full Year Financial Results from Continuing Operations</w:t>
      </w:r>
      <w:r>
        <w:rPr>
          <w:rFonts w:ascii="Arial" w:cs="Arial" w:eastAsia="Arial" w:hAnsi="Arial"/>
          <w:sz w:val="15"/>
          <w:szCs w:val="15"/>
          <w:color w:val="565454"/>
          <w:vertAlign w:val="superscript"/>
        </w:rPr>
        <w:t>1</w:t>
      </w:r>
    </w:p>
    <w:p>
      <w:pPr>
        <w:spacing w:after="0" w:line="143"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Pro forma results from continuing operations for GeneDx reported today include the combination of Legacy GeneDx and only the data and information business of Legacy Sema4, and assume Legacy GeneDx was owned for the entirety of 2022 and 2021. Continuing operations exclude revenues and costs from the now discontinued Legacy Sema4 disagnostics testing business.</w:t>
      </w:r>
    </w:p>
    <w:p>
      <w:pPr>
        <w:sectPr>
          <w:pgSz w:w="11900" w:h="16838" w:orient="portrait"/>
          <w:cols w:equalWidth="0" w:num="1">
            <w:col w:w="11300"/>
          </w:cols>
          <w:pgMar w:left="300" w:top="136"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8"/>
        <w:spacing w:after="0" w:line="317" w:lineRule="auto"/>
        <w:rPr>
          <w:sz w:val="20"/>
          <w:szCs w:val="20"/>
          <w:color w:val="auto"/>
        </w:rPr>
      </w:pPr>
      <w:r>
        <w:rPr>
          <w:rFonts w:ascii="Arial" w:cs="Arial" w:eastAsia="Arial" w:hAnsi="Arial"/>
          <w:sz w:val="12"/>
          <w:szCs w:val="12"/>
          <w:color w:val="auto"/>
        </w:rPr>
        <w:t>Pro forma revenues from continuing operations for the fourth quarter of 2022 was $45.8 million, compared to $34.7 million in the fourth quarter of 2021, representing an increase of 32%. Pro forma revenues from continuing operations for the full year of 2022 was $171.0 million, compared to $123.7 million in 2021, representing an increase of 38%.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color w:val="auto"/>
        </w:rPr>
        <w:t>Pro forma adjusted gross margin from continuing operations in the fourth quarter of 2022 was 41%. Pro forma adjusted gross margin for the full year of 2022 was 39%</w:t>
      </w:r>
      <w:r>
        <w:rPr>
          <w:rFonts w:ascii="Arial" w:cs="Arial" w:eastAsia="Arial" w:hAnsi="Arial"/>
          <w:sz w:val="15"/>
          <w:szCs w:val="15"/>
          <w:color w:val="565454"/>
          <w:vertAlign w:val="superscript"/>
        </w:rPr>
        <w:t>2</w:t>
      </w:r>
      <w:r>
        <w:rPr>
          <w:rFonts w:ascii="Arial" w:cs="Arial" w:eastAsia="Arial" w:hAnsi="Arial"/>
          <w:sz w:val="12"/>
          <w:szCs w:val="12"/>
          <w:color w:val="auto"/>
        </w:rPr>
        <w:t>.</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Full Year 2023 Guidance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GeneDx is reiterating its previously issued full year 2023 guidance.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continuing operations of GeneDx, excluding revenues and direct costs from the now discontinued Legacy Sema4 diagnostic testing business, are expected to:</w:t>
      </w:r>
    </w:p>
    <w:p>
      <w:pPr>
        <w:spacing w:after="0" w:line="140" w:lineRule="exact"/>
        <w:rPr>
          <w:sz w:val="20"/>
          <w:szCs w:val="20"/>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Generate revenues between $205 to $220 million for full year 2023;</w:t>
      </w:r>
    </w:p>
    <w:p>
      <w:pPr>
        <w:ind w:left="428" w:hanging="212"/>
        <w:spacing w:after="0" w:line="202" w:lineRule="auto"/>
        <w:tabs>
          <w:tab w:leader="none" w:pos="42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Expand gross margin profile in 2023 and beyond;</w:t>
      </w:r>
    </w:p>
    <w:p>
      <w:pPr>
        <w:ind w:left="428" w:hanging="212"/>
        <w:spacing w:after="0" w:line="210" w:lineRule="auto"/>
        <w:tabs>
          <w:tab w:leader="none" w:pos="425"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Use $95 to$110 million of net cash in 2023 for continuing operations. Inclusive of servicing obligations of the exited business activities, the Company’s cash burn in 2023 is expected to be in the range of $130 to $145 million; and</w:t>
      </w:r>
    </w:p>
    <w:p>
      <w:pPr>
        <w:spacing w:after="0" w:line="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Turn profitable in 2025.</w:t>
      </w:r>
    </w:p>
    <w:p>
      <w:pPr>
        <w:spacing w:after="0" w:line="128" w:lineRule="exact"/>
        <w:rPr>
          <w:sz w:val="20"/>
          <w:szCs w:val="20"/>
          <w:color w:val="auto"/>
        </w:rPr>
      </w:pPr>
    </w:p>
    <w:p>
      <w:pPr>
        <w:jc w:val="both"/>
        <w:ind w:left="8" w:hanging="8"/>
        <w:spacing w:after="0" w:line="236" w:lineRule="auto"/>
        <w:tabs>
          <w:tab w:leader="none" w:pos="93" w:val="left"/>
        </w:tabs>
        <w:numPr>
          <w:ilvl w:val="0"/>
          <w:numId w:val="6"/>
        </w:numPr>
        <w:rPr>
          <w:rFonts w:ascii="Arial" w:cs="Arial" w:eastAsia="Arial" w:hAnsi="Arial"/>
          <w:sz w:val="16"/>
          <w:szCs w:val="16"/>
          <w:color w:val="565454"/>
          <w:vertAlign w:val="superscript"/>
        </w:rPr>
      </w:pPr>
      <w:r>
        <w:rPr>
          <w:rFonts w:ascii="Arial" w:cs="Arial" w:eastAsia="Arial" w:hAnsi="Arial"/>
          <w:sz w:val="12"/>
          <w:szCs w:val="12"/>
          <w:color w:val="565454"/>
        </w:rPr>
        <w:t>The pro forma unadjusted and adjusted results from continuing operations for 2022 and the comparable results for 2021 are presented on a pro forma basis assuming Legacy GeneDx and the Company were combined for the entirety of 2021 and 2022 and exclude the revenues and costs from the now discontinued Legacy Sema4 diagnostic testing business, and include the combination of the Legacy GeneDx diagnostic business revenues and costs with the data and information revenues and associated costs derived from the Legacy Sema4 business. Actual total Company results include the results of the Legacy GeneDx business only from the date of the Company’s acquisition of Legacy GeneDx on April 29, 2022, the purchase accounting associated with the acquisition of Legacy GeneDx, and also include the financial impacts of exited Legacy Sema4 business activities for the full year.</w:t>
      </w:r>
    </w:p>
    <w:p>
      <w:pPr>
        <w:spacing w:after="0" w:line="115" w:lineRule="exact"/>
        <w:rPr>
          <w:sz w:val="20"/>
          <w:szCs w:val="20"/>
          <w:color w:val="auto"/>
        </w:rPr>
      </w:pPr>
    </w:p>
    <w:p>
      <w:pPr>
        <w:ind w:left="68" w:hanging="68"/>
        <w:spacing w:after="0"/>
        <w:tabs>
          <w:tab w:leader="none" w:pos="68" w:val="left"/>
        </w:tabs>
        <w:numPr>
          <w:ilvl w:val="0"/>
          <w:numId w:val="7"/>
        </w:numPr>
        <w:rPr>
          <w:rFonts w:ascii="Arial" w:cs="Arial" w:eastAsia="Arial" w:hAnsi="Arial"/>
          <w:sz w:val="16"/>
          <w:szCs w:val="16"/>
          <w:color w:val="565454"/>
          <w:vertAlign w:val="superscript"/>
        </w:rPr>
      </w:pPr>
      <w:r>
        <w:rPr>
          <w:rFonts w:ascii="Arial" w:cs="Arial" w:eastAsia="Arial" w:hAnsi="Arial"/>
          <w:sz w:val="12"/>
          <w:szCs w:val="12"/>
          <w:color w:val="565454"/>
        </w:rPr>
        <w:t>Adjusted gross margin and adjusted net loss are non-GAAP financial measures. See appendix for a reconciliation of GAAP to Non-GAAP figures presented.</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Webcast and Conference Call Details</w:t>
      </w:r>
    </w:p>
    <w:p>
      <w:pPr>
        <w:spacing w:after="0" w:line="141" w:lineRule="exact"/>
        <w:rPr>
          <w:sz w:val="20"/>
          <w:szCs w:val="20"/>
          <w:color w:val="auto"/>
        </w:rPr>
      </w:pPr>
    </w:p>
    <w:p>
      <w:pPr>
        <w:ind w:left="8" w:right="100"/>
        <w:spacing w:after="0" w:line="254" w:lineRule="auto"/>
        <w:rPr>
          <w:sz w:val="20"/>
          <w:szCs w:val="20"/>
          <w:color w:val="auto"/>
        </w:rPr>
      </w:pPr>
      <w:r>
        <w:rPr>
          <w:rFonts w:ascii="Arial" w:cs="Arial" w:eastAsia="Arial" w:hAnsi="Arial"/>
          <w:sz w:val="12"/>
          <w:szCs w:val="12"/>
          <w:color w:val="auto"/>
        </w:rPr>
        <w:t>GeneDx will host a conference call today, March 14, 2023, at 4:30 p.m.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2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50" w:lineRule="exact"/>
        <w:rPr>
          <w:sz w:val="20"/>
          <w:szCs w:val="20"/>
          <w:color w:val="auto"/>
        </w:rPr>
      </w:pPr>
    </w:p>
    <w:p>
      <w:pPr>
        <w:jc w:val="both"/>
        <w:ind w:left="8"/>
        <w:spacing w:after="0" w:line="215" w:lineRule="auto"/>
        <w:rPr>
          <w:sz w:val="20"/>
          <w:szCs w:val="20"/>
          <w:color w:val="auto"/>
        </w:rPr>
      </w:pPr>
      <w:r>
        <w:rPr>
          <w:rFonts w:ascii="Arial" w:cs="Arial" w:eastAsia="Arial" w:hAnsi="Arial"/>
          <w:sz w:val="12"/>
          <w:szCs w:val="12"/>
          <w:color w:val="auto"/>
        </w:rPr>
        <w:t>This press release contains certain forward-looking statements within the meaning of the federal securities laws, including statements regarding our future performance and our market opportunity, including our expected full year 2023 reported revenue guidance, our expectations regarding our gross margin profile in 2023 and beyond, our use of cash for continuing operations and our cash burn in 2023 and our turning profitable in 2025, our expectations for our growth and future investment in our business, our expectations regarding our plans to pursue new strategic direction, improve our operational efficiency and reduce our</w:t>
      </w:r>
    </w:p>
    <w:p>
      <w:pPr>
        <w:spacing w:after="0" w:line="1" w:lineRule="exact"/>
        <w:rPr>
          <w:sz w:val="20"/>
          <w:szCs w:val="20"/>
          <w:color w:val="auto"/>
        </w:rPr>
      </w:pPr>
    </w:p>
    <w:p>
      <w:pPr>
        <w:jc w:val="both"/>
        <w:ind w:left="8"/>
        <w:spacing w:after="0" w:line="220" w:lineRule="auto"/>
        <w:rPr>
          <w:sz w:val="20"/>
          <w:szCs w:val="20"/>
          <w:color w:val="auto"/>
        </w:rPr>
      </w:pPr>
      <w:r>
        <w:rPr>
          <w:rFonts w:ascii="Arial" w:cs="Arial" w:eastAsia="Arial" w:hAnsi="Arial"/>
          <w:sz w:val="12"/>
          <w:szCs w:val="12"/>
          <w:color w:val="auto"/>
        </w:rPr>
        <w:t>cash burn and our ability to scale to profitability, the associated cost savings of our business exits and impact on our gross margins.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w:t>
      </w:r>
    </w:p>
    <w:p>
      <w:pPr>
        <w:sectPr>
          <w:pgSz w:w="11900" w:h="16838" w:orient="portrait"/>
          <w:cols w:equalWidth="0" w:num="1">
            <w:col w:w="11308"/>
          </w:cols>
          <w:pgMar w:left="292" w:top="136"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21" w:lineRule="auto"/>
        <w:rPr>
          <w:sz w:val="20"/>
          <w:szCs w:val="20"/>
          <w:color w:val="auto"/>
        </w:rPr>
      </w:pPr>
      <w:r>
        <w:rPr>
          <w:rFonts w:ascii="Arial" w:cs="Arial" w:eastAsia="Arial" w:hAnsi="Arial"/>
          <w:sz w:val="12"/>
          <w:szCs w:val="12"/>
          <w:color w:val="auto"/>
        </w:rPr>
        <w:t>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which we operate, and (iv) our ability to pursue our new strategic direction. The foregoing list of factors is not exhaustive. You should carefully consider the foregoing factors and the other risks and uncertainties described in the “Risk Factors” section of our Annual Report on Form 10-K for the fiscal year ended December 31, 2021, filed with the U.S. Securities and Exchange Commission (the “SEC”) on March 14, 2022, and other documents filed by us from time to time with the SEC. These filings identify and address other important risks and uncertainties that could cause actual events and results to differ materially from those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GeneDx</w:t>
      </w:r>
    </w:p>
    <w:p>
      <w:pPr>
        <w:spacing w:after="0" w:line="141" w:lineRule="exact"/>
        <w:rPr>
          <w:sz w:val="20"/>
          <w:szCs w:val="20"/>
          <w:color w:val="auto"/>
        </w:rPr>
      </w:pPr>
    </w:p>
    <w:p>
      <w:pPr>
        <w:jc w:val="both"/>
        <w:spacing w:after="0" w:line="221" w:lineRule="auto"/>
        <w:rPr>
          <w:sz w:val="20"/>
          <w:szCs w:val="20"/>
          <w:color w:val="auto"/>
        </w:rPr>
      </w:pPr>
      <w:r>
        <w:rPr>
          <w:rFonts w:ascii="Arial" w:cs="Arial" w:eastAsia="Arial" w:hAnsi="Arial"/>
          <w:sz w:val="12"/>
          <w:szCs w:val="12"/>
          <w:color w:val="auto"/>
        </w:rPr>
        <w:t>GeneDx (Nasdaq: WGS) delivers personalized and actionable health insights to inform diagnosis, direct treatment and improve drug discovery. The Company is uniquely positioned to accelerate the use of genomic and large-scale clinical information to enable precision medicine as the standard of care. GeneDx is at the forefront of transforming healthcare through its industry-leading exome and genome testing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interpretation, fueled by one of the world’s largest rare disease data sets. For more information, please visit </w:t>
      </w:r>
      <w:r>
        <w:rPr>
          <w:rFonts w:ascii="Arial" w:cs="Arial" w:eastAsia="Arial" w:hAnsi="Arial"/>
          <w:sz w:val="12"/>
          <w:szCs w:val="12"/>
          <w:u w:val="single" w:color="auto"/>
          <w:color w:val="0000FF"/>
        </w:rPr>
        <w:t>genedx.com</w:t>
      </w:r>
      <w:r>
        <w:rPr>
          <w:rFonts w:ascii="Arial" w:cs="Arial" w:eastAsia="Arial" w:hAnsi="Arial"/>
          <w:sz w:val="12"/>
          <w:szCs w:val="12"/>
          <w:color w:val="auto"/>
        </w:rPr>
        <w:t xml:space="preserve"> and connect with us on </w:t>
      </w:r>
      <w:r>
        <w:rPr>
          <w:rFonts w:ascii="Arial" w:cs="Arial" w:eastAsia="Arial" w:hAnsi="Arial"/>
          <w:sz w:val="12"/>
          <w:szCs w:val="12"/>
          <w:u w:val="single" w:color="auto"/>
          <w:color w:val="0000FF"/>
        </w:rPr>
        <w:t>LinkedIn</w:t>
      </w:r>
      <w:r>
        <w:rPr>
          <w:rFonts w:ascii="Arial" w:cs="Arial" w:eastAsia="Arial" w:hAnsi="Arial"/>
          <w:sz w:val="12"/>
          <w:szCs w:val="12"/>
          <w:color w:val="auto"/>
        </w:rPr>
        <w:t xml:space="preserve">, </w:t>
      </w:r>
      <w:r>
        <w:rPr>
          <w:rFonts w:ascii="Arial" w:cs="Arial" w:eastAsia="Arial" w:hAnsi="Arial"/>
          <w:sz w:val="12"/>
          <w:szCs w:val="12"/>
          <w:u w:val="single" w:color="auto"/>
          <w:color w:val="0000FF"/>
        </w:rPr>
        <w:t>Facebook</w:t>
      </w:r>
      <w:r>
        <w:rPr>
          <w:rFonts w:ascii="Arial" w:cs="Arial" w:eastAsia="Arial" w:hAnsi="Arial"/>
          <w:sz w:val="12"/>
          <w:szCs w:val="12"/>
          <w:color w:val="auto"/>
        </w:rPr>
        <w:t xml:space="preserve">, and </w:t>
      </w:r>
      <w:r>
        <w:rPr>
          <w:rFonts w:ascii="Arial" w:cs="Arial" w:eastAsia="Arial" w:hAnsi="Arial"/>
          <w:sz w:val="12"/>
          <w:szCs w:val="12"/>
          <w:u w:val="single" w:color="auto"/>
          <w:color w:val="0000FF"/>
        </w:rPr>
        <w:t>Instagram</w:t>
      </w:r>
      <w:r>
        <w:rPr>
          <w:rFonts w:ascii="Arial" w:cs="Arial" w:eastAsia="Arial" w:hAnsi="Arial"/>
          <w:sz w:val="12"/>
          <w:szCs w:val="12"/>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 Contact:</w:t>
      </w:r>
    </w:p>
    <w:p>
      <w:pPr>
        <w:spacing w:after="0" w:line="219" w:lineRule="auto"/>
        <w:rPr>
          <w:sz w:val="20"/>
          <w:szCs w:val="20"/>
          <w:color w:val="auto"/>
        </w:rPr>
      </w:pPr>
      <w:r>
        <w:rPr>
          <w:rFonts w:ascii="Arial" w:cs="Arial" w:eastAsia="Arial" w:hAnsi="Arial"/>
          <w:sz w:val="12"/>
          <w:szCs w:val="12"/>
          <w:color w:val="auto"/>
        </w:rPr>
        <w:t>Tricia Truehart</w:t>
      </w:r>
    </w:p>
    <w:p>
      <w:pPr>
        <w:spacing w:after="0"/>
        <w:rPr>
          <w:sz w:val="20"/>
          <w:szCs w:val="20"/>
          <w:color w:val="auto"/>
        </w:rPr>
      </w:pPr>
      <w:r>
        <w:rPr>
          <w:rFonts w:ascii="Arial" w:cs="Arial" w:eastAsia="Arial" w:hAnsi="Arial"/>
          <w:sz w:val="12"/>
          <w:szCs w:val="12"/>
          <w:color w:val="auto"/>
        </w:rPr>
        <w:t>Investors@GeneDx.com</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220" w:lineRule="auto"/>
        <w:rPr>
          <w:sz w:val="20"/>
          <w:szCs w:val="20"/>
          <w:color w:val="auto"/>
        </w:rPr>
      </w:pPr>
      <w:r>
        <w:rPr>
          <w:rFonts w:ascii="Arial" w:cs="Arial" w:eastAsia="Arial" w:hAnsi="Arial"/>
          <w:sz w:val="12"/>
          <w:szCs w:val="12"/>
          <w:color w:val="auto"/>
        </w:rPr>
        <w:t>Stephanie Kahan</w:t>
      </w:r>
    </w:p>
    <w:p>
      <w:pPr>
        <w:spacing w:after="0" w:line="198" w:lineRule="auto"/>
        <w:rPr>
          <w:sz w:val="20"/>
          <w:szCs w:val="20"/>
          <w:color w:val="auto"/>
        </w:rPr>
      </w:pPr>
      <w:r>
        <w:rPr>
          <w:rFonts w:ascii="Calibri" w:cs="Calibri" w:eastAsia="Calibri" w:hAnsi="Calibri"/>
          <w:sz w:val="13"/>
          <w:szCs w:val="13"/>
          <w:color w:val="auto"/>
        </w:rPr>
        <w:t>Press@GeneDx.com</w:t>
      </w:r>
    </w:p>
    <w:p>
      <w:pPr>
        <w:sectPr>
          <w:pgSz w:w="11900" w:h="16838" w:orient="portrait"/>
          <w:cols w:equalWidth="0" w:num="1">
            <w:col w:w="11300"/>
          </w:cols>
          <w:pgMar w:left="300" w:top="136" w:right="299" w:bottom="1440" w:gutter="0" w:footer="0" w:header="0"/>
        </w:sectPr>
      </w:pPr>
    </w:p>
    <w:bookmarkStart w:id="7" w:name="page8"/>
    <w:bookmarkEnd w:id="7"/>
    <w:p>
      <w:pPr>
        <w:ind w:left="10660"/>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20"/>
        <w:spacing w:after="0" w:line="225" w:lineRule="auto"/>
        <w:rPr>
          <w:sz w:val="20"/>
          <w:szCs w:val="20"/>
          <w:color w:val="auto"/>
        </w:rPr>
      </w:pPr>
      <w:r>
        <w:rPr>
          <w:rFonts w:ascii="Times New Roman" w:cs="Times New Roman" w:eastAsia="Times New Roman" w:hAnsi="Times New Roman"/>
          <w:sz w:val="11"/>
          <w:szCs w:val="11"/>
          <w:color w:val="auto"/>
        </w:rPr>
        <w:t>Pro forma select volume and revenue from Continuing Operations in the table below assumes Legacy GeneDx was owned for the entirety of the applicable quarter(s) and are calculated based on the construct of our continuing operations inclusive of Legacy GeneDx combined with data revenues and associated costs from Legacy Sema4. Pro forma select metrics are presented for illustrative purposes only and are not necessarily indicative of the results that would have occurred had the GeneDx acquisition been completed on such dates or that may occur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 Forma Select GeneDx Volume &amp; Revenue from Continuing Operations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4400" w:type="dxa"/>
            <w:vAlign w:val="bottom"/>
            <w:tcBorders>
              <w:top w:val="single" w:sz="8" w:color="auto"/>
              <w:left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0"/>
              </w:rPr>
              <w:t>4Q21</w:t>
            </w:r>
          </w:p>
        </w:tc>
        <w:tc>
          <w:tcPr>
            <w:tcW w:w="1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1Q22</w:t>
            </w:r>
          </w:p>
        </w:tc>
        <w:tc>
          <w:tcPr>
            <w:tcW w:w="12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2Q22</w:t>
            </w:r>
          </w:p>
        </w:tc>
        <w:tc>
          <w:tcPr>
            <w:tcW w:w="16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3Q22</w:t>
            </w:r>
          </w:p>
        </w:tc>
        <w:tc>
          <w:tcPr>
            <w:tcW w:w="1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4Q22</w:t>
            </w:r>
          </w:p>
        </w:tc>
      </w:tr>
      <w:tr>
        <w:trPr>
          <w:trHeight w:val="37"/>
        </w:trPr>
        <w:tc>
          <w:tcPr>
            <w:tcW w:w="4400" w:type="dxa"/>
            <w:vAlign w:val="bottom"/>
            <w:tcBorders>
              <w:left w:val="single" w:sz="8" w:color="auto"/>
              <w:right w:val="single" w:sz="8" w:color="auto"/>
            </w:tcBorders>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r>
      <w:tr>
        <w:trPr>
          <w:trHeight w:val="151"/>
        </w:trPr>
        <w:tc>
          <w:tcPr>
            <w:tcW w:w="44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1"/>
                <w:szCs w:val="11"/>
                <w:b w:val="1"/>
                <w:bCs w:val="1"/>
                <w:color w:val="auto"/>
              </w:rPr>
              <w:t>Volumes</w:t>
            </w:r>
          </w:p>
        </w:tc>
        <w:tc>
          <w:tcPr>
            <w:tcW w:w="1600" w:type="dxa"/>
            <w:vAlign w:val="bottom"/>
            <w:tcBorders>
              <w:bottom w:val="single" w:sz="8" w:color="E7E6E6"/>
              <w:right w:val="single" w:sz="8" w:color="auto"/>
            </w:tcBorders>
            <w:shd w:val="clear" w:color="auto" w:fill="E7E6E6"/>
          </w:tcPr>
          <w:p>
            <w:pPr>
              <w:spacing w:after="0"/>
              <w:rPr>
                <w:sz w:val="13"/>
                <w:szCs w:val="13"/>
                <w:color w:val="auto"/>
              </w:rPr>
            </w:pPr>
          </w:p>
        </w:tc>
        <w:tc>
          <w:tcPr>
            <w:tcW w:w="1220" w:type="dxa"/>
            <w:vAlign w:val="bottom"/>
            <w:tcBorders>
              <w:bottom w:val="single" w:sz="8" w:color="E7E6E6"/>
              <w:right w:val="single" w:sz="8" w:color="auto"/>
            </w:tcBorders>
            <w:shd w:val="clear" w:color="auto" w:fill="E7E6E6"/>
          </w:tcPr>
          <w:p>
            <w:pPr>
              <w:spacing w:after="0"/>
              <w:rPr>
                <w:sz w:val="13"/>
                <w:szCs w:val="13"/>
                <w:color w:val="auto"/>
              </w:rPr>
            </w:pPr>
          </w:p>
        </w:tc>
        <w:tc>
          <w:tcPr>
            <w:tcW w:w="1200" w:type="dxa"/>
            <w:vAlign w:val="bottom"/>
            <w:tcBorders>
              <w:bottom w:val="single" w:sz="8" w:color="E7E6E6"/>
              <w:right w:val="single" w:sz="8" w:color="auto"/>
            </w:tcBorders>
            <w:shd w:val="clear" w:color="auto" w:fill="E7E6E6"/>
          </w:tcPr>
          <w:p>
            <w:pPr>
              <w:spacing w:after="0"/>
              <w:rPr>
                <w:sz w:val="13"/>
                <w:szCs w:val="13"/>
                <w:color w:val="auto"/>
              </w:rPr>
            </w:pPr>
          </w:p>
        </w:tc>
        <w:tc>
          <w:tcPr>
            <w:tcW w:w="1680" w:type="dxa"/>
            <w:vAlign w:val="bottom"/>
            <w:tcBorders>
              <w:bottom w:val="single" w:sz="8" w:color="E7E6E6"/>
              <w:right w:val="single" w:sz="8" w:color="auto"/>
            </w:tcBorders>
            <w:shd w:val="clear" w:color="auto" w:fill="E7E6E6"/>
          </w:tcPr>
          <w:p>
            <w:pPr>
              <w:spacing w:after="0"/>
              <w:rPr>
                <w:sz w:val="13"/>
                <w:szCs w:val="13"/>
                <w:color w:val="auto"/>
              </w:rPr>
            </w:pPr>
          </w:p>
        </w:tc>
        <w:tc>
          <w:tcPr>
            <w:tcW w:w="1220" w:type="dxa"/>
            <w:vAlign w:val="bottom"/>
            <w:tcBorders>
              <w:bottom w:val="single" w:sz="8" w:color="E7E6E6"/>
              <w:right w:val="single" w:sz="8" w:color="auto"/>
            </w:tcBorders>
            <w:shd w:val="clear" w:color="auto" w:fill="E7E6E6"/>
          </w:tcPr>
          <w:p>
            <w:pPr>
              <w:spacing w:after="0"/>
              <w:rPr>
                <w:sz w:val="13"/>
                <w:szCs w:val="13"/>
                <w:color w:val="auto"/>
              </w:rPr>
            </w:pPr>
          </w:p>
        </w:tc>
      </w:tr>
      <w:tr>
        <w:trPr>
          <w:trHeight w:val="134"/>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Whole Exome, Whole Genome</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6,619</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7,397</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7,579</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7,722</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7,862</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Exome based Panels</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2,725</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2,630</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3,141</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2,983</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3,013</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Hereditary Cancer</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3,938</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6,429</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7,391</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5,445</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6,069</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Other individual gene tests and mult-gene disease panels</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25,550</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24,610</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27,446</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28,764</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31,891</w:t>
            </w:r>
          </w:p>
        </w:tc>
      </w:tr>
      <w:tr>
        <w:trPr>
          <w:trHeight w:val="37"/>
        </w:trPr>
        <w:tc>
          <w:tcPr>
            <w:tcW w:w="440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123"/>
        </w:trPr>
        <w:tc>
          <w:tcPr>
            <w:tcW w:w="4400" w:type="dxa"/>
            <w:vAlign w:val="bottom"/>
            <w:tcBorders>
              <w:left w:val="single" w:sz="8" w:color="auto"/>
              <w:right w:val="single" w:sz="8" w:color="auto"/>
            </w:tcBorders>
          </w:tcPr>
          <w:p>
            <w:pPr>
              <w:ind w:left="40"/>
              <w:spacing w:after="0" w:line="123" w:lineRule="exact"/>
              <w:rPr>
                <w:sz w:val="20"/>
                <w:szCs w:val="20"/>
                <w:color w:val="auto"/>
              </w:rPr>
            </w:pPr>
            <w:r>
              <w:rPr>
                <w:rFonts w:ascii="Calibri" w:cs="Calibri" w:eastAsia="Calibri" w:hAnsi="Calibri"/>
                <w:sz w:val="11"/>
                <w:szCs w:val="11"/>
                <w:color w:val="auto"/>
              </w:rPr>
              <w:t>Total</w:t>
            </w:r>
          </w:p>
        </w:tc>
        <w:tc>
          <w:tcPr>
            <w:tcW w:w="16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38,832</w:t>
            </w:r>
          </w:p>
        </w:tc>
        <w:tc>
          <w:tcPr>
            <w:tcW w:w="12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41,066</w:t>
            </w:r>
          </w:p>
        </w:tc>
        <w:tc>
          <w:tcPr>
            <w:tcW w:w="12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rPr>
              <w:t>45,557</w:t>
            </w:r>
          </w:p>
        </w:tc>
        <w:tc>
          <w:tcPr>
            <w:tcW w:w="16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44,914</w:t>
            </w:r>
          </w:p>
        </w:tc>
        <w:tc>
          <w:tcPr>
            <w:tcW w:w="12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48,835</w:t>
            </w:r>
          </w:p>
        </w:tc>
      </w:tr>
      <w:tr>
        <w:trPr>
          <w:trHeight w:val="44"/>
        </w:trPr>
        <w:tc>
          <w:tcPr>
            <w:tcW w:w="440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171"/>
        </w:trPr>
        <w:tc>
          <w:tcPr>
            <w:tcW w:w="4400" w:type="dxa"/>
            <w:vAlign w:val="bottom"/>
            <w:tcBorders>
              <w:left w:val="single" w:sz="8" w:color="auto"/>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r>
      <w:tr>
        <w:trPr>
          <w:trHeight w:val="151"/>
        </w:trPr>
        <w:tc>
          <w:tcPr>
            <w:tcW w:w="44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1"/>
                <w:szCs w:val="11"/>
                <w:b w:val="1"/>
                <w:bCs w:val="1"/>
                <w:color w:val="auto"/>
              </w:rPr>
              <w:t>Revenue</w:t>
            </w:r>
          </w:p>
        </w:tc>
        <w:tc>
          <w:tcPr>
            <w:tcW w:w="1600" w:type="dxa"/>
            <w:vAlign w:val="bottom"/>
            <w:tcBorders>
              <w:bottom w:val="single" w:sz="8" w:color="E7E6E6"/>
              <w:right w:val="single" w:sz="8" w:color="auto"/>
            </w:tcBorders>
            <w:shd w:val="clear" w:color="auto" w:fill="E7E6E6"/>
          </w:tcPr>
          <w:p>
            <w:pPr>
              <w:spacing w:after="0"/>
              <w:rPr>
                <w:sz w:val="13"/>
                <w:szCs w:val="13"/>
                <w:color w:val="auto"/>
              </w:rPr>
            </w:pPr>
          </w:p>
        </w:tc>
        <w:tc>
          <w:tcPr>
            <w:tcW w:w="1220" w:type="dxa"/>
            <w:vAlign w:val="bottom"/>
            <w:tcBorders>
              <w:bottom w:val="single" w:sz="8" w:color="E7E6E6"/>
              <w:right w:val="single" w:sz="8" w:color="auto"/>
            </w:tcBorders>
            <w:shd w:val="clear" w:color="auto" w:fill="E7E6E6"/>
          </w:tcPr>
          <w:p>
            <w:pPr>
              <w:spacing w:after="0"/>
              <w:rPr>
                <w:sz w:val="13"/>
                <w:szCs w:val="13"/>
                <w:color w:val="auto"/>
              </w:rPr>
            </w:pPr>
          </w:p>
        </w:tc>
        <w:tc>
          <w:tcPr>
            <w:tcW w:w="1200" w:type="dxa"/>
            <w:vAlign w:val="bottom"/>
            <w:tcBorders>
              <w:bottom w:val="single" w:sz="8" w:color="E7E6E6"/>
              <w:right w:val="single" w:sz="8" w:color="auto"/>
            </w:tcBorders>
            <w:shd w:val="clear" w:color="auto" w:fill="E7E6E6"/>
          </w:tcPr>
          <w:p>
            <w:pPr>
              <w:spacing w:after="0"/>
              <w:rPr>
                <w:sz w:val="13"/>
                <w:szCs w:val="13"/>
                <w:color w:val="auto"/>
              </w:rPr>
            </w:pPr>
          </w:p>
        </w:tc>
        <w:tc>
          <w:tcPr>
            <w:tcW w:w="1680" w:type="dxa"/>
            <w:vAlign w:val="bottom"/>
            <w:tcBorders>
              <w:bottom w:val="single" w:sz="8" w:color="E7E6E6"/>
              <w:right w:val="single" w:sz="8" w:color="auto"/>
            </w:tcBorders>
            <w:shd w:val="clear" w:color="auto" w:fill="E7E6E6"/>
          </w:tcPr>
          <w:p>
            <w:pPr>
              <w:spacing w:after="0"/>
              <w:rPr>
                <w:sz w:val="13"/>
                <w:szCs w:val="13"/>
                <w:color w:val="auto"/>
              </w:rPr>
            </w:pPr>
          </w:p>
        </w:tc>
        <w:tc>
          <w:tcPr>
            <w:tcW w:w="1220" w:type="dxa"/>
            <w:vAlign w:val="bottom"/>
            <w:tcBorders>
              <w:bottom w:val="single" w:sz="8" w:color="E7E6E6"/>
              <w:right w:val="single" w:sz="8" w:color="auto"/>
            </w:tcBorders>
            <w:shd w:val="clear" w:color="auto" w:fill="E7E6E6"/>
          </w:tcPr>
          <w:p>
            <w:pPr>
              <w:spacing w:after="0"/>
              <w:rPr>
                <w:sz w:val="13"/>
                <w:szCs w:val="13"/>
                <w:color w:val="auto"/>
              </w:rPr>
            </w:pPr>
          </w:p>
        </w:tc>
      </w:tr>
      <w:tr>
        <w:trPr>
          <w:trHeight w:val="134"/>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Whole Exome, Whole Genome</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$15.3</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$18.4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$21.1</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$24.0</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$23.3</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Exome based Panels</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$1.9</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$2.4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$2.4</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$2.3</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$2.0</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Hereditary Cancer</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$2.4</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$2.8</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$3.8</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$3.5</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$4.4</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Other individual gene tests and mult-gene disease panels</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$12.4</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$12.8</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$10.5</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$15.6</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$14.3</w:t>
            </w:r>
          </w:p>
        </w:tc>
      </w:tr>
      <w:tr>
        <w:trPr>
          <w:trHeight w:val="171"/>
        </w:trPr>
        <w:tc>
          <w:tcPr>
            <w:tcW w:w="44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Data Informaton</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$2.6</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$1.6</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$2.3</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$1.8</w:t>
            </w:r>
          </w:p>
        </w:tc>
        <w:tc>
          <w:tcPr>
            <w:tcW w:w="12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$1.9</w:t>
            </w:r>
          </w:p>
        </w:tc>
      </w:tr>
      <w:tr>
        <w:trPr>
          <w:trHeight w:val="37"/>
        </w:trPr>
        <w:tc>
          <w:tcPr>
            <w:tcW w:w="440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123"/>
        </w:trPr>
        <w:tc>
          <w:tcPr>
            <w:tcW w:w="4400" w:type="dxa"/>
            <w:vAlign w:val="bottom"/>
            <w:tcBorders>
              <w:left w:val="single" w:sz="8" w:color="auto"/>
              <w:right w:val="single" w:sz="8" w:color="auto"/>
            </w:tcBorders>
          </w:tcPr>
          <w:p>
            <w:pPr>
              <w:ind w:left="40"/>
              <w:spacing w:after="0" w:line="123" w:lineRule="exact"/>
              <w:rPr>
                <w:sz w:val="20"/>
                <w:szCs w:val="20"/>
                <w:color w:val="auto"/>
              </w:rPr>
            </w:pPr>
            <w:r>
              <w:rPr>
                <w:rFonts w:ascii="Calibri" w:cs="Calibri" w:eastAsia="Calibri" w:hAnsi="Calibri"/>
                <w:sz w:val="11"/>
                <w:szCs w:val="11"/>
                <w:color w:val="auto"/>
              </w:rPr>
              <w:t>Total</w:t>
            </w:r>
          </w:p>
        </w:tc>
        <w:tc>
          <w:tcPr>
            <w:tcW w:w="16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rPr>
              <w:t>$34.7</w:t>
            </w:r>
          </w:p>
        </w:tc>
        <w:tc>
          <w:tcPr>
            <w:tcW w:w="12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5"/>
              </w:rPr>
              <w:t>$38.0</w:t>
            </w:r>
          </w:p>
        </w:tc>
        <w:tc>
          <w:tcPr>
            <w:tcW w:w="12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5"/>
              </w:rPr>
              <w:t>$40.1</w:t>
            </w:r>
          </w:p>
        </w:tc>
        <w:tc>
          <w:tcPr>
            <w:tcW w:w="16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5"/>
              </w:rPr>
              <w:t>$47.2</w:t>
            </w:r>
          </w:p>
        </w:tc>
        <w:tc>
          <w:tcPr>
            <w:tcW w:w="12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5"/>
              </w:rPr>
              <w:t>$45.8</w:t>
            </w:r>
          </w:p>
        </w:tc>
      </w:tr>
      <w:tr>
        <w:trPr>
          <w:trHeight w:val="44"/>
        </w:trPr>
        <w:tc>
          <w:tcPr>
            <w:tcW w:w="440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300"/>
          </w:cols>
          <w:pgMar w:left="300" w:top="136"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1"/>
          <w:szCs w:val="11"/>
          <w:color w:val="auto"/>
        </w:rPr>
        <w:t>Unaudited Pro forma select financial information assume Legacy GeneDx was owned for the entirety of the year and is calculated based on the construct of our continuing operations inclusive of Legacy GeneDx combined with data revenues and associated costs from Legacy Sema4. Unaudited Pro forma select financial information is presented for illustrative purposes only and are not necessarily indicative of the results that would have occurred had the Legacy GeneDx acquisition been completed on such dates or that may occur in the future.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PRO FORMA SELECT FINANCIAL INFORMATION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THREE MONTHS ENDED DECEMBER 31, 2022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800" w:type="dxa"/>
            <w:vAlign w:val="bottom"/>
            <w:tcBorders>
              <w:top w:val="single" w:sz="8" w:color="auto"/>
              <w:left w:val="single" w:sz="8" w:color="auto"/>
              <w:right w:val="single" w:sz="8" w:color="auto"/>
            </w:tcBorders>
          </w:tcPr>
          <w:p>
            <w:pPr>
              <w:spacing w:after="0"/>
              <w:rPr>
                <w:sz w:val="12"/>
                <w:szCs w:val="12"/>
                <w:color w:val="auto"/>
              </w:rPr>
            </w:pPr>
          </w:p>
        </w:tc>
        <w:tc>
          <w:tcPr>
            <w:tcW w:w="2080" w:type="dxa"/>
            <w:vAlign w:val="bottom"/>
            <w:tcBorders>
              <w:top w:val="single" w:sz="8" w:color="auto"/>
              <w:right w:val="single" w:sz="8" w:color="auto"/>
            </w:tcBorders>
          </w:tcPr>
          <w:p>
            <w:pPr>
              <w:ind w:left="340"/>
              <w:spacing w:after="0"/>
              <w:rPr>
                <w:sz w:val="20"/>
                <w:szCs w:val="20"/>
                <w:color w:val="auto"/>
              </w:rPr>
            </w:pPr>
            <w:r>
              <w:rPr>
                <w:rFonts w:ascii="Calibri" w:cs="Calibri" w:eastAsia="Calibri" w:hAnsi="Calibri"/>
                <w:sz w:val="11"/>
                <w:szCs w:val="11"/>
                <w:b w:val="1"/>
                <w:bCs w:val="1"/>
                <w:color w:val="auto"/>
              </w:rPr>
              <w:t>GeneDx Contnuing Operatons</w:t>
            </w:r>
          </w:p>
        </w:tc>
        <w:tc>
          <w:tcPr>
            <w:tcW w:w="2060" w:type="dxa"/>
            <w:vAlign w:val="bottom"/>
            <w:tcBorders>
              <w:top w:val="single" w:sz="8" w:color="auto"/>
              <w:right w:val="single" w:sz="8" w:color="auto"/>
            </w:tcBorders>
          </w:tcPr>
          <w:p>
            <w:pPr>
              <w:ind w:left="180"/>
              <w:spacing w:after="0"/>
              <w:rPr>
                <w:sz w:val="20"/>
                <w:szCs w:val="20"/>
                <w:color w:val="auto"/>
              </w:rPr>
            </w:pPr>
            <w:r>
              <w:rPr>
                <w:rFonts w:ascii="Calibri" w:cs="Calibri" w:eastAsia="Calibri" w:hAnsi="Calibri"/>
                <w:sz w:val="11"/>
                <w:szCs w:val="11"/>
                <w:b w:val="1"/>
                <w:bCs w:val="1"/>
                <w:color w:val="auto"/>
              </w:rPr>
              <w:t>Legacy Sema4 Discontnued Business</w:t>
            </w:r>
          </w:p>
        </w:tc>
        <w:tc>
          <w:tcPr>
            <w:tcW w:w="2620" w:type="dxa"/>
            <w:vAlign w:val="bottom"/>
            <w:tcBorders>
              <w:top w:val="single" w:sz="8" w:color="auto"/>
              <w:right w:val="single" w:sz="8" w:color="auto"/>
            </w:tcBorders>
          </w:tcPr>
          <w:p>
            <w:pPr>
              <w:ind w:left="640"/>
              <w:spacing w:after="0"/>
              <w:rPr>
                <w:sz w:val="20"/>
                <w:szCs w:val="20"/>
                <w:color w:val="auto"/>
              </w:rPr>
            </w:pPr>
            <w:r>
              <w:rPr>
                <w:rFonts w:ascii="Calibri" w:cs="Calibri" w:eastAsia="Calibri" w:hAnsi="Calibri"/>
                <w:sz w:val="11"/>
                <w:szCs w:val="11"/>
                <w:b w:val="1"/>
                <w:bCs w:val="1"/>
                <w:color w:val="auto"/>
              </w:rPr>
              <w:t>Combined GeneDx and Sema</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140"/>
        </w:trPr>
        <w:tc>
          <w:tcPr>
            <w:tcW w:w="3800" w:type="dxa"/>
            <w:vAlign w:val="bottom"/>
            <w:tcBorders>
              <w:left w:val="single" w:sz="8" w:color="auto"/>
              <w:bottom w:val="single" w:sz="8" w:color="E7E6E6"/>
              <w:right w:val="single" w:sz="8" w:color="auto"/>
            </w:tcBorders>
            <w:shd w:val="clear" w:color="auto" w:fill="E7E6E6"/>
          </w:tcPr>
          <w:p>
            <w:pPr>
              <w:ind w:left="40"/>
              <w:spacing w:after="0" w:line="123" w:lineRule="exact"/>
              <w:rPr>
                <w:sz w:val="20"/>
                <w:szCs w:val="20"/>
                <w:color w:val="auto"/>
              </w:rPr>
            </w:pPr>
            <w:r>
              <w:rPr>
                <w:rFonts w:ascii="Calibri" w:cs="Calibri" w:eastAsia="Calibri" w:hAnsi="Calibri"/>
                <w:sz w:val="11"/>
                <w:szCs w:val="11"/>
                <w:color w:val="auto"/>
              </w:rPr>
              <w:t>Revenue</w:t>
            </w:r>
          </w:p>
        </w:tc>
        <w:tc>
          <w:tcPr>
            <w:tcW w:w="2080" w:type="dxa"/>
            <w:vAlign w:val="bottom"/>
            <w:tcBorders>
              <w:bottom w:val="single" w:sz="8" w:color="E7E6E6"/>
              <w:right w:val="single" w:sz="8" w:color="auto"/>
            </w:tcBorders>
            <w:shd w:val="clear" w:color="auto" w:fill="E7E6E6"/>
          </w:tcPr>
          <w:p>
            <w:pPr>
              <w:jc w:val="center"/>
              <w:spacing w:after="0" w:line="123" w:lineRule="exact"/>
              <w:rPr>
                <w:sz w:val="20"/>
                <w:szCs w:val="20"/>
                <w:color w:val="auto"/>
              </w:rPr>
            </w:pPr>
            <w:r>
              <w:rPr>
                <w:rFonts w:ascii="Calibri" w:cs="Calibri" w:eastAsia="Calibri" w:hAnsi="Calibri"/>
                <w:sz w:val="11"/>
                <w:szCs w:val="11"/>
                <w:color w:val="auto"/>
                <w:w w:val="97"/>
              </w:rPr>
              <w:t>45,824</w:t>
            </w:r>
          </w:p>
        </w:tc>
        <w:tc>
          <w:tcPr>
            <w:tcW w:w="2060" w:type="dxa"/>
            <w:vAlign w:val="bottom"/>
            <w:tcBorders>
              <w:bottom w:val="single" w:sz="8" w:color="E7E6E6"/>
              <w:right w:val="single" w:sz="8" w:color="auto"/>
            </w:tcBorders>
            <w:shd w:val="clear" w:color="auto" w:fill="E7E6E6"/>
          </w:tcPr>
          <w:p>
            <w:pPr>
              <w:jc w:val="center"/>
              <w:spacing w:after="0" w:line="123" w:lineRule="exact"/>
              <w:rPr>
                <w:sz w:val="20"/>
                <w:szCs w:val="20"/>
                <w:color w:val="auto"/>
              </w:rPr>
            </w:pPr>
            <w:r>
              <w:rPr>
                <w:rFonts w:ascii="Calibri" w:cs="Calibri" w:eastAsia="Calibri" w:hAnsi="Calibri"/>
                <w:sz w:val="11"/>
                <w:szCs w:val="11"/>
                <w:color w:val="auto"/>
                <w:w w:val="97"/>
              </w:rPr>
              <w:t>15,526</w:t>
            </w:r>
          </w:p>
        </w:tc>
        <w:tc>
          <w:tcPr>
            <w:tcW w:w="2620" w:type="dxa"/>
            <w:vAlign w:val="bottom"/>
            <w:tcBorders>
              <w:bottom w:val="single" w:sz="8" w:color="E7E6E6"/>
              <w:right w:val="single" w:sz="8" w:color="auto"/>
            </w:tcBorders>
            <w:shd w:val="clear" w:color="auto" w:fill="E7E6E6"/>
          </w:tcPr>
          <w:p>
            <w:pPr>
              <w:jc w:val="center"/>
              <w:spacing w:after="0" w:line="123" w:lineRule="exact"/>
              <w:rPr>
                <w:sz w:val="20"/>
                <w:szCs w:val="20"/>
                <w:color w:val="auto"/>
              </w:rPr>
            </w:pPr>
            <w:r>
              <w:rPr>
                <w:rFonts w:ascii="Calibri" w:cs="Calibri" w:eastAsia="Calibri" w:hAnsi="Calibri"/>
                <w:sz w:val="11"/>
                <w:szCs w:val="11"/>
                <w:color w:val="auto"/>
                <w:w w:val="97"/>
              </w:rPr>
              <w:t>61,350</w:t>
            </w:r>
          </w:p>
        </w:tc>
      </w:tr>
      <w:tr>
        <w:trPr>
          <w:trHeight w:val="134"/>
        </w:trPr>
        <w:tc>
          <w:tcPr>
            <w:tcW w:w="38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Adjusted Cost of Services</w:t>
            </w:r>
          </w:p>
        </w:tc>
        <w:tc>
          <w:tcPr>
            <w:tcW w:w="2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27,000</w:t>
            </w:r>
          </w:p>
        </w:tc>
        <w:tc>
          <w:tcPr>
            <w:tcW w:w="2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30,093</w:t>
            </w:r>
          </w:p>
        </w:tc>
        <w:tc>
          <w:tcPr>
            <w:tcW w:w="26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57,093</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123"/>
        </w:trPr>
        <w:tc>
          <w:tcPr>
            <w:tcW w:w="3800" w:type="dxa"/>
            <w:vAlign w:val="bottom"/>
            <w:tcBorders>
              <w:left w:val="single" w:sz="8" w:color="auto"/>
              <w:right w:val="single" w:sz="8" w:color="auto"/>
            </w:tcBorders>
          </w:tcPr>
          <w:p>
            <w:pPr>
              <w:ind w:left="40"/>
              <w:spacing w:after="0" w:line="123" w:lineRule="exact"/>
              <w:rPr>
                <w:sz w:val="20"/>
                <w:szCs w:val="20"/>
                <w:color w:val="auto"/>
              </w:rPr>
            </w:pPr>
            <w:r>
              <w:rPr>
                <w:rFonts w:ascii="Calibri" w:cs="Calibri" w:eastAsia="Calibri" w:hAnsi="Calibri"/>
                <w:sz w:val="11"/>
                <w:szCs w:val="11"/>
                <w:b w:val="1"/>
                <w:bCs w:val="1"/>
                <w:color w:val="auto"/>
              </w:rPr>
              <w:t>Adjusted Gross Margin</w:t>
            </w:r>
          </w:p>
        </w:tc>
        <w:tc>
          <w:tcPr>
            <w:tcW w:w="20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7"/>
              </w:rPr>
              <w:t>18,824</w:t>
            </w:r>
          </w:p>
        </w:tc>
        <w:tc>
          <w:tcPr>
            <w:tcW w:w="206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rPr>
              <w:t>(14,566)</w:t>
            </w:r>
          </w:p>
        </w:tc>
        <w:tc>
          <w:tcPr>
            <w:tcW w:w="2620" w:type="dxa"/>
            <w:vAlign w:val="bottom"/>
            <w:tcBorders>
              <w:right w:val="single" w:sz="8" w:color="auto"/>
            </w:tcBorders>
          </w:tcPr>
          <w:p>
            <w:pPr>
              <w:jc w:val="center"/>
              <w:ind w:right="6"/>
              <w:spacing w:after="0" w:line="123" w:lineRule="exact"/>
              <w:rPr>
                <w:sz w:val="20"/>
                <w:szCs w:val="20"/>
                <w:color w:val="auto"/>
              </w:rPr>
            </w:pPr>
            <w:r>
              <w:rPr>
                <w:rFonts w:ascii="Calibri" w:cs="Calibri" w:eastAsia="Calibri" w:hAnsi="Calibri"/>
                <w:sz w:val="11"/>
                <w:szCs w:val="11"/>
                <w:b w:val="1"/>
                <w:bCs w:val="1"/>
                <w:color w:val="auto"/>
                <w:w w:val="95"/>
              </w:rPr>
              <w:t>4,257</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123"/>
        </w:trPr>
        <w:tc>
          <w:tcPr>
            <w:tcW w:w="3800" w:type="dxa"/>
            <w:vAlign w:val="bottom"/>
            <w:tcBorders>
              <w:left w:val="single" w:sz="8" w:color="auto"/>
              <w:right w:val="single" w:sz="8" w:color="auto"/>
            </w:tcBorders>
          </w:tcPr>
          <w:p>
            <w:pPr>
              <w:ind w:left="40"/>
              <w:spacing w:after="0" w:line="123" w:lineRule="exact"/>
              <w:rPr>
                <w:sz w:val="20"/>
                <w:szCs w:val="20"/>
                <w:color w:val="auto"/>
              </w:rPr>
            </w:pPr>
            <w:r>
              <w:rPr>
                <w:rFonts w:ascii="Calibri" w:cs="Calibri" w:eastAsia="Calibri" w:hAnsi="Calibri"/>
                <w:sz w:val="11"/>
                <w:szCs w:val="11"/>
                <w:b w:val="1"/>
                <w:bCs w:val="1"/>
                <w:color w:val="auto"/>
              </w:rPr>
              <w:t>Adjusted Gross Margin %</w:t>
            </w:r>
          </w:p>
        </w:tc>
        <w:tc>
          <w:tcPr>
            <w:tcW w:w="20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rPr>
              <w:t>41.6%</w:t>
            </w:r>
          </w:p>
        </w:tc>
        <w:tc>
          <w:tcPr>
            <w:tcW w:w="206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8"/>
              </w:rPr>
              <w:t>(93.8)%</w:t>
            </w:r>
          </w:p>
        </w:tc>
        <w:tc>
          <w:tcPr>
            <w:tcW w:w="26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9"/>
              </w:rPr>
              <w:t>6.9%</w:t>
            </w:r>
          </w:p>
        </w:tc>
      </w:tr>
      <w:tr>
        <w:trPr>
          <w:trHeight w:val="44"/>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PRO FORMA SELECT FINANCIAL INFORMATION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TWELVE MONTHS ENDED DECEMBER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800" w:type="dxa"/>
            <w:vAlign w:val="bottom"/>
            <w:tcBorders>
              <w:top w:val="single" w:sz="8" w:color="auto"/>
              <w:left w:val="single" w:sz="8" w:color="auto"/>
              <w:right w:val="single" w:sz="8" w:color="auto"/>
            </w:tcBorders>
          </w:tcPr>
          <w:p>
            <w:pPr>
              <w:spacing w:after="0"/>
              <w:rPr>
                <w:sz w:val="12"/>
                <w:szCs w:val="12"/>
                <w:color w:val="auto"/>
              </w:rPr>
            </w:pPr>
          </w:p>
        </w:tc>
        <w:tc>
          <w:tcPr>
            <w:tcW w:w="2080" w:type="dxa"/>
            <w:vAlign w:val="bottom"/>
            <w:tcBorders>
              <w:top w:val="single" w:sz="8" w:color="auto"/>
              <w:right w:val="single" w:sz="8" w:color="auto"/>
            </w:tcBorders>
          </w:tcPr>
          <w:p>
            <w:pPr>
              <w:ind w:left="340"/>
              <w:spacing w:after="0"/>
              <w:rPr>
                <w:sz w:val="20"/>
                <w:szCs w:val="20"/>
                <w:color w:val="auto"/>
              </w:rPr>
            </w:pPr>
            <w:r>
              <w:rPr>
                <w:rFonts w:ascii="Calibri" w:cs="Calibri" w:eastAsia="Calibri" w:hAnsi="Calibri"/>
                <w:sz w:val="11"/>
                <w:szCs w:val="11"/>
                <w:b w:val="1"/>
                <w:bCs w:val="1"/>
                <w:color w:val="auto"/>
              </w:rPr>
              <w:t>GeneDx Contnuing Operatons</w:t>
            </w:r>
          </w:p>
        </w:tc>
        <w:tc>
          <w:tcPr>
            <w:tcW w:w="2060" w:type="dxa"/>
            <w:vAlign w:val="bottom"/>
            <w:tcBorders>
              <w:top w:val="single" w:sz="8" w:color="auto"/>
              <w:right w:val="single" w:sz="8" w:color="auto"/>
            </w:tcBorders>
          </w:tcPr>
          <w:p>
            <w:pPr>
              <w:ind w:left="180"/>
              <w:spacing w:after="0"/>
              <w:rPr>
                <w:sz w:val="20"/>
                <w:szCs w:val="20"/>
                <w:color w:val="auto"/>
              </w:rPr>
            </w:pPr>
            <w:r>
              <w:rPr>
                <w:rFonts w:ascii="Calibri" w:cs="Calibri" w:eastAsia="Calibri" w:hAnsi="Calibri"/>
                <w:sz w:val="11"/>
                <w:szCs w:val="11"/>
                <w:b w:val="1"/>
                <w:bCs w:val="1"/>
                <w:color w:val="auto"/>
              </w:rPr>
              <w:t>Legacy Sema4 Discontnued Business</w:t>
            </w:r>
          </w:p>
        </w:tc>
        <w:tc>
          <w:tcPr>
            <w:tcW w:w="2620" w:type="dxa"/>
            <w:vAlign w:val="bottom"/>
            <w:tcBorders>
              <w:top w:val="single" w:sz="8" w:color="auto"/>
              <w:right w:val="single" w:sz="8" w:color="auto"/>
            </w:tcBorders>
          </w:tcPr>
          <w:p>
            <w:pPr>
              <w:ind w:left="600"/>
              <w:spacing w:after="0"/>
              <w:rPr>
                <w:sz w:val="20"/>
                <w:szCs w:val="20"/>
                <w:color w:val="auto"/>
              </w:rPr>
            </w:pPr>
            <w:r>
              <w:rPr>
                <w:rFonts w:ascii="Calibri" w:cs="Calibri" w:eastAsia="Calibri" w:hAnsi="Calibri"/>
                <w:sz w:val="11"/>
                <w:szCs w:val="11"/>
                <w:b w:val="1"/>
                <w:bCs w:val="1"/>
                <w:color w:val="auto"/>
              </w:rPr>
              <w:t>Combined GeneDx and Sema4</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140"/>
        </w:trPr>
        <w:tc>
          <w:tcPr>
            <w:tcW w:w="3800" w:type="dxa"/>
            <w:vAlign w:val="bottom"/>
            <w:tcBorders>
              <w:left w:val="single" w:sz="8" w:color="auto"/>
              <w:bottom w:val="single" w:sz="8" w:color="E7E6E6"/>
              <w:right w:val="single" w:sz="8" w:color="auto"/>
            </w:tcBorders>
            <w:shd w:val="clear" w:color="auto" w:fill="E7E6E6"/>
          </w:tcPr>
          <w:p>
            <w:pPr>
              <w:ind w:left="40"/>
              <w:spacing w:after="0" w:line="123" w:lineRule="exact"/>
              <w:rPr>
                <w:sz w:val="20"/>
                <w:szCs w:val="20"/>
                <w:color w:val="auto"/>
              </w:rPr>
            </w:pPr>
            <w:r>
              <w:rPr>
                <w:rFonts w:ascii="Calibri" w:cs="Calibri" w:eastAsia="Calibri" w:hAnsi="Calibri"/>
                <w:sz w:val="11"/>
                <w:szCs w:val="11"/>
                <w:color w:val="auto"/>
              </w:rPr>
              <w:t>Revenue</w:t>
            </w:r>
          </w:p>
        </w:tc>
        <w:tc>
          <w:tcPr>
            <w:tcW w:w="2080" w:type="dxa"/>
            <w:vAlign w:val="bottom"/>
            <w:tcBorders>
              <w:bottom w:val="single" w:sz="8" w:color="E7E6E6"/>
              <w:right w:val="single" w:sz="8" w:color="auto"/>
            </w:tcBorders>
            <w:shd w:val="clear" w:color="auto" w:fill="E7E6E6"/>
          </w:tcPr>
          <w:p>
            <w:pPr>
              <w:jc w:val="center"/>
              <w:spacing w:after="0" w:line="123" w:lineRule="exact"/>
              <w:rPr>
                <w:sz w:val="20"/>
                <w:szCs w:val="20"/>
                <w:color w:val="auto"/>
              </w:rPr>
            </w:pPr>
            <w:r>
              <w:rPr>
                <w:rFonts w:ascii="Calibri" w:cs="Calibri" w:eastAsia="Calibri" w:hAnsi="Calibri"/>
                <w:sz w:val="11"/>
                <w:szCs w:val="11"/>
                <w:color w:val="auto"/>
                <w:w w:val="99"/>
              </w:rPr>
              <w:t>171,042</w:t>
            </w:r>
          </w:p>
        </w:tc>
        <w:tc>
          <w:tcPr>
            <w:tcW w:w="2060" w:type="dxa"/>
            <w:vAlign w:val="bottom"/>
            <w:tcBorders>
              <w:bottom w:val="single" w:sz="8" w:color="E7E6E6"/>
              <w:right w:val="single" w:sz="8" w:color="auto"/>
            </w:tcBorders>
            <w:shd w:val="clear" w:color="auto" w:fill="E7E6E6"/>
          </w:tcPr>
          <w:p>
            <w:pPr>
              <w:jc w:val="center"/>
              <w:ind w:right="6"/>
              <w:spacing w:after="0" w:line="123" w:lineRule="exact"/>
              <w:rPr>
                <w:sz w:val="20"/>
                <w:szCs w:val="20"/>
                <w:color w:val="auto"/>
              </w:rPr>
            </w:pPr>
            <w:r>
              <w:rPr>
                <w:rFonts w:ascii="Calibri" w:cs="Calibri" w:eastAsia="Calibri" w:hAnsi="Calibri"/>
                <w:sz w:val="11"/>
                <w:szCs w:val="11"/>
                <w:color w:val="auto"/>
                <w:w w:val="99"/>
              </w:rPr>
              <w:t>112,457</w:t>
            </w:r>
          </w:p>
        </w:tc>
        <w:tc>
          <w:tcPr>
            <w:tcW w:w="2620" w:type="dxa"/>
            <w:vAlign w:val="bottom"/>
            <w:tcBorders>
              <w:bottom w:val="single" w:sz="8" w:color="E7E6E6"/>
              <w:right w:val="single" w:sz="8" w:color="auto"/>
            </w:tcBorders>
            <w:shd w:val="clear" w:color="auto" w:fill="E7E6E6"/>
          </w:tcPr>
          <w:p>
            <w:pPr>
              <w:jc w:val="center"/>
              <w:ind w:right="6"/>
              <w:spacing w:after="0" w:line="123" w:lineRule="exact"/>
              <w:rPr>
                <w:sz w:val="20"/>
                <w:szCs w:val="20"/>
                <w:color w:val="auto"/>
              </w:rPr>
            </w:pPr>
            <w:r>
              <w:rPr>
                <w:rFonts w:ascii="Calibri" w:cs="Calibri" w:eastAsia="Calibri" w:hAnsi="Calibri"/>
                <w:sz w:val="11"/>
                <w:szCs w:val="11"/>
                <w:color w:val="auto"/>
                <w:w w:val="99"/>
              </w:rPr>
              <w:t>283,499</w:t>
            </w:r>
          </w:p>
        </w:tc>
      </w:tr>
      <w:tr>
        <w:trPr>
          <w:trHeight w:val="134"/>
        </w:trPr>
        <w:tc>
          <w:tcPr>
            <w:tcW w:w="38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Adjusted Cost of Services</w:t>
            </w:r>
          </w:p>
        </w:tc>
        <w:tc>
          <w:tcPr>
            <w:tcW w:w="2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9"/>
              </w:rPr>
              <w:t>103,962</w:t>
            </w:r>
          </w:p>
        </w:tc>
        <w:tc>
          <w:tcPr>
            <w:tcW w:w="206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9"/>
              </w:rPr>
              <w:t>147,868</w:t>
            </w:r>
          </w:p>
        </w:tc>
        <w:tc>
          <w:tcPr>
            <w:tcW w:w="262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9"/>
              </w:rPr>
              <w:t>251,831</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123"/>
        </w:trPr>
        <w:tc>
          <w:tcPr>
            <w:tcW w:w="3800" w:type="dxa"/>
            <w:vAlign w:val="bottom"/>
            <w:tcBorders>
              <w:left w:val="single" w:sz="8" w:color="auto"/>
              <w:right w:val="single" w:sz="8" w:color="auto"/>
            </w:tcBorders>
          </w:tcPr>
          <w:p>
            <w:pPr>
              <w:ind w:left="40"/>
              <w:spacing w:after="0" w:line="123" w:lineRule="exact"/>
              <w:rPr>
                <w:sz w:val="20"/>
                <w:szCs w:val="20"/>
                <w:color w:val="auto"/>
              </w:rPr>
            </w:pPr>
            <w:r>
              <w:rPr>
                <w:rFonts w:ascii="Calibri" w:cs="Calibri" w:eastAsia="Calibri" w:hAnsi="Calibri"/>
                <w:sz w:val="11"/>
                <w:szCs w:val="11"/>
                <w:b w:val="1"/>
                <w:bCs w:val="1"/>
                <w:color w:val="auto"/>
              </w:rPr>
              <w:t>Adjusted Gross Margin</w:t>
            </w:r>
          </w:p>
        </w:tc>
        <w:tc>
          <w:tcPr>
            <w:tcW w:w="20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7"/>
              </w:rPr>
              <w:t>67,080</w:t>
            </w:r>
          </w:p>
        </w:tc>
        <w:tc>
          <w:tcPr>
            <w:tcW w:w="206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rPr>
              <w:t>(35,412)</w:t>
            </w:r>
          </w:p>
        </w:tc>
        <w:tc>
          <w:tcPr>
            <w:tcW w:w="26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7"/>
              </w:rPr>
              <w:t>31,668</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123"/>
        </w:trPr>
        <w:tc>
          <w:tcPr>
            <w:tcW w:w="3800" w:type="dxa"/>
            <w:vAlign w:val="bottom"/>
            <w:tcBorders>
              <w:left w:val="single" w:sz="8" w:color="auto"/>
              <w:right w:val="single" w:sz="8" w:color="auto"/>
            </w:tcBorders>
          </w:tcPr>
          <w:p>
            <w:pPr>
              <w:ind w:left="40"/>
              <w:spacing w:after="0" w:line="123" w:lineRule="exact"/>
              <w:rPr>
                <w:sz w:val="20"/>
                <w:szCs w:val="20"/>
                <w:color w:val="auto"/>
              </w:rPr>
            </w:pPr>
            <w:r>
              <w:rPr>
                <w:rFonts w:ascii="Calibri" w:cs="Calibri" w:eastAsia="Calibri" w:hAnsi="Calibri"/>
                <w:sz w:val="11"/>
                <w:szCs w:val="11"/>
                <w:b w:val="1"/>
                <w:bCs w:val="1"/>
                <w:color w:val="auto"/>
              </w:rPr>
              <w:t>Adjusted Gross Margin %</w:t>
            </w:r>
          </w:p>
        </w:tc>
        <w:tc>
          <w:tcPr>
            <w:tcW w:w="20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rPr>
              <w:t>39.2%</w:t>
            </w:r>
          </w:p>
        </w:tc>
        <w:tc>
          <w:tcPr>
            <w:tcW w:w="206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8"/>
              </w:rPr>
              <w:t>(31.5)%</w:t>
            </w:r>
          </w:p>
        </w:tc>
        <w:tc>
          <w:tcPr>
            <w:tcW w:w="262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b w:val="1"/>
                <w:bCs w:val="1"/>
                <w:color w:val="auto"/>
                <w:w w:val="93"/>
              </w:rPr>
              <w:t>11.2%</w:t>
            </w:r>
          </w:p>
        </w:tc>
      </w:tr>
      <w:tr>
        <w:trPr>
          <w:trHeight w:val="44"/>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300"/>
          </w:cols>
          <w:pgMar w:left="300" w:top="136"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0"/>
          <w:szCs w:val="10"/>
          <w:color w:val="auto"/>
        </w:rPr>
        <w:t>Total Company results below for the fourth quarter of 2022 include the combination of continuing operations and the now discontinued Legacy Sema4 diagnostic testing business, and Total Company results for the full year 2022 include Legacy GeneDx and its revenues and costs only for the partial year period since the time of acquisition. Accordingly, Total Company results for 2021 do not include revenues or costs from Legacy GeneDx.</w:t>
      </w:r>
    </w:p>
    <w:p>
      <w:pPr>
        <w:spacing w:after="0" w:line="1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Reconciliation of Revenue to Adjusted Gross Margin &amp; Adjusted Operating Loss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ectPr>
          <w:pgSz w:w="11900" w:h="16838" w:orient="portrait"/>
          <w:cols w:equalWidth="0" w:num="1">
            <w:col w:w="11300"/>
          </w:cols>
          <w:pgMar w:left="300" w:top="136" w:right="299" w:bottom="144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060" w:type="dxa"/>
            <w:vAlign w:val="bottom"/>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Three Months Ended December 31,</w:t>
            </w:r>
          </w:p>
        </w:tc>
      </w:tr>
      <w:tr>
        <w:trPr>
          <w:trHeight w:val="142"/>
        </w:trPr>
        <w:tc>
          <w:tcPr>
            <w:tcW w:w="6060" w:type="dxa"/>
            <w:vAlign w:val="bottom"/>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33"/>
        </w:trPr>
        <w:tc>
          <w:tcPr>
            <w:tcW w:w="606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720" w:type="dxa"/>
            <w:vAlign w:val="bottom"/>
          </w:tcPr>
          <w:p>
            <w:pPr>
              <w:spacing w:after="0"/>
              <w:rPr>
                <w:sz w:val="13"/>
                <w:szCs w:val="13"/>
                <w:color w:val="auto"/>
              </w:rPr>
            </w:pP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Diagnostic test revenue</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59,344</w:t>
            </w:r>
          </w:p>
        </w:tc>
      </w:tr>
      <w:tr>
        <w:trPr>
          <w:trHeight w:val="161"/>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Other Revenue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2,006</w:t>
            </w:r>
          </w:p>
        </w:tc>
      </w:tr>
      <w:tr>
        <w:trPr>
          <w:trHeight w:val="134"/>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Total Revenue</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61,350</w:t>
            </w:r>
          </w:p>
        </w:tc>
      </w:tr>
      <w:tr>
        <w:trPr>
          <w:trHeight w:val="161"/>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Cost of Service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77,676</w:t>
            </w:r>
          </w:p>
        </w:tc>
      </w:tr>
      <w:tr>
        <w:trPr>
          <w:trHeight w:val="158"/>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Gross (Loss) Profit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(16,326)</w:t>
            </w:r>
          </w:p>
        </w:tc>
      </w:tr>
      <w:tr>
        <w:trPr>
          <w:trHeight w:val="136"/>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Gross Margin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(27)%</w:t>
            </w:r>
          </w:p>
        </w:tc>
      </w:tr>
      <w:tr>
        <w:trPr>
          <w:trHeight w:val="306"/>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19,994</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Stock-based compensation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412</w:t>
            </w:r>
          </w:p>
        </w:tc>
      </w:tr>
      <w:tr>
        <w:trPr>
          <w:trHeight w:val="162"/>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Restructuring costs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177</w:t>
            </w:r>
          </w:p>
        </w:tc>
      </w:tr>
      <w:tr>
        <w:trPr>
          <w:trHeight w:val="13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Adjusted Gross (Loss) Profit</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4,257</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i w:val="1"/>
                <w:iCs w:val="1"/>
                <w:color w:val="auto"/>
              </w:rPr>
              <w:t>Adjusted Gross Margin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7%</w:t>
            </w:r>
          </w:p>
        </w:tc>
      </w:tr>
      <w:tr>
        <w:trPr>
          <w:trHeight w:val="306"/>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Research &amp; Development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24,366</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9,150</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Stock-based compensation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(937)</w:t>
            </w:r>
          </w:p>
        </w:tc>
      </w:tr>
      <w:tr>
        <w:trPr>
          <w:trHeight w:val="162"/>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Restructuring costs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966</w:t>
            </w:r>
          </w:p>
        </w:tc>
      </w:tr>
      <w:tr>
        <w:trPr>
          <w:trHeight w:val="158"/>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Adjusted Research &amp; Development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15,187</w:t>
            </w:r>
          </w:p>
        </w:tc>
      </w:tr>
      <w:tr>
        <w:trPr>
          <w:trHeight w:val="289"/>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Selling &amp; Marketing</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31,797</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1,226</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Stock-based compensation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(149)</w:t>
            </w:r>
          </w:p>
        </w:tc>
      </w:tr>
      <w:tr>
        <w:trPr>
          <w:trHeight w:val="162"/>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Restructuring costs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3,272</w:t>
            </w:r>
          </w:p>
        </w:tc>
      </w:tr>
      <w:tr>
        <w:trPr>
          <w:trHeight w:val="157"/>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Adjusted Selling &amp; Marketing</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27,448</w:t>
            </w:r>
          </w:p>
        </w:tc>
      </w:tr>
      <w:tr>
        <w:trPr>
          <w:trHeight w:val="289"/>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General &amp; Administrative &amp; Related Party Expense</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42,249</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3,670</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Stock-based compensation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1,096</w:t>
            </w:r>
          </w:p>
        </w:tc>
      </w:tr>
      <w:tr>
        <w:trPr>
          <w:trHeight w:val="153"/>
        </w:trPr>
        <w:tc>
          <w:tcPr>
            <w:tcW w:w="60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Restructuring costs</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1,532</w:t>
            </w:r>
          </w:p>
        </w:tc>
      </w:tr>
      <w:tr>
        <w:trPr>
          <w:trHeight w:val="162"/>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Transaction and acquisition costs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1,588</w:t>
            </w:r>
          </w:p>
        </w:tc>
      </w:tr>
      <w:tr>
        <w:trPr>
          <w:trHeight w:val="157"/>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Adjusted General &amp; Administrative &amp; Related Party</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34,362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-1816735</wp:posOffset>
            </wp:positionV>
            <wp:extent cx="6315075"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5075"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-1210945</wp:posOffset>
            </wp:positionV>
            <wp:extent cx="6315075"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5075"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-605155</wp:posOffset>
            </wp:positionV>
            <wp:extent cx="6315075"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5075"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-119380</wp:posOffset>
            </wp:positionV>
            <wp:extent cx="6315075" cy="10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507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-822325</wp:posOffset>
            </wp:positionV>
            <wp:extent cx="6315075" cy="108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507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-1428115</wp:posOffset>
            </wp:positionV>
            <wp:extent cx="6315075" cy="108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507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-2113915</wp:posOffset>
            </wp:positionV>
            <wp:extent cx="631507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5075"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-2719705</wp:posOffset>
            </wp:positionV>
            <wp:extent cx="6315075" cy="108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507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-2919730</wp:posOffset>
            </wp:positionV>
            <wp:extent cx="631507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507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31750</wp:posOffset>
            </wp:positionV>
            <wp:extent cx="10972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17145</wp:posOffset>
            </wp:positionV>
            <wp:extent cx="10972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93"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227,334</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7,361</w:t>
      </w:r>
    </w:p>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0"/>
          <w:szCs w:val="10"/>
          <w:b w:val="1"/>
          <w:bCs w:val="1"/>
          <w:color w:val="auto"/>
        </w:rPr>
        <w:t>234,694</w:t>
      </w:r>
    </w:p>
    <w:p>
      <w:pPr>
        <w:spacing w:after="0" w:line="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0"/>
          <w:szCs w:val="10"/>
          <w:color w:val="auto"/>
        </w:rPr>
        <w:t>261,444</w:t>
      </w:r>
    </w:p>
    <w:p>
      <w:pPr>
        <w:spacing w:after="0" w:line="4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b w:val="1"/>
          <w:bCs w:val="1"/>
          <w:color w:val="auto"/>
        </w:rPr>
        <w:t>(26,750)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28575</wp:posOffset>
            </wp:positionV>
            <wp:extent cx="10972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47"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(11)%</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31,328</w:t>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5,080</w:t>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1,926</w:t>
      </w:r>
    </w:p>
    <w:p>
      <w:pPr>
        <w:spacing w:after="0" w:line="4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b w:val="1"/>
          <w:bCs w:val="1"/>
          <w:color w:val="auto"/>
        </w:rPr>
        <w:t>11,585</w:t>
      </w:r>
    </w:p>
    <w:p>
      <w:pPr>
        <w:spacing w:after="0" w:line="40"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5%</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86,203</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14,960</w:t>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1,755</w:t>
      </w:r>
    </w:p>
    <w:p>
      <w:pPr>
        <w:spacing w:after="0" w:line="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3,260</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b w:val="1"/>
          <w:bCs w:val="1"/>
          <w:color w:val="auto"/>
        </w:rPr>
        <w:t>66,227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28575</wp:posOffset>
            </wp:positionV>
            <wp:extent cx="10972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00"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134,913</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3,271</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6,498</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7,979</w:t>
      </w:r>
    </w:p>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0"/>
          <w:szCs w:val="10"/>
          <w:b w:val="1"/>
          <w:bCs w:val="1"/>
          <w:color w:val="auto"/>
        </w:rPr>
        <w:t>117,166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28575</wp:posOffset>
            </wp:positionV>
            <wp:extent cx="10972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00"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209,642</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9,749</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28,642</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11,570</w:t>
      </w:r>
    </w:p>
    <w:p>
      <w:pPr>
        <w:spacing w:after="0" w:line="3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0"/>
          <w:szCs w:val="10"/>
          <w:color w:val="auto"/>
        </w:rPr>
        <w:t>5,439</w:t>
      </w:r>
    </w:p>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0"/>
          <w:szCs w:val="10"/>
          <w:b w:val="1"/>
          <w:bCs w:val="1"/>
          <w:color w:val="auto"/>
        </w:rPr>
        <w:t>154,241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28575</wp:posOffset>
            </wp:positionV>
            <wp:extent cx="10972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7820" w:space="720"/>
            <w:col w:w="2760"/>
          </w:cols>
          <w:pgMar w:left="300" w:top="136" w:right="299" w:bottom="1440" w:gutter="0" w:footer="0" w:header="0"/>
          <w:type w:val="continuous"/>
        </w:sectPr>
      </w:pPr>
    </w:p>
    <w:tbl>
      <w:tblPr>
        <w:tblLayout w:type="fixed"/>
        <w:tblInd w:w="40" w:type="dxa"/>
        <w:tblCellMar>
          <w:top w:w="0" w:type="dxa"/>
          <w:left w:w="0" w:type="dxa"/>
          <w:bottom w:w="0" w:type="dxa"/>
          <w:right w:w="0" w:type="dxa"/>
        </w:tblCellMar>
      </w:tblPr>
      <w:tr>
        <w:trPr>
          <w:trHeight w:val="125"/>
        </w:trPr>
        <w:tc>
          <w:tcPr>
            <w:tcW w:w="4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Adjusted Operating Expenses</w:t>
            </w:r>
          </w:p>
        </w:tc>
        <w:tc>
          <w:tcPr>
            <w:tcW w:w="388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rPr>
              <w:t>76,998</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337,634</w:t>
            </w:r>
          </w:p>
        </w:tc>
      </w:tr>
      <w:tr>
        <w:trPr>
          <w:trHeight w:val="306"/>
        </w:trPr>
        <w:tc>
          <w:tcPr>
            <w:tcW w:w="4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Impairment Loss</w:t>
            </w:r>
          </w:p>
        </w:tc>
        <w:tc>
          <w:tcPr>
            <w:tcW w:w="3880" w:type="dxa"/>
            <w:vAlign w:val="bottom"/>
          </w:tcPr>
          <w:p>
            <w:pPr>
              <w:jc w:val="right"/>
              <w:ind w:right="872"/>
              <w:spacing w:after="0"/>
              <w:rPr>
                <w:sz w:val="20"/>
                <w:szCs w:val="20"/>
                <w:color w:val="auto"/>
              </w:rPr>
            </w:pPr>
            <w:r>
              <w:rPr>
                <w:rFonts w:ascii="Times New Roman" w:cs="Times New Roman" w:eastAsia="Times New Roman" w:hAnsi="Times New Roman"/>
                <w:sz w:val="10"/>
                <w:szCs w:val="10"/>
                <w:color w:val="auto"/>
              </w:rPr>
              <w:t>210,145</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210,145</w:t>
            </w:r>
          </w:p>
        </w:tc>
      </w:tr>
    </w:tbl>
    <w:p>
      <w:pPr>
        <w:sectPr>
          <w:pgSz w:w="11900" w:h="16838" w:orient="portrait"/>
          <w:cols w:equalWidth="0" w:num="1">
            <w:col w:w="11300"/>
          </w:cols>
          <w:pgMar w:left="300" w:top="136" w:right="29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0"/>
                <w:szCs w:val="10"/>
                <w:color w:val="auto"/>
              </w:rPr>
              <w:t>Loss from Operations</w:t>
            </w:r>
          </w:p>
        </w:tc>
        <w:tc>
          <w:tcPr>
            <w:tcW w:w="3760" w:type="dxa"/>
            <w:vAlign w:val="bottom"/>
            <w:shd w:val="clear" w:color="auto" w:fill="D9D9D9"/>
          </w:tcPr>
          <w:p>
            <w:pPr>
              <w:jc w:val="center"/>
              <w:ind w:left="1992"/>
              <w:spacing w:after="0"/>
              <w:rPr>
                <w:sz w:val="20"/>
                <w:szCs w:val="20"/>
                <w:color w:val="auto"/>
              </w:rPr>
            </w:pPr>
            <w:r>
              <w:rPr>
                <w:rFonts w:ascii="Times New Roman" w:cs="Times New Roman" w:eastAsia="Times New Roman" w:hAnsi="Times New Roman"/>
                <w:sz w:val="10"/>
                <w:szCs w:val="10"/>
                <w:color w:val="auto"/>
                <w:w w:val="91"/>
              </w:rPr>
              <w:t>(324,883)</w:t>
            </w:r>
          </w:p>
        </w:tc>
        <w:tc>
          <w:tcPr>
            <w:tcW w:w="420" w:type="dxa"/>
            <w:vAlign w:val="bottom"/>
            <w:shd w:val="clear" w:color="auto" w:fill="D9D9D9"/>
          </w:tcPr>
          <w:p>
            <w:pPr>
              <w:spacing w:after="0"/>
              <w:rPr>
                <w:sz w:val="13"/>
                <w:szCs w:val="13"/>
                <w:color w:val="auto"/>
              </w:rPr>
            </w:pPr>
          </w:p>
        </w:tc>
        <w:tc>
          <w:tcPr>
            <w:tcW w:w="17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0"/>
                <w:szCs w:val="10"/>
                <w:color w:val="auto"/>
                <w:w w:val="96"/>
              </w:rPr>
              <w:t>(667,652)</w:t>
            </w:r>
          </w:p>
        </w:tc>
      </w:tr>
      <w:tr>
        <w:trPr>
          <w:trHeight w:val="136"/>
        </w:trPr>
        <w:tc>
          <w:tcPr>
            <w:tcW w:w="40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3760" w:type="dxa"/>
            <w:vAlign w:val="bottom"/>
          </w:tcPr>
          <w:p>
            <w:pPr>
              <w:jc w:val="center"/>
              <w:ind w:left="2012"/>
              <w:spacing w:after="0"/>
              <w:rPr>
                <w:sz w:val="20"/>
                <w:szCs w:val="20"/>
                <w:color w:val="auto"/>
              </w:rPr>
            </w:pPr>
            <w:r>
              <w:rPr>
                <w:rFonts w:ascii="Times New Roman" w:cs="Times New Roman" w:eastAsia="Times New Roman" w:hAnsi="Times New Roman"/>
                <w:sz w:val="10"/>
                <w:szCs w:val="10"/>
                <w:color w:val="auto"/>
                <w:w w:val="94"/>
              </w:rPr>
              <w:t>34,040</w:t>
            </w:r>
          </w:p>
        </w:tc>
        <w:tc>
          <w:tcPr>
            <w:tcW w:w="420" w:type="dxa"/>
            <w:vAlign w:val="bottom"/>
          </w:tcPr>
          <w:p>
            <w:pPr>
              <w:spacing w:after="0"/>
              <w:rPr>
                <w:sz w:val="11"/>
                <w:szCs w:val="1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59,309</w:t>
            </w:r>
          </w:p>
        </w:tc>
      </w:tr>
      <w:tr>
        <w:trPr>
          <w:trHeight w:val="153"/>
        </w:trPr>
        <w:tc>
          <w:tcPr>
            <w:tcW w:w="40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Stock-based compensation</w:t>
            </w:r>
          </w:p>
        </w:tc>
        <w:tc>
          <w:tcPr>
            <w:tcW w:w="3760" w:type="dxa"/>
            <w:vAlign w:val="bottom"/>
          </w:tcPr>
          <w:p>
            <w:pPr>
              <w:jc w:val="center"/>
              <w:ind w:left="2012"/>
              <w:spacing w:after="0"/>
              <w:rPr>
                <w:sz w:val="20"/>
                <w:szCs w:val="20"/>
                <w:color w:val="auto"/>
              </w:rPr>
            </w:pPr>
            <w:r>
              <w:rPr>
                <w:rFonts w:ascii="Times New Roman" w:cs="Times New Roman" w:eastAsia="Times New Roman" w:hAnsi="Times New Roman"/>
                <w:sz w:val="10"/>
                <w:szCs w:val="10"/>
                <w:color w:val="auto"/>
                <w:w w:val="93"/>
              </w:rPr>
              <w:t>423</w:t>
            </w:r>
          </w:p>
        </w:tc>
        <w:tc>
          <w:tcPr>
            <w:tcW w:w="4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41,976</w:t>
            </w:r>
          </w:p>
        </w:tc>
      </w:tr>
      <w:tr>
        <w:trPr>
          <w:trHeight w:val="153"/>
        </w:trPr>
        <w:tc>
          <w:tcPr>
            <w:tcW w:w="40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Restructuring costs</w:t>
            </w:r>
          </w:p>
        </w:tc>
        <w:tc>
          <w:tcPr>
            <w:tcW w:w="3760" w:type="dxa"/>
            <w:vAlign w:val="bottom"/>
          </w:tcPr>
          <w:p>
            <w:pPr>
              <w:jc w:val="center"/>
              <w:ind w:left="2012"/>
              <w:spacing w:after="0"/>
              <w:rPr>
                <w:sz w:val="20"/>
                <w:szCs w:val="20"/>
                <w:color w:val="auto"/>
              </w:rPr>
            </w:pPr>
            <w:r>
              <w:rPr>
                <w:rFonts w:ascii="Times New Roman" w:cs="Times New Roman" w:eastAsia="Times New Roman" w:hAnsi="Times New Roman"/>
                <w:sz w:val="10"/>
                <w:szCs w:val="10"/>
                <w:color w:val="auto"/>
                <w:w w:val="97"/>
              </w:rPr>
              <w:t>5,947</w:t>
            </w:r>
          </w:p>
        </w:tc>
        <w:tc>
          <w:tcPr>
            <w:tcW w:w="4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24,735</w:t>
            </w:r>
          </w:p>
        </w:tc>
      </w:tr>
      <w:tr>
        <w:trPr>
          <w:trHeight w:val="153"/>
        </w:trPr>
        <w:tc>
          <w:tcPr>
            <w:tcW w:w="40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Transaction and acquisition costs</w:t>
            </w:r>
          </w:p>
        </w:tc>
        <w:tc>
          <w:tcPr>
            <w:tcW w:w="3760" w:type="dxa"/>
            <w:vAlign w:val="bottom"/>
          </w:tcPr>
          <w:p>
            <w:pPr>
              <w:jc w:val="center"/>
              <w:ind w:left="2012"/>
              <w:spacing w:after="0"/>
              <w:rPr>
                <w:sz w:val="20"/>
                <w:szCs w:val="20"/>
                <w:color w:val="auto"/>
              </w:rPr>
            </w:pPr>
            <w:r>
              <w:rPr>
                <w:rFonts w:ascii="Times New Roman" w:cs="Times New Roman" w:eastAsia="Times New Roman" w:hAnsi="Times New Roman"/>
                <w:sz w:val="10"/>
                <w:szCs w:val="10"/>
                <w:color w:val="auto"/>
                <w:w w:val="97"/>
              </w:rPr>
              <w:t>1,588</w:t>
            </w:r>
          </w:p>
        </w:tc>
        <w:tc>
          <w:tcPr>
            <w:tcW w:w="4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5,439</w:t>
            </w:r>
          </w:p>
        </w:tc>
      </w:tr>
      <w:tr>
        <w:trPr>
          <w:trHeight w:val="162"/>
        </w:trPr>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Impairment Loss</w:t>
            </w:r>
          </w:p>
        </w:tc>
        <w:tc>
          <w:tcPr>
            <w:tcW w:w="3760" w:type="dxa"/>
            <w:vAlign w:val="bottom"/>
            <w:tcBorders>
              <w:bottom w:val="single" w:sz="8" w:color="auto"/>
            </w:tcBorders>
          </w:tcPr>
          <w:p>
            <w:pPr>
              <w:jc w:val="center"/>
              <w:ind w:left="1992"/>
              <w:spacing w:after="0"/>
              <w:rPr>
                <w:sz w:val="20"/>
                <w:szCs w:val="20"/>
                <w:color w:val="auto"/>
              </w:rPr>
            </w:pPr>
            <w:r>
              <w:rPr>
                <w:rFonts w:ascii="Times New Roman" w:cs="Times New Roman" w:eastAsia="Times New Roman" w:hAnsi="Times New Roman"/>
                <w:sz w:val="10"/>
                <w:szCs w:val="10"/>
                <w:color w:val="auto"/>
                <w:w w:val="98"/>
              </w:rPr>
              <w:t>210,145</w:t>
            </w:r>
          </w:p>
        </w:tc>
        <w:tc>
          <w:tcPr>
            <w:tcW w:w="420" w:type="dxa"/>
            <w:vAlign w:val="bottom"/>
            <w:tcBorders>
              <w:bottom w:val="single" w:sz="8" w:color="BFBFBF"/>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210,145</w:t>
            </w:r>
          </w:p>
        </w:tc>
      </w:tr>
      <w:tr>
        <w:trPr>
          <w:trHeight w:val="157"/>
        </w:trPr>
        <w:tc>
          <w:tcPr>
            <w:tcW w:w="4020" w:type="dxa"/>
            <w:vAlign w:val="bottom"/>
            <w:tcBorders>
              <w:bottom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0"/>
                <w:szCs w:val="10"/>
                <w:b w:val="1"/>
                <w:bCs w:val="1"/>
                <w:color w:val="auto"/>
              </w:rPr>
              <w:t>Adjusted loss from operations</w:t>
            </w:r>
          </w:p>
        </w:tc>
        <w:tc>
          <w:tcPr>
            <w:tcW w:w="3760" w:type="dxa"/>
            <w:vAlign w:val="bottom"/>
            <w:tcBorders>
              <w:bottom w:val="single" w:sz="8" w:color="auto"/>
            </w:tcBorders>
            <w:shd w:val="clear" w:color="auto" w:fill="BFBFBF"/>
          </w:tcPr>
          <w:p>
            <w:pPr>
              <w:jc w:val="center"/>
              <w:ind w:left="1992"/>
              <w:spacing w:after="0"/>
              <w:rPr>
                <w:sz w:val="20"/>
                <w:szCs w:val="20"/>
                <w:color w:val="auto"/>
              </w:rPr>
            </w:pPr>
            <w:r>
              <w:rPr>
                <w:rFonts w:ascii="Times New Roman" w:cs="Times New Roman" w:eastAsia="Times New Roman" w:hAnsi="Times New Roman"/>
                <w:sz w:val="10"/>
                <w:szCs w:val="10"/>
                <w:b w:val="1"/>
                <w:bCs w:val="1"/>
                <w:color w:val="auto"/>
                <w:w w:val="93"/>
              </w:rPr>
              <w:t>(72,740)</w:t>
            </w:r>
          </w:p>
        </w:tc>
        <w:tc>
          <w:tcPr>
            <w:tcW w:w="420" w:type="dxa"/>
            <w:vAlign w:val="bottom"/>
            <w:tcBorders>
              <w:bottom w:val="single" w:sz="8" w:color="BFBFBF"/>
            </w:tcBorders>
            <w:shd w:val="clear" w:color="auto" w:fill="BFBFBF"/>
          </w:tcPr>
          <w:p>
            <w:pPr>
              <w:spacing w:after="0"/>
              <w:rPr>
                <w:sz w:val="13"/>
                <w:szCs w:val="13"/>
                <w:color w:val="auto"/>
              </w:rPr>
            </w:pPr>
          </w:p>
        </w:tc>
        <w:tc>
          <w:tcPr>
            <w:tcW w:w="1740" w:type="dxa"/>
            <w:vAlign w:val="bottom"/>
            <w:tcBorders>
              <w:bottom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(326,049)</w:t>
            </w:r>
          </w:p>
        </w:tc>
      </w:tr>
    </w:tbl>
    <w:p>
      <w:pPr>
        <w:sectPr>
          <w:pgSz w:w="11900" w:h="16838" w:orient="portrait"/>
          <w:cols w:equalWidth="0" w:num="1">
            <w:col w:w="11300"/>
          </w:cols>
          <w:pgMar w:left="300" w:top="136"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0"/>
          <w:szCs w:val="10"/>
          <w:color w:val="auto"/>
        </w:rPr>
        <w:t>The financial statements that follow represents our preliminary unaudited consolidated financial statements, for the year ended December 31, 2022, subject to change, which have been prepared in accordance with U.S. GAAP. Results include the combination of Legacy GeneDx and Legacy Sema4 with the activities of Legacy GeneDx only from the time of acquisition.</w:t>
      </w:r>
    </w:p>
    <w:p>
      <w:pPr>
        <w:spacing w:after="0" w:line="1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8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30"/>
        </w:trPr>
        <w:tc>
          <w:tcPr>
            <w:tcW w:w="8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03"/>
        </w:trPr>
        <w:tc>
          <w:tcPr>
            <w:tcW w:w="9060" w:type="dxa"/>
            <w:vAlign w:val="bottom"/>
            <w:gridSpan w:val="2"/>
          </w:tcPr>
          <w:p>
            <w:pPr>
              <w:ind w:left="8760"/>
              <w:spacing w:after="0"/>
              <w:rPr>
                <w:sz w:val="20"/>
                <w:szCs w:val="20"/>
                <w:color w:val="auto"/>
              </w:rPr>
            </w:pPr>
            <w:r>
              <w:rPr>
                <w:rFonts w:ascii="Times New Roman" w:cs="Times New Roman" w:eastAsia="Times New Roman" w:hAnsi="Times New Roman"/>
                <w:sz w:val="8"/>
                <w:szCs w:val="8"/>
                <w:b w:val="1"/>
                <w:bCs w:val="1"/>
                <w:color w:val="auto"/>
              </w:rPr>
              <w:t>2022</w:t>
            </w: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2021 Audited</w:t>
            </w:r>
          </w:p>
        </w:tc>
        <w:tc>
          <w:tcPr>
            <w:tcW w:w="360" w:type="dxa"/>
            <w:vAlign w:val="bottom"/>
          </w:tcPr>
          <w:p>
            <w:pPr>
              <w:spacing w:after="0"/>
              <w:rPr>
                <w:sz w:val="8"/>
                <w:szCs w:val="8"/>
                <w:color w:val="auto"/>
              </w:rPr>
            </w:pPr>
          </w:p>
        </w:tc>
      </w:tr>
      <w:tr>
        <w:trPr>
          <w:trHeight w:val="30"/>
        </w:trPr>
        <w:tc>
          <w:tcPr>
            <w:tcW w:w="8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33"/>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r>
        <w:trPr>
          <w:trHeight w:val="145"/>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Current assets: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1"/>
        </w:trPr>
        <w:tc>
          <w:tcPr>
            <w:tcW w:w="9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2"/>
              </w:rPr>
              <w:t>123,933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400,569</w:t>
            </w:r>
          </w:p>
        </w:tc>
      </w:tr>
      <w:tr>
        <w:trPr>
          <w:trHeight w:val="145"/>
        </w:trPr>
        <w:tc>
          <w:tcPr>
            <w:tcW w:w="90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Restricted cash</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13,470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62"/>
        </w:trPr>
        <w:tc>
          <w:tcPr>
            <w:tcW w:w="9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Accounts receivable, net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42,634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26,509</w:t>
            </w:r>
          </w:p>
        </w:tc>
      </w:tr>
      <w:tr>
        <w:trPr>
          <w:trHeight w:val="144"/>
        </w:trPr>
        <w:tc>
          <w:tcPr>
            <w:tcW w:w="90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Due from related parties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r>
      <w:tr>
        <w:trPr>
          <w:trHeight w:val="162"/>
        </w:trPr>
        <w:tc>
          <w:tcPr>
            <w:tcW w:w="9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Inventory, net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13,665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33,456</w:t>
            </w:r>
          </w:p>
        </w:tc>
      </w:tr>
      <w:tr>
        <w:trPr>
          <w:trHeight w:val="144"/>
        </w:trPr>
        <w:tc>
          <w:tcPr>
            <w:tcW w:w="90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Prepaid expenses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19,154</w:t>
            </w:r>
          </w:p>
        </w:tc>
      </w:tr>
      <w:tr>
        <w:trPr>
          <w:trHeight w:val="153"/>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Other current assets</w:t>
            </w:r>
          </w:p>
        </w:tc>
        <w:tc>
          <w:tcPr>
            <w:tcW w:w="10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6,390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3,802</w:t>
            </w:r>
          </w:p>
        </w:tc>
      </w:tr>
      <w:tr>
        <w:trPr>
          <w:trHeight w:val="142"/>
        </w:trPr>
        <w:tc>
          <w:tcPr>
            <w:tcW w:w="90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Total current assets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212,622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483,544</w:t>
            </w:r>
          </w:p>
        </w:tc>
      </w:tr>
      <w:tr>
        <w:trPr>
          <w:trHeight w:val="162"/>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51,527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62,719</w:t>
            </w:r>
          </w:p>
        </w:tc>
      </w:tr>
      <w:tr>
        <w:trPr>
          <w:trHeight w:val="145"/>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Intangible assets, net</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186,650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61"/>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right-of-use assets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32,758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5"/>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Long-term restricted cash</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assets</w:t>
            </w:r>
          </w:p>
        </w:tc>
        <w:tc>
          <w:tcPr>
            <w:tcW w:w="10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6,485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6,930</w:t>
            </w:r>
          </w:p>
        </w:tc>
      </w:tr>
      <w:tr>
        <w:trPr>
          <w:trHeight w:val="167"/>
        </w:trPr>
        <w:tc>
          <w:tcPr>
            <w:tcW w:w="90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Total assets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490,942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554,093</w:t>
            </w:r>
          </w:p>
        </w:tc>
      </w:tr>
      <w:tr>
        <w:trPr>
          <w:trHeight w:val="115"/>
        </w:trPr>
        <w:tc>
          <w:tcPr>
            <w:tcW w:w="8060" w:type="dxa"/>
            <w:vAlign w:val="bottom"/>
            <w:tcBorders>
              <w:top w:val="single" w:sz="8" w:color="CCEEFF"/>
              <w:bottom w:val="single" w:sz="8" w:color="CCEEFF"/>
            </w:tcBorders>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1000" w:type="dxa"/>
            <w:vAlign w:val="bottom"/>
            <w:tcBorders>
              <w:top w:val="single" w:sz="8" w:color="auto"/>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CCEEFF"/>
            </w:tcBorders>
            <w:shd w:val="clear" w:color="auto" w:fill="CCEEFF"/>
          </w:tcPr>
          <w:p>
            <w:pPr>
              <w:spacing w:after="0"/>
              <w:rPr>
                <w:sz w:val="10"/>
                <w:szCs w:val="10"/>
                <w:color w:val="auto"/>
              </w:rPr>
            </w:pPr>
          </w:p>
        </w:tc>
      </w:tr>
      <w:tr>
        <w:trPr>
          <w:trHeight w:val="144"/>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9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44,693</w:t>
            </w:r>
          </w:p>
        </w:tc>
      </w:tr>
      <w:tr>
        <w:trPr>
          <w:trHeight w:val="145"/>
        </w:trPr>
        <w:tc>
          <w:tcPr>
            <w:tcW w:w="90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Accrued expenses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38,861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20,108</w:t>
            </w:r>
          </w:p>
        </w:tc>
      </w:tr>
      <w:tr>
        <w:trPr>
          <w:trHeight w:val="161"/>
        </w:trPr>
        <w:tc>
          <w:tcPr>
            <w:tcW w:w="9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Due to related parties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2,623</w:t>
            </w:r>
          </w:p>
        </w:tc>
      </w:tr>
      <w:tr>
        <w:trPr>
          <w:trHeight w:val="145"/>
        </w:trPr>
        <w:tc>
          <w:tcPr>
            <w:tcW w:w="90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Contract liabilities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w:t>
            </w:r>
          </w:p>
        </w:tc>
      </w:tr>
      <w:tr>
        <w:trPr>
          <w:trHeight w:val="161"/>
        </w:trPr>
        <w:tc>
          <w:tcPr>
            <w:tcW w:w="9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Current portion of lease liabilities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5"/>
        </w:trPr>
        <w:tc>
          <w:tcPr>
            <w:tcW w:w="8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49,665</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33,387</w:t>
            </w:r>
          </w:p>
        </w:tc>
      </w:tr>
      <w:tr>
        <w:trPr>
          <w:trHeight w:val="150"/>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Total current liabilities</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2"/>
              </w:rPr>
              <w:t>144,297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101,284</w:t>
            </w:r>
          </w:p>
        </w:tc>
      </w:tr>
      <w:tr>
        <w:trPr>
          <w:trHeight w:val="145"/>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Long-term debt, net of current portion</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11,000</w:t>
            </w:r>
          </w:p>
        </w:tc>
      </w:tr>
      <w:tr>
        <w:trPr>
          <w:trHeight w:val="162"/>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Long-term lease liabilities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60,013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liabilities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21,907</w:t>
            </w:r>
          </w:p>
        </w:tc>
      </w:tr>
      <w:tr>
        <w:trPr>
          <w:trHeight w:val="161"/>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taxes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5"/>
        </w:trPr>
        <w:tc>
          <w:tcPr>
            <w:tcW w:w="90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Warrant liability</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21,555</w:t>
            </w:r>
          </w:p>
        </w:tc>
      </w:tr>
      <w:tr>
        <w:trPr>
          <w:trHeight w:val="153"/>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Earn-out contingent liability</w:t>
            </w:r>
          </w:p>
        </w:tc>
        <w:tc>
          <w:tcPr>
            <w:tcW w:w="10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10,244</w:t>
            </w:r>
          </w:p>
        </w:tc>
      </w:tr>
      <w:tr>
        <w:trPr>
          <w:trHeight w:val="142"/>
        </w:trPr>
        <w:tc>
          <w:tcPr>
            <w:tcW w:w="90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Total liabilities</w:t>
            </w: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237,237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165,990</w:t>
            </w:r>
          </w:p>
        </w:tc>
      </w:tr>
      <w:tr>
        <w:trPr>
          <w:trHeight w:val="133"/>
        </w:trPr>
        <w:tc>
          <w:tcPr>
            <w:tcW w:w="80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300"/>
          </w:cols>
          <w:pgMar w:left="300" w:top="136"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9"/>
        </w:trPr>
        <w:tc>
          <w:tcPr>
            <w:tcW w:w="8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Exhibit 99.1</w:t>
            </w:r>
          </w:p>
        </w:tc>
      </w:tr>
      <w:tr>
        <w:trPr>
          <w:trHeight w:val="871"/>
        </w:trPr>
        <w:tc>
          <w:tcPr>
            <w:tcW w:w="8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96"/>
              </w:rPr>
              <w:t>Preferred Stock, $0.0001 par value: 1,000,000 shares authorized at December 31, 2022 and December 31, 2021; 0 shares issued and outstanding at December 31, 2022 and December 31, 2021, respectively</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6"/>
        </w:trPr>
        <w:tc>
          <w:tcPr>
            <w:tcW w:w="806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Class A common stock, $0.0001 par value: 1,000,000,000 shares authorized, 388,511,138 shares issued and outstanding at December 31, 2022 and $0.0001 par value: 380,000,000 shares authorized,</w:t>
            </w: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45"/>
        </w:trPr>
        <w:tc>
          <w:tcPr>
            <w:tcW w:w="80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242,647,604 shares issued and outstanding at December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6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1,378,088</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963,520</w:t>
            </w:r>
          </w:p>
        </w:tc>
      </w:tr>
      <w:tr>
        <w:trPr>
          <w:trHeight w:val="144"/>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(1,124,421)</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(575,441)</w:t>
            </w:r>
          </w:p>
        </w:tc>
      </w:tr>
      <w:tr>
        <w:trPr>
          <w:trHeight w:val="14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Total stockholders’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253,705</w:t>
            </w:r>
          </w:p>
        </w:tc>
        <w:tc>
          <w:tcPr>
            <w:tcW w:w="80" w:type="dxa"/>
            <w:vAlign w:val="bottom"/>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388,103</w:t>
            </w:r>
          </w:p>
        </w:tc>
      </w:tr>
      <w:tr>
        <w:trPr>
          <w:trHeight w:val="142"/>
        </w:trPr>
        <w:tc>
          <w:tcPr>
            <w:tcW w:w="80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Total liabilities and stockholders’ equity</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490,942</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554,093</w:t>
            </w:r>
          </w:p>
        </w:tc>
      </w:tr>
      <w:tr>
        <w:trPr>
          <w:trHeight w:val="20"/>
        </w:trPr>
        <w:tc>
          <w:tcPr>
            <w:tcW w:w="8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36" w:right="299" w:bottom="1440" w:gutter="0" w:footer="0" w:header="0"/>
        </w:sectPr>
      </w:pPr>
    </w:p>
    <w:bookmarkStart w:id="13" w:name="page14"/>
    <w:bookmarkEnd w:id="13"/>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per share and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7"/>
        </w:trPr>
        <w:tc>
          <w:tcPr>
            <w:tcW w:w="6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151"/>
        </w:trPr>
        <w:tc>
          <w:tcPr>
            <w:tcW w:w="7320" w:type="dxa"/>
            <w:vAlign w:val="bottom"/>
            <w:gridSpan w:val="2"/>
          </w:tcPr>
          <w:p>
            <w:pPr>
              <w:ind w:left="7080"/>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2021 Audited</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2020 Audited</w:t>
            </w:r>
          </w:p>
        </w:tc>
      </w:tr>
      <w:tr>
        <w:trPr>
          <w:trHeight w:val="27"/>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4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9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Diagnostic test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227,334</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205,100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175,351</w:t>
            </w:r>
          </w:p>
        </w:tc>
      </w:tr>
      <w:tr>
        <w:trPr>
          <w:trHeight w:val="27"/>
        </w:trPr>
        <w:tc>
          <w:tcPr>
            <w:tcW w:w="6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8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7,095</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3,971</w:t>
            </w:r>
          </w:p>
        </w:tc>
      </w:tr>
      <w:tr>
        <w:trPr>
          <w:trHeight w:val="151"/>
        </w:trPr>
        <w:tc>
          <w:tcPr>
            <w:tcW w:w="64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revenue</w:t>
            </w: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234,694</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212,195</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179,322</w:t>
            </w:r>
          </w:p>
        </w:tc>
      </w:tr>
      <w:tr>
        <w:trPr>
          <w:trHeight w:val="27"/>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9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261,444</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228,797</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175,296</w:t>
            </w:r>
          </w:p>
        </w:tc>
      </w:tr>
      <w:tr>
        <w:trPr>
          <w:trHeight w:val="151"/>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Gross (loss) profit</w:t>
            </w: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(26,750)</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(16,602)</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4,026</w:t>
            </w:r>
          </w:p>
        </w:tc>
      </w:tr>
      <w:tr>
        <w:trPr>
          <w:trHeight w:val="27"/>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58"/>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86,203</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105,162</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72,700</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134,913</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112,738</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63,183</w:t>
            </w:r>
          </w:p>
        </w:tc>
      </w:tr>
      <w:tr>
        <w:trPr>
          <w:trHeight w:val="27"/>
        </w:trPr>
        <w:tc>
          <w:tcPr>
            <w:tcW w:w="6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69"/>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203,329</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205,988</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100,742</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Related party expenses</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5,659</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9,395</w:t>
            </w:r>
          </w:p>
        </w:tc>
      </w:tr>
      <w:tr>
        <w:trPr>
          <w:trHeight w:val="27"/>
        </w:trPr>
        <w:tc>
          <w:tcPr>
            <w:tcW w:w="6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8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w:t>
            </w: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210,145</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from operations</w:t>
            </w: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(667,652)</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(446,149)</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(241,994)</w:t>
            </w:r>
          </w:p>
        </w:tc>
      </w:tr>
      <w:tr>
        <w:trPr>
          <w:trHeight w:val="27"/>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4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9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r>
      <w:tr>
        <w:trPr>
          <w:trHeight w:val="162"/>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70,229</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198,401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7"/>
        </w:trPr>
        <w:tc>
          <w:tcPr>
            <w:tcW w:w="6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69"/>
        </w:trPr>
        <w:tc>
          <w:tcPr>
            <w:tcW w:w="7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2,541</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r>
      <w:tr>
        <w:trPr>
          <w:trHeight w:val="162"/>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(3,207)</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(2,474)</w:t>
            </w:r>
          </w:p>
        </w:tc>
      </w:tr>
      <w:tr>
        <w:trPr>
          <w:trHeight w:val="27"/>
        </w:trPr>
        <w:tc>
          <w:tcPr>
            <w:tcW w:w="6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89"/>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income, net</w:t>
            </w: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5,114</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2,622</w:t>
            </w:r>
          </w:p>
        </w:tc>
      </w:tr>
      <w:tr>
        <w:trPr>
          <w:trHeight w:val="151"/>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Total other income, net</w:t>
            </w: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69,620</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200,759</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27"/>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58"/>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(598,032)</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(245,390)</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(241,340)</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49,052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and comprehensive loss</w:t>
            </w:r>
          </w:p>
        </w:tc>
        <w:tc>
          <w:tcPr>
            <w:tcW w:w="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(548,980)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(245,390)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(241,340)</w:t>
            </w:r>
          </w:p>
        </w:tc>
      </w:tr>
      <w:tr>
        <w:trPr>
          <w:trHeight w:val="153"/>
        </w:trPr>
        <w:tc>
          <w:tcPr>
            <w:tcW w:w="64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r>
      <w:tr>
        <w:trPr>
          <w:trHeight w:val="169"/>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Class A common stock</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337,819,680</w:t>
            </w:r>
          </w:p>
        </w:tc>
        <w:tc>
          <w:tcPr>
            <w:tcW w:w="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108,077,439</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5,131</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 net loss per share, Class A common stock</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(47,036)</w:t>
            </w:r>
          </w:p>
        </w:tc>
      </w:tr>
    </w:tbl>
    <w:p>
      <w:pPr>
        <w:sectPr>
          <w:pgSz w:w="11900" w:h="16838" w:orient="portrait"/>
          <w:cols w:equalWidth="0" w:num="1">
            <w:col w:w="11300"/>
          </w:cols>
          <w:pgMar w:left="300" w:top="136" w:right="2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Exhibit 99.1</w:t>
            </w:r>
          </w:p>
        </w:tc>
      </w:tr>
      <w:tr>
        <w:trPr>
          <w:trHeight w:val="820"/>
        </w:trPr>
        <w:tc>
          <w:tcPr>
            <w:tcW w:w="7300" w:type="dxa"/>
            <w:vAlign w:val="bottom"/>
            <w:gridSpan w:val="2"/>
          </w:tcPr>
          <w:p>
            <w:pPr>
              <w:jc w:val="center"/>
              <w:ind w:left="3926"/>
              <w:spacing w:after="0"/>
              <w:rPr>
                <w:sz w:val="20"/>
                <w:szCs w:val="20"/>
                <w:color w:val="auto"/>
              </w:rPr>
            </w:pPr>
            <w:r>
              <w:rPr>
                <w:rFonts w:ascii="Times New Roman" w:cs="Times New Roman" w:eastAsia="Times New Roman" w:hAnsi="Times New Roman"/>
                <w:sz w:val="12"/>
                <w:szCs w:val="12"/>
                <w:b w:val="1"/>
                <w:bCs w:val="1"/>
                <w:color w:val="auto"/>
              </w:rPr>
              <w:t>GeneDx Holdings Corp.</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9"/>
        </w:trPr>
        <w:tc>
          <w:tcPr>
            <w:tcW w:w="7300" w:type="dxa"/>
            <w:vAlign w:val="bottom"/>
            <w:gridSpan w:val="2"/>
          </w:tcPr>
          <w:p>
            <w:pPr>
              <w:jc w:val="center"/>
              <w:ind w:left="3946"/>
              <w:spacing w:after="0"/>
              <w:rPr>
                <w:sz w:val="20"/>
                <w:szCs w:val="20"/>
                <w:color w:val="auto"/>
              </w:rPr>
            </w:pPr>
            <w:r>
              <w:rPr>
                <w:rFonts w:ascii="Times New Roman" w:cs="Times New Roman" w:eastAsia="Times New Roman" w:hAnsi="Times New Roman"/>
                <w:sz w:val="12"/>
                <w:szCs w:val="12"/>
                <w:b w:val="1"/>
                <w:bCs w:val="1"/>
                <w:color w:val="auto"/>
                <w:w w:val="99"/>
              </w:rPr>
              <w:t>Consolidated Statements of Cash Flows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71"/>
        </w:trPr>
        <w:tc>
          <w:tcPr>
            <w:tcW w:w="7300" w:type="dxa"/>
            <w:vAlign w:val="bottom"/>
            <w:gridSpan w:val="2"/>
          </w:tcPr>
          <w:p>
            <w:pPr>
              <w:jc w:val="center"/>
              <w:ind w:left="3926"/>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2"/>
        </w:trPr>
        <w:tc>
          <w:tcPr>
            <w:tcW w:w="63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7300" w:type="dxa"/>
            <w:vAlign w:val="bottom"/>
            <w:gridSpan w:val="2"/>
          </w:tcPr>
          <w:p>
            <w:pPr>
              <w:ind w:left="706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2021 Audited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2020 Audited</w:t>
            </w:r>
          </w:p>
        </w:tc>
        <w:tc>
          <w:tcPr>
            <w:tcW w:w="460" w:type="dxa"/>
            <w:vAlign w:val="bottom"/>
          </w:tcPr>
          <w:p>
            <w:pPr>
              <w:spacing w:after="0"/>
              <w:rPr>
                <w:sz w:val="12"/>
                <w:szCs w:val="12"/>
                <w:color w:val="auto"/>
              </w:rPr>
            </w:pPr>
          </w:p>
        </w:tc>
      </w:tr>
      <w:tr>
        <w:trPr>
          <w:trHeight w:val="139"/>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(548,980)</w:t>
            </w:r>
          </w:p>
        </w:tc>
        <w:tc>
          <w:tcPr>
            <w:tcW w:w="80" w:type="dxa"/>
            <w:vAlign w:val="bottom"/>
          </w:tcPr>
          <w:p>
            <w:pPr>
              <w:spacing w:after="0"/>
              <w:rPr>
                <w:sz w:val="12"/>
                <w:szCs w:val="12"/>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(245,390)</w:t>
            </w:r>
          </w:p>
        </w:tc>
        <w:tc>
          <w:tcPr>
            <w:tcW w:w="120" w:type="dxa"/>
            <w:vAlign w:val="bottom"/>
          </w:tcPr>
          <w:p>
            <w:pPr>
              <w:spacing w:after="0"/>
              <w:rPr>
                <w:sz w:val="12"/>
                <w:szCs w:val="12"/>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(241,340)</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8"/>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r>
      <w:tr>
        <w:trPr>
          <w:trHeight w:val="14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expense</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59,309</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21,807</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11,734</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41,975</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219,421</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120,231</w:t>
            </w:r>
          </w:p>
        </w:tc>
      </w:tr>
      <w:tr>
        <w:trPr>
          <w:trHeight w:val="14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Change in fair value of warrant and contingent liabilities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(70,229)</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(198,401)</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 tax benefit</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(49,124)</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88"/>
              </w:rPr>
              <w:t>— —</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Non-cash lease expense</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w:t>
            </w:r>
          </w:p>
        </w:tc>
      </w:tr>
      <w:tr>
        <w:trPr>
          <w:trHeight w:val="14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301</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Impairment loss</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210,145</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Change in operating assets and liabilities, net of effects from purchase of business:</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r>
      <w:tr>
        <w:trPr>
          <w:trHeight w:val="149"/>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Accounts receivable</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5,527</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5,535</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(10,611)</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Inventory</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4,600</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(10,624)</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(8,979)</w:t>
            </w:r>
          </w:p>
        </w:tc>
      </w:tr>
      <w:tr>
        <w:trPr>
          <w:trHeight w:val="149"/>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11,130</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(14,250)</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Due to/from related parties</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r>
      <w:tr>
        <w:trPr>
          <w:trHeight w:val="149"/>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(1,861)</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34,459</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25,916</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14,805</w:t>
            </w:r>
          </w:p>
        </w:tc>
      </w:tr>
      <w:tr>
        <w:trPr>
          <w:trHeight w:val="149"/>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Contract liabilities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1"/>
        </w:trPr>
        <w:tc>
          <w:tcPr>
            <w:tcW w:w="6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9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(19,467)</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3,239</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15,960</w:t>
            </w:r>
          </w:p>
        </w:tc>
      </w:tr>
      <w:tr>
        <w:trPr>
          <w:trHeight w:val="178"/>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9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(319,155)</w:t>
            </w:r>
          </w:p>
        </w:tc>
        <w:tc>
          <w:tcPr>
            <w:tcW w:w="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7"/>
              </w:rPr>
              <w:t>(190,434)</w:t>
            </w:r>
          </w:p>
        </w:tc>
        <w:tc>
          <w:tcPr>
            <w:tcW w:w="1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(93,128)</w:t>
            </w:r>
          </w:p>
        </w:tc>
      </w:tr>
      <w:tr>
        <w:trPr>
          <w:trHeight w:val="124"/>
        </w:trPr>
        <w:tc>
          <w:tcPr>
            <w:tcW w:w="63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business, net of cash acquired</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(127,004)</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(7,156)</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(9,400)</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(24,094)</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1"/>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Development of internal-use software assets</w:t>
            </w:r>
          </w:p>
        </w:tc>
        <w:tc>
          <w:tcPr>
            <w:tcW w:w="9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(7,166)</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(11,386)</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(7,880)</w:t>
            </w:r>
          </w:p>
        </w:tc>
      </w:tr>
      <w:tr>
        <w:trPr>
          <w:trHeight w:val="182"/>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9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(141,326)</w:t>
            </w:r>
          </w:p>
        </w:tc>
        <w:tc>
          <w:tcPr>
            <w:tcW w:w="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(20,786)</w:t>
            </w:r>
          </w:p>
        </w:tc>
        <w:tc>
          <w:tcPr>
            <w:tcW w:w="1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(31,974)</w:t>
            </w:r>
          </w:p>
        </w:tc>
      </w:tr>
      <w:tr>
        <w:trPr>
          <w:trHeight w:val="120"/>
        </w:trPr>
        <w:tc>
          <w:tcPr>
            <w:tcW w:w="63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8"/>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issuance of Series C redeemable convertible preferred stock, net of issuance costs</w:t>
            </w: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117,324</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Proceeds from PIPE issuance</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197,659</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350,000</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equity infusion from the merger, net of redemptions</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442,684</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Legacy Sema4 Shareholder payout</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(230,665)</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Payment of transaction costs</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(51,760)</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Appreciation Rights payout</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(3,795)</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Repayment of long-term debt</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(8,741)</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2,948</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1,271</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long-term debt</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15,928</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Long-term debt principal payments</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r>
      <w:tr>
        <w:trPr>
          <w:trHeight w:val="22"/>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1"/>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Debt issuance costs</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3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Finance lease principal payments</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(3,728)</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(4,010)</w:t>
            </w:r>
          </w:p>
        </w:tc>
      </w:tr>
      <w:tr>
        <w:trPr>
          <w:trHeight w:val="22"/>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6"/>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9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197,315</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493,729</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129,056</w:t>
            </w:r>
          </w:p>
        </w:tc>
      </w:tr>
    </w:tbl>
    <w:p>
      <w:pPr>
        <w:sectPr>
          <w:pgSz w:w="11900" w:h="16838" w:orient="portrait"/>
          <w:cols w:equalWidth="0" w:num="1">
            <w:col w:w="11300"/>
          </w:cols>
          <w:pgMar w:left="300" w:top="136" w:right="299" w:bottom="1440" w:gutter="0" w:footer="0" w:header="0"/>
        </w:sectPr>
      </w:pPr>
    </w:p>
    <w:bookmarkStart w:id="15" w:name="page16"/>
    <w:bookmarkEnd w:id="15"/>
    <w:p>
      <w:pPr>
        <w:jc w:val="right"/>
        <w:spacing w:after="0"/>
        <w:rPr>
          <w:sz w:val="20"/>
          <w:szCs w:val="20"/>
          <w:color w:val="auto"/>
        </w:rPr>
      </w:pPr>
      <w:r>
        <w:rPr>
          <w:rFonts w:ascii="Arial" w:cs="Arial" w:eastAsia="Arial" w:hAnsi="Arial"/>
          <w:sz w:val="12"/>
          <w:szCs w:val="1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97"/>
              </w:rPr>
              <w:t>(263,166)</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282,509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3,954</w:t>
            </w:r>
          </w:p>
        </w:tc>
      </w:tr>
      <w:tr>
        <w:trPr>
          <w:trHeight w:val="149"/>
        </w:trPr>
        <w:tc>
          <w:tcPr>
            <w:tcW w:w="6400" w:type="dxa"/>
            <w:vAlign w:val="bottom"/>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year</w:t>
            </w:r>
          </w:p>
        </w:tc>
        <w:tc>
          <w:tcPr>
            <w:tcW w:w="1140" w:type="dxa"/>
            <w:vAlign w:val="bottom"/>
          </w:tcPr>
          <w:p>
            <w:pPr>
              <w:spacing w:after="0"/>
              <w:rPr>
                <w:sz w:val="12"/>
                <w:szCs w:val="12"/>
                <w:color w:val="auto"/>
              </w:rPr>
            </w:pPr>
          </w:p>
        </w:tc>
        <w:tc>
          <w:tcPr>
            <w:tcW w:w="100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401,469</w:t>
            </w:r>
          </w:p>
        </w:tc>
        <w:tc>
          <w:tcPr>
            <w:tcW w:w="680" w:type="dxa"/>
            <w:vAlign w:val="bottom"/>
          </w:tcPr>
          <w:p>
            <w:pPr>
              <w:spacing w:after="0"/>
              <w:rPr>
                <w:sz w:val="12"/>
                <w:szCs w:val="12"/>
                <w:color w:val="auto"/>
              </w:rPr>
            </w:pPr>
          </w:p>
        </w:tc>
        <w:tc>
          <w:tcPr>
            <w:tcW w:w="98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118,960</w:t>
            </w:r>
          </w:p>
        </w:tc>
        <w:tc>
          <w:tcPr>
            <w:tcW w:w="7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115,006</w:t>
            </w:r>
          </w:p>
        </w:tc>
      </w:tr>
      <w:tr>
        <w:trPr>
          <w:trHeight w:val="22"/>
        </w:trPr>
        <w:tc>
          <w:tcPr>
            <w:tcW w:w="6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3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end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rPr>
              <w:t>138,303</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401,469</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118,960</w:t>
            </w:r>
          </w:p>
        </w:tc>
      </w:tr>
      <w:tr>
        <w:trPr>
          <w:trHeight w:val="22"/>
        </w:trPr>
        <w:tc>
          <w:tcPr>
            <w:tcW w:w="64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bl>
    <w:p>
      <w:pPr>
        <w:sectPr>
          <w:pgSz w:w="11900" w:h="16838" w:orient="portrait"/>
          <w:cols w:equalWidth="0" w:num="1">
            <w:col w:w="11300"/>
          </w:cols>
          <w:pgMar w:left="300" w:top="136" w:right="29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2023-03-14T16:17:49Z</dcterms:created>
  <dcterms:modified xsi:type="dcterms:W3CDTF">2023-03-14T16:17:49Z</dcterms:modified>
</cp:coreProperties>
</file>