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is filing this prospectus supplement pursuant to Rule 424 of the Securities Act of 1933, as amended, solely to include, immediately following page S-12, the Registrant’s prospectus dated September 7, 2022 (the “Base Prospectus”), which was inadvertently omitted from the previous filing of this prospectus supplement on April 29, 2024 (the “Original Prospectus Supplement”). The table of contents and certain cross-references have also been revised to reflect the inclusion of the Base Prospectus. No other changes have been made to the Original Prospectus Supplement.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Filed Pursuant to Rule 424(b)(5)</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Registration No. 333-267112</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PROSPECTUS SUPPLEMENT</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(To prospectus dated September 7, 2022)</w:t>
      </w:r>
    </w:p>
    <w:p>
      <w:pPr>
        <w:pStyle w:val="TextBody"/>
        <w:bidi w:val="0"/>
        <w:spacing w:before="0" w:after="180"/>
        <w:jc w:val="center"/>
        <w:rPr/>
      </w:pPr>
      <w:r>
        <w:rPr/>
        <w:drawing>
          <wp:inline distT="0" distB="0" distL="0" distR="0">
            <wp:extent cx="1600200" cy="5524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600200" cy="5524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Up to $75,000,000</w:t>
      </w:r>
    </w:p>
    <w:p>
      <w:pPr>
        <w:pStyle w:val="TextBody"/>
        <w:bidi w:val="0"/>
        <w:spacing w:lineRule="auto" w:line="288" w:before="0" w:after="180"/>
        <w:jc w:val="center"/>
        <w:rPr>
          <w:rFonts w:ascii="Times New Roman;sans-serif" w:hAnsi="Times New Roman;sans-serif"/>
          <w:b/>
          <w:color w:val="000000"/>
          <w:sz w:val="32"/>
        </w:rPr>
      </w:pPr>
      <w:r>
        <w:rPr>
          <w:rFonts w:ascii="Times New Roman;sans-serif" w:hAnsi="Times New Roman;sans-serif"/>
          <w:b/>
          <w:color w:val="000000"/>
          <w:sz w:val="32"/>
        </w:rPr>
        <w:t xml:space="preserve">Class A Common Stock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 sales agreement (the “Sales Agreement”), with TD Securities (USA) LLC (“TD Cowen”), relating to shares of our Class A common stock (the “Class A common stock”) offered by this prospectus supplement and the accompanying prospectus. In accordance with the terms of the Sales Agreement, we may offer and sell shares of our Class A common stock having an aggregate offering price of up to $75,000,000 from time to time through TD Cowen acting as our agent.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common stock is traded on The Nasdaq Global Select Market (the “Nasdaq”) under the symbol “WGS.” On April 26, 2024, the last reported sales price of our Class A common stock was $11.08 per share. </w:t>
      </w:r>
    </w:p>
    <w:p>
      <w:pPr>
        <w:pStyle w:val="TextBody"/>
        <w:bidi w:val="0"/>
        <w:spacing w:lineRule="auto" w:line="288" w:before="0" w:after="180"/>
        <w:jc w:val="both"/>
        <w:rPr/>
      </w:pPr>
      <w:r>
        <w:rPr>
          <w:rFonts w:ascii="Times New Roman;sans-serif" w:hAnsi="Times New Roman;sans-serif"/>
          <w:b w:val="false"/>
          <w:color w:val="000000"/>
          <w:sz w:val="20"/>
        </w:rPr>
        <w:t xml:space="preserve">Sales of our Class A common stock, if any, under this prospectus supplement </w:t>
      </w:r>
      <w:r>
        <w:rPr>
          <w:rFonts w:ascii="Times New Roman;sans-serif" w:hAnsi="Times New Roman;sans-serif"/>
          <w:b w:val="false"/>
          <w:color w:val="000000"/>
          <w:sz w:val="20"/>
          <w:shd w:fill="FFFFFF" w:val="clear"/>
        </w:rPr>
        <w:t>and the accompanying prospectus</w:t>
      </w:r>
      <w:r>
        <w:rPr>
          <w:color w:val="000000"/>
        </w:rPr>
        <w:t xml:space="preserve"> </w:t>
      </w:r>
      <w:r>
        <w:rPr>
          <w:rFonts w:ascii="Times New Roman;sans-serif" w:hAnsi="Times New Roman;sans-serif"/>
          <w:b w:val="false"/>
          <w:color w:val="000000"/>
          <w:sz w:val="20"/>
        </w:rPr>
        <w:t>may be made in sales deemed to be an “at the market offering” as defined in Rule 415(a)(4) promulgated under the Securities Act of 1933, as amended (the “Securities Act”). TD Cowen is not required to sell any specific number or dollar amount of securities, but will act as a sales agent using commercially reasonable efforts consistent with its normal trading and sales practices, on mutually agreed terms between TD Cowen and us. There is no arrangement for funds to be received in any escrow, trust or similar arrangement.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to TD Cowen for sales of Class A common stock sold pursuant to the Sales Agreement will be an amount up to 3.0% of the gross proceeds of any shares of Class A common stock sold under the Sales Agreement. In connection with the sale of the Class A common stock on our behalf, TD Cowen will be deemed to be an “underwriter” within the meaning of the Securities Act and the compensation of TD Cowen will be deemed to be underwriting commissions or discounts. We have also agreed to provide indemnification and contribution to TD Cowen with respect to certain liabilities, including liabilities under the Securities Act or the Securities Exchange Act of 1934, as amended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color w:val="000000"/>
          <w:sz w:val="20"/>
        </w:rPr>
        <w:t xml:space="preserve">We are an “emerging growth company” as defined in Section 2(a) of the Securities Act of 1933, as amended, and a “smaller reporting company” as defined in Rule 12b-2 under the Securities Exchange Act of 1934, as amended, and, as such, have elected to comply with certain reduced disclosure and regulatory requirements. Investing in our securities involves a high degree of risk. You should review carefully the risks and uncertainties referenced under the heading “Risk Factors” on page </w:t>
      </w:r>
      <w:hyperlink w:anchor="i212d335bcfc949c484bc9d2104a859be_19">
        <w:r>
          <w:rPr>
            <w:rStyle w:val="InternetLink"/>
            <w:rFonts w:ascii="Times New Roman;sans-serif" w:hAnsi="Times New Roman;sans-serif"/>
            <w:b/>
            <w:color w:val="0000FF"/>
            <w:sz w:val="20"/>
            <w:u w:val="single"/>
          </w:rPr>
          <w:t>S-6</w:t>
        </w:r>
      </w:hyperlink>
      <w:r>
        <w:rPr>
          <w:color w:val="000000"/>
        </w:rPr>
        <w:t xml:space="preserve"> </w:t>
      </w:r>
      <w:r>
        <w:rPr>
          <w:rFonts w:ascii="Times New Roman;sans-serif" w:hAnsi="Times New Roman;sans-serif"/>
          <w:b/>
          <w:color w:val="000000"/>
          <w:sz w:val="20"/>
        </w:rPr>
        <w:t xml:space="preserve">of this prospectus supplement, as well as the sections entitled “Risk Factors” beginning on page 20 of our Annual Report on Form 10-K for the year ended December 31, 2023 and beginning on page 32 of our Quarterly Report on Form 10-Q for the quarter ended March 31, 2024, which reports are incorporated by reference in this prospectus supplement and the accompanying prospectus, before investing in our securities.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Neither the Securities and Exchange Commission nor any state securities commission has approved or disapproved of these securities or determined if this prospectus supplement is truthful or complete. Any representation to the contrary is a criminal offense.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color w:val="000000"/>
          <w:sz w:val="32"/>
        </w:rPr>
      </w:pPr>
      <w:r>
        <w:rPr>
          <w:rFonts w:ascii="Times New Roman;sans-serif" w:hAnsi="Times New Roman;sans-serif"/>
          <w:b/>
          <w:color w:val="000000"/>
          <w:sz w:val="32"/>
        </w:rPr>
        <w:t>TD Cowen</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date of this prospectus supplement is April 29, 2024.</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33" w:after="3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tbl>
      <w:tblPr>
        <w:tblW w:w="8026" w:type="dxa"/>
        <w:jc w:val="left"/>
        <w:tblInd w:w="0" w:type="dxa"/>
        <w:tblLayout w:type="fixed"/>
        <w:tblCellMar>
          <w:top w:w="28" w:type="dxa"/>
          <w:left w:w="28" w:type="dxa"/>
          <w:bottom w:w="28" w:type="dxa"/>
          <w:right w:w="28" w:type="dxa"/>
        </w:tblCellMar>
      </w:tblPr>
      <w:tblGrid>
        <w:gridCol w:w="2656"/>
        <w:gridCol w:w="2336"/>
        <w:gridCol w:w="2343"/>
        <w:gridCol w:w="202"/>
        <w:gridCol w:w="202"/>
        <w:gridCol w:w="287"/>
      </w:tblGrid>
      <w:tr>
        <w:trPr/>
        <w:tc>
          <w:tcPr>
            <w:tcW w:w="265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Prospectus Supplement</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7">
              <w:r>
                <w:rPr>
                  <w:rStyle w:val="InternetLink"/>
                  <w:rFonts w:ascii="Times New Roman;sans-serif" w:hAnsi="Times New Roman;sans-serif"/>
                  <w:b w:val="false"/>
                  <w:color w:val="0000FF"/>
                  <w:sz w:val="20"/>
                  <w:u w:val="single"/>
                </w:rPr>
                <w:t xml:space="preserve">ABOUT THIS PROSPECTUS SUPPLEMENT </w:t>
              </w:r>
            </w:hyperlink>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212d335bcfc949c484bc9d2104a859be_7">
              <w:r>
                <w:rPr>
                  <w:rStyle w:val="InternetLink"/>
                  <w:rFonts w:ascii="Times New Roman;sans-serif" w:hAnsi="Times New Roman;sans-serif"/>
                  <w:b w:val="false"/>
                  <w:color w:val="0000FF"/>
                  <w:sz w:val="20"/>
                  <w:u w:val="single"/>
                </w:rPr>
                <w:t>S-1</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7">
              <w:r>
                <w:rPr>
                  <w:rStyle w:val="InternetLink"/>
                  <w:rFonts w:ascii="Times New Roman;sans-serif" w:hAnsi="Times New Roman;sans-serif"/>
                  <w:b w:val="false"/>
                  <w:color w:val="0000FF"/>
                  <w:sz w:val="20"/>
                  <w:u w:val="single"/>
                </w:rPr>
                <w:t>WHERE YOU CAN FIND MORE INFORMATION; INCORPORATION BY REFERENCE</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10">
              <w:r>
                <w:rPr>
                  <w:rStyle w:val="InternetLink"/>
                  <w:rFonts w:ascii="Times New Roman;sans-serif" w:hAnsi="Times New Roman;sans-serif"/>
                  <w:b w:val="false"/>
                  <w:color w:val="0000FF"/>
                  <w:sz w:val="20"/>
                  <w:u w:val="single"/>
                </w:rPr>
                <w:t>S-2</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13">
              <w:r>
                <w:rPr>
                  <w:rStyle w:val="InternetLink"/>
                  <w:rFonts w:ascii="Times New Roman;sans-serif" w:hAnsi="Times New Roman;sans-serif"/>
                  <w:b w:val="false"/>
                  <w:color w:val="0000FF"/>
                  <w:sz w:val="20"/>
                  <w:u w:val="single"/>
                </w:rPr>
                <w:t>PROSPECTUS SUPPLEMENT SUMMARY</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13">
              <w:r>
                <w:rPr>
                  <w:rStyle w:val="InternetLink"/>
                  <w:rFonts w:ascii="Times New Roman;sans-serif" w:hAnsi="Times New Roman;sans-serif"/>
                  <w:b w:val="false"/>
                  <w:color w:val="0000FF"/>
                  <w:sz w:val="20"/>
                  <w:u w:val="single"/>
                </w:rPr>
                <w:t>S-3</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13">
              <w:r>
                <w:rPr>
                  <w:rStyle w:val="InternetLink"/>
                  <w:rFonts w:ascii="Times New Roman;sans-serif" w:hAnsi="Times New Roman;sans-serif"/>
                  <w:b w:val="false"/>
                  <w:color w:val="0000FF"/>
                  <w:sz w:val="20"/>
                  <w:u w:val="single"/>
                </w:rPr>
                <w:t>THE OFFERING</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16">
              <w:r>
                <w:rPr>
                  <w:rStyle w:val="InternetLink"/>
                  <w:rFonts w:ascii="Times New Roman;sans-serif" w:hAnsi="Times New Roman;sans-serif"/>
                  <w:b w:val="false"/>
                  <w:color w:val="0000FF"/>
                  <w:sz w:val="20"/>
                  <w:u w:val="single"/>
                </w:rPr>
                <w:t>S-5</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19">
              <w:r>
                <w:rPr>
                  <w:rStyle w:val="InternetLink"/>
                  <w:rFonts w:ascii="Times New Roman;sans-serif" w:hAnsi="Times New Roman;sans-serif"/>
                  <w:b w:val="false"/>
                  <w:color w:val="0000FF"/>
                  <w:sz w:val="20"/>
                  <w:u w:val="single"/>
                </w:rPr>
                <w:t>RISK FACTORS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19">
              <w:r>
                <w:rPr>
                  <w:rStyle w:val="InternetLink"/>
                  <w:rFonts w:ascii="Times New Roman;sans-serif" w:hAnsi="Times New Roman;sans-serif"/>
                  <w:b w:val="false"/>
                  <w:color w:val="0000FF"/>
                  <w:sz w:val="20"/>
                  <w:u w:val="single"/>
                </w:rPr>
                <w:t>S-6</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19">
              <w:r>
                <w:rPr>
                  <w:rStyle w:val="InternetLink"/>
                  <w:rFonts w:ascii="Times New Roman;sans-serif" w:hAnsi="Times New Roman;sans-serif"/>
                  <w:b w:val="false"/>
                  <w:color w:val="0000FF"/>
                  <w:sz w:val="20"/>
                  <w:u w:val="single"/>
                </w:rPr>
                <w:t>CAUTIONARY NOTE REGARDING FORWARD-LOOKING STATEMENTS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22">
              <w:r>
                <w:rPr>
                  <w:rStyle w:val="InternetLink"/>
                  <w:rFonts w:ascii="Times New Roman;sans-serif" w:hAnsi="Times New Roman;sans-serif"/>
                  <w:b w:val="false"/>
                  <w:color w:val="0000FF"/>
                  <w:sz w:val="20"/>
                  <w:u w:val="single"/>
                </w:rPr>
                <w:t>S-8</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19">
              <w:r>
                <w:rPr>
                  <w:rStyle w:val="InternetLink"/>
                  <w:rFonts w:ascii="Times New Roman;sans-serif" w:hAnsi="Times New Roman;sans-serif"/>
                  <w:b w:val="false"/>
                  <w:color w:val="0000FF"/>
                  <w:sz w:val="20"/>
                  <w:u w:val="single"/>
                </w:rPr>
                <w:t>USE OF PROCEEDS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25">
              <w:r>
                <w:rPr>
                  <w:rStyle w:val="InternetLink"/>
                  <w:rFonts w:ascii="Times New Roman;sans-serif" w:hAnsi="Times New Roman;sans-serif"/>
                  <w:b w:val="false"/>
                  <w:color w:val="0000FF"/>
                  <w:sz w:val="20"/>
                  <w:u w:val="single"/>
                </w:rPr>
                <w:t>S-9</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19">
              <w:r>
                <w:rPr>
                  <w:rStyle w:val="InternetLink"/>
                  <w:rFonts w:ascii="Times New Roman;sans-serif" w:hAnsi="Times New Roman;sans-serif"/>
                  <w:b w:val="false"/>
                  <w:color w:val="0000FF"/>
                  <w:sz w:val="20"/>
                  <w:u w:val="single"/>
                </w:rPr>
                <w:t>DILUTION</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28">
              <w:r>
                <w:rPr>
                  <w:rStyle w:val="InternetLink"/>
                  <w:rFonts w:ascii="Times New Roman;sans-serif" w:hAnsi="Times New Roman;sans-serif"/>
                  <w:b w:val="false"/>
                  <w:color w:val="0000FF"/>
                  <w:sz w:val="20"/>
                  <w:u w:val="single"/>
                </w:rPr>
                <w:t>S-10</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31">
              <w:r>
                <w:rPr>
                  <w:rStyle w:val="InternetLink"/>
                  <w:rFonts w:ascii="Times New Roman;sans-serif" w:hAnsi="Times New Roman;sans-serif"/>
                  <w:b w:val="false"/>
                  <w:color w:val="0000FF"/>
                  <w:sz w:val="20"/>
                  <w:u w:val="single"/>
                </w:rPr>
                <w:t>PLAN OF DISTRIBUTION</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31">
              <w:r>
                <w:rPr>
                  <w:rStyle w:val="InternetLink"/>
                  <w:rFonts w:ascii="Times New Roman;sans-serif" w:hAnsi="Times New Roman;sans-serif"/>
                  <w:b w:val="false"/>
                  <w:color w:val="0000FF"/>
                  <w:sz w:val="20"/>
                  <w:u w:val="single"/>
                </w:rPr>
                <w:t>S-11</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31">
              <w:r>
                <w:rPr>
                  <w:rStyle w:val="InternetLink"/>
                  <w:rFonts w:ascii="Times New Roman;sans-serif" w:hAnsi="Times New Roman;sans-serif"/>
                  <w:b w:val="false"/>
                  <w:color w:val="0000FF"/>
                  <w:sz w:val="20"/>
                  <w:u w:val="single"/>
                </w:rPr>
                <w:t>LEGAL MATTERS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34">
              <w:r>
                <w:rPr>
                  <w:rStyle w:val="InternetLink"/>
                  <w:rFonts w:ascii="Times New Roman;sans-serif" w:hAnsi="Times New Roman;sans-serif"/>
                  <w:b w:val="false"/>
                  <w:color w:val="0000FF"/>
                  <w:sz w:val="20"/>
                  <w:u w:val="single"/>
                </w:rPr>
                <w:t>S-12</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31">
              <w:r>
                <w:rPr>
                  <w:rStyle w:val="InternetLink"/>
                  <w:rFonts w:ascii="Times New Roman;sans-serif" w:hAnsi="Times New Roman;sans-serif"/>
                  <w:b w:val="false"/>
                  <w:color w:val="0000FF"/>
                  <w:sz w:val="20"/>
                  <w:u w:val="single"/>
                </w:rPr>
                <w:t>EXPERTS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37">
              <w:r>
                <w:rPr>
                  <w:rStyle w:val="InternetLink"/>
                  <w:rFonts w:ascii="Times New Roman;sans-serif" w:hAnsi="Times New Roman;sans-serif"/>
                  <w:b w:val="false"/>
                  <w:color w:val="0000FF"/>
                  <w:sz w:val="20"/>
                  <w:u w:val="single"/>
                </w:rPr>
                <w:t>S-12</w:t>
              </w:r>
            </w:hyperlink>
          </w:p>
        </w:tc>
      </w:tr>
    </w:tbl>
    <w:p>
      <w:pPr>
        <w:pStyle w:val="TextBody"/>
        <w:bidi w:val="0"/>
        <w:spacing w:before="0" w:after="0"/>
        <w:jc w:val="left"/>
        <w:rPr/>
      </w:pPr>
      <w:r>
        <w:rPr/>
      </w:r>
    </w:p>
    <w:tbl>
      <w:tblPr>
        <w:tblW w:w="6701" w:type="dxa"/>
        <w:jc w:val="left"/>
        <w:tblInd w:w="0" w:type="dxa"/>
        <w:tblLayout w:type="fixed"/>
        <w:tblCellMar>
          <w:top w:w="28" w:type="dxa"/>
          <w:left w:w="28" w:type="dxa"/>
          <w:bottom w:w="28" w:type="dxa"/>
          <w:right w:w="28" w:type="dxa"/>
        </w:tblCellMar>
      </w:tblPr>
      <w:tblGrid>
        <w:gridCol w:w="2291"/>
        <w:gridCol w:w="2011"/>
        <w:gridCol w:w="2027"/>
        <w:gridCol w:w="109"/>
        <w:gridCol w:w="109"/>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Prospectus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46">
              <w:r>
                <w:rPr>
                  <w:rStyle w:val="InternetLink"/>
                  <w:rFonts w:ascii="Times New Roman;sans-serif" w:hAnsi="Times New Roman;sans-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46">
              <w:r>
                <w:rPr>
                  <w:rStyle w:val="InternetLink"/>
                  <w:rFonts w:ascii="Times New Roman;sans-serif" w:hAnsi="Times New Roman;sans-serif"/>
                  <w:b w:val="false"/>
                  <w:color w:val="0000FF"/>
                  <w:sz w:val="20"/>
                  <w:u w:val="single"/>
                </w:rPr>
                <w:t>1</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49">
              <w:r>
                <w:rPr>
                  <w:rStyle w:val="InternetLink"/>
                  <w:rFonts w:ascii="Times New Roman;sans-serif" w:hAnsi="Times New Roman;sans-serif"/>
                  <w:b w:val="false"/>
                  <w:color w:val="0000FF"/>
                  <w:sz w:val="20"/>
                  <w:u w:val="single"/>
                </w:rPr>
                <w:t>SELECTED DEFINITIONS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49">
              <w:r>
                <w:rPr>
                  <w:rStyle w:val="InternetLink"/>
                  <w:rFonts w:ascii="Times New Roman;sans-serif" w:hAnsi="Times New Roman;sans-serif"/>
                  <w:b w:val="false"/>
                  <w:color w:val="0000FF"/>
                  <w:sz w:val="20"/>
                  <w:u w:val="single"/>
                </w:rPr>
                <w:t>2</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52">
              <w:r>
                <w:rPr>
                  <w:rStyle w:val="InternetLink"/>
                  <w:rFonts w:ascii="Times New Roman;sans-serif" w:hAnsi="Times New Roman;sans-serif"/>
                  <w:b w:val="false"/>
                  <w:color w:val="0000FF"/>
                  <w:sz w:val="20"/>
                  <w:u w:val="single"/>
                </w:rPr>
                <w:t>PROSPECTUS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52">
              <w:r>
                <w:rPr>
                  <w:rStyle w:val="InternetLink"/>
                  <w:rFonts w:ascii="Times New Roman;sans-serif" w:hAnsi="Times New Roman;sans-serif"/>
                  <w:b w:val="false"/>
                  <w:color w:val="0000FF"/>
                  <w:sz w:val="20"/>
                  <w:u w:val="single"/>
                </w:rPr>
                <w:t>3</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55">
              <w:r>
                <w:rPr>
                  <w:rStyle w:val="InternetLink"/>
                  <w:rFonts w:ascii="Times New Roman;sans-serif" w:hAnsi="Times New Roman;sans-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55">
              <w:r>
                <w:rPr>
                  <w:rStyle w:val="InternetLink"/>
                  <w:rFonts w:ascii="Times New Roman;sans-serif" w:hAnsi="Times New Roman;sans-serif"/>
                  <w:b w:val="false"/>
                  <w:color w:val="0000FF"/>
                  <w:sz w:val="20"/>
                  <w:u w:val="single"/>
                </w:rPr>
                <w:t>5</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58">
              <w:r>
                <w:rPr>
                  <w:rStyle w:val="InternetLink"/>
                  <w:rFonts w:ascii="Times New Roman;sans-serif" w:hAnsi="Times New Roman;sans-serif"/>
                  <w:b w:val="false"/>
                  <w:color w:val="0000FF"/>
                  <w:sz w:val="20"/>
                  <w:u w:val="single"/>
                </w:rPr>
                <w:t>CAUTIONARY NOTE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58">
              <w:r>
                <w:rPr>
                  <w:rStyle w:val="InternetLink"/>
                  <w:rFonts w:ascii="Times New Roman;sans-serif" w:hAnsi="Times New Roman;sans-serif"/>
                  <w:b w:val="false"/>
                  <w:color w:val="0000FF"/>
                  <w:sz w:val="20"/>
                  <w:u w:val="single"/>
                </w:rPr>
                <w:t>6</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61">
              <w:r>
                <w:rPr>
                  <w:rStyle w:val="InternetLink"/>
                  <w:rFonts w:ascii="Times New Roman;sans-serif" w:hAnsi="Times New Roman;sans-serif"/>
                  <w:b w:val="false"/>
                  <w:color w:val="0000FF"/>
                  <w:sz w:val="20"/>
                  <w:u w:val="single"/>
                </w:rPr>
                <w:t>WHERE YOU CAN FIND MORE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61">
              <w:r>
                <w:rPr>
                  <w:rStyle w:val="InternetLink"/>
                  <w:rFonts w:ascii="Times New Roman;sans-serif" w:hAnsi="Times New Roman;sans-serif"/>
                  <w:b w:val="false"/>
                  <w:color w:val="0000FF"/>
                  <w:sz w:val="20"/>
                  <w:u w:val="single"/>
                </w:rPr>
                <w:t>7</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64">
              <w:r>
                <w:rPr>
                  <w:rStyle w:val="InternetLink"/>
                  <w:rFonts w:ascii="Times New Roman;sans-serif" w:hAnsi="Times New Roman;sans-serif"/>
                  <w:b w:val="false"/>
                  <w:color w:val="0000FF"/>
                  <w:sz w:val="20"/>
                  <w:u w:val="single"/>
                </w:rPr>
                <w:t>INCORPORATION OF INFORMATION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64">
              <w:r>
                <w:rPr>
                  <w:rStyle w:val="InternetLink"/>
                  <w:rFonts w:ascii="Times New Roman;sans-serif" w:hAnsi="Times New Roman;sans-serif"/>
                  <w:b w:val="false"/>
                  <w:color w:val="0000FF"/>
                  <w:sz w:val="20"/>
                  <w:u w:val="single"/>
                </w:rPr>
                <w:t>8</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67">
              <w:r>
                <w:rPr>
                  <w:rStyle w:val="InternetLink"/>
                  <w:rFonts w:ascii="Times New Roman;sans-serif" w:hAnsi="Times New Roman;sans-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67">
              <w:r>
                <w:rPr>
                  <w:rStyle w:val="InternetLink"/>
                  <w:rFonts w:ascii="Times New Roman;sans-serif" w:hAnsi="Times New Roman;sans-serif"/>
                  <w:b w:val="false"/>
                  <w:color w:val="0000FF"/>
                  <w:sz w:val="20"/>
                  <w:u w:val="single"/>
                </w:rPr>
                <w:t>9</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70">
              <w:r>
                <w:rPr>
                  <w:rStyle w:val="InternetLink"/>
                  <w:rFonts w:ascii="Times New Roman;sans-serif" w:hAnsi="Times New Roman;sans-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70">
              <w:r>
                <w:rPr>
                  <w:rStyle w:val="InternetLink"/>
                  <w:rFonts w:ascii="Times New Roman;sans-serif" w:hAnsi="Times New Roman;sans-serif"/>
                  <w:b w:val="false"/>
                  <w:color w:val="0000FF"/>
                  <w:sz w:val="20"/>
                  <w:u w:val="single"/>
                </w:rPr>
                <w:t>10</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73">
              <w:r>
                <w:rPr>
                  <w:rStyle w:val="InternetLink"/>
                  <w:rFonts w:ascii="Times New Roman;sans-serif" w:hAnsi="Times New Roman;sans-serif"/>
                  <w:b w:val="false"/>
                  <w:color w:val="0000FF"/>
                  <w:sz w:val="20"/>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73">
              <w:r>
                <w:rPr>
                  <w:rStyle w:val="InternetLink"/>
                  <w:rFonts w:ascii="Times New Roman;sans-serif" w:hAnsi="Times New Roman;sans-serif"/>
                  <w:b w:val="false"/>
                  <w:color w:val="0000FF"/>
                  <w:sz w:val="20"/>
                  <w:u w:val="single"/>
                </w:rPr>
                <w:t>12</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76">
              <w:r>
                <w:rPr>
                  <w:rStyle w:val="InternetLink"/>
                  <w:rFonts w:ascii="Times New Roman;sans-serif" w:hAnsi="Times New Roman;sans-serif"/>
                  <w:b w:val="false"/>
                  <w:color w:val="0000FF"/>
                  <w:sz w:val="20"/>
                  <w:u w:val="single"/>
                </w:rPr>
                <w:t>DESCRIPTION OF DEBT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76">
              <w:r>
                <w:rPr>
                  <w:rStyle w:val="InternetLink"/>
                  <w:rFonts w:ascii="Times New Roman;sans-serif" w:hAnsi="Times New Roman;sans-serif"/>
                  <w:b w:val="false"/>
                  <w:color w:val="0000FF"/>
                  <w:sz w:val="20"/>
                  <w:u w:val="single"/>
                </w:rPr>
                <w:t>15</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79">
              <w:r>
                <w:rPr>
                  <w:rStyle w:val="InternetLink"/>
                  <w:rFonts w:ascii="Times New Roman;sans-serif" w:hAnsi="Times New Roman;sans-serif"/>
                  <w:b w:val="false"/>
                  <w:color w:val="0000FF"/>
                  <w:sz w:val="20"/>
                  <w:u w:val="singl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79">
              <w:r>
                <w:rPr>
                  <w:rStyle w:val="InternetLink"/>
                  <w:rFonts w:ascii="Times New Roman;sans-serif" w:hAnsi="Times New Roman;sans-serif"/>
                  <w:b w:val="false"/>
                  <w:color w:val="0000FF"/>
                  <w:sz w:val="20"/>
                  <w:u w:val="single"/>
                </w:rPr>
                <w:t>22</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82">
              <w:r>
                <w:rPr>
                  <w:rStyle w:val="InternetLink"/>
                  <w:rFonts w:ascii="Times New Roman;sans-serif" w:hAnsi="Times New Roman;sans-serif"/>
                  <w:b w:val="false"/>
                  <w:color w:val="0000FF"/>
                  <w:sz w:val="20"/>
                  <w:u w:val="single"/>
                </w:rPr>
                <w:t>DESCRIPTION OF SUBSCRIPTION RIGHTS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82">
              <w:r>
                <w:rPr>
                  <w:rStyle w:val="InternetLink"/>
                  <w:rFonts w:ascii="Times New Roman;sans-serif" w:hAnsi="Times New Roman;sans-serif"/>
                  <w:b w:val="false"/>
                  <w:color w:val="0000FF"/>
                  <w:sz w:val="20"/>
                  <w:u w:val="single"/>
                </w:rPr>
                <w:t>27</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85">
              <w:r>
                <w:rPr>
                  <w:rStyle w:val="InternetLink"/>
                  <w:rFonts w:ascii="Times New Roman;sans-serif" w:hAnsi="Times New Roman;sans-serif"/>
                  <w:b w:val="false"/>
                  <w:color w:val="0000FF"/>
                  <w:sz w:val="20"/>
                  <w:u w:val="single"/>
                </w:rPr>
                <w:t>DESCRIPTION OF UNITS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85">
              <w:r>
                <w:rPr>
                  <w:rStyle w:val="InternetLink"/>
                  <w:rFonts w:ascii="Times New Roman;sans-serif" w:hAnsi="Times New Roman;sans-serif"/>
                  <w:b w:val="false"/>
                  <w:color w:val="0000FF"/>
                  <w:sz w:val="20"/>
                  <w:u w:val="single"/>
                </w:rPr>
                <w:t>28</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88">
              <w:r>
                <w:rPr>
                  <w:rStyle w:val="InternetLink"/>
                  <w:rFonts w:ascii="Times New Roman;sans-serif" w:hAnsi="Times New Roman;sans-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91">
              <w:r>
                <w:rPr>
                  <w:rStyle w:val="InternetLink"/>
                  <w:rFonts w:ascii="Times New Roman;sans-serif" w:hAnsi="Times New Roman;sans-serif"/>
                  <w:b w:val="false"/>
                  <w:color w:val="0000FF"/>
                  <w:sz w:val="20"/>
                  <w:u w:val="single"/>
                </w:rPr>
                <w:t>29</w:t>
              </w:r>
            </w:hyperlink>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91">
              <w:r>
                <w:rPr>
                  <w:rStyle w:val="InternetLink"/>
                  <w:rFonts w:ascii="Times New Roman;sans-serif" w:hAnsi="Times New Roman;sans-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91">
              <w:r>
                <w:rPr>
                  <w:rStyle w:val="InternetLink"/>
                  <w:rFonts w:ascii="Times New Roman;sans-serif" w:hAnsi="Times New Roman;sans-serif"/>
                  <w:b w:val="false"/>
                  <w:color w:val="0000FF"/>
                  <w:sz w:val="20"/>
                  <w:u w:val="single"/>
                </w:rPr>
                <w:t>29</w:t>
              </w:r>
            </w:hyperlink>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ABOUT THIS PROSPECTUS SUPPLEMENT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prospectus supplement and the accompanying prospectus dated September 7, 2022 are part of a registration statement that we filed with the Securities and Exchange Commission (the “SEC”) using a “shelf” registration process. Under this shelf registration process, we may from time to time sell any combination of the securities described in the accompanying prospectus in one or more offerings having an aggregate offering price of up to $300,000,000. Under this prospectus supplement, we may from time to time sell shares of our Class A common stock having an aggregate offering price of up to $75,000,000, at prices and on terms to be determined by market conditions at the time of the offering. </w:t>
      </w:r>
    </w:p>
    <w:p>
      <w:pPr>
        <w:pStyle w:val="TextBody"/>
        <w:bidi w:val="0"/>
        <w:spacing w:lineRule="auto" w:line="288" w:before="0" w:after="180"/>
        <w:jc w:val="both"/>
        <w:rPr/>
      </w:pPr>
      <w:r>
        <w:rPr>
          <w:rFonts w:ascii="Times New Roman;sans-serif" w:hAnsi="Times New Roman;sans-serif"/>
          <w:b w:val="false"/>
          <w:color w:val="000000"/>
          <w:sz w:val="20"/>
          <w:shd w:fill="FFFFFF" w:val="clear"/>
        </w:rPr>
        <w:t xml:space="preserve">This prospectus supplement describes the terms of this offering of Class A common stock and also adds to and updates information contained in the accompanying prospectus and the documents incorporated by reference into this prospectus supplement </w:t>
      </w:r>
      <w:r>
        <w:rPr>
          <w:rFonts w:ascii="Times New Roman;sans-serif" w:hAnsi="Times New Roman;sans-serif"/>
          <w:b w:val="false"/>
          <w:color w:val="000000"/>
          <w:sz w:val="20"/>
        </w:rPr>
        <w:t>and the accompanying prospectus</w:t>
      </w:r>
      <w:r>
        <w:rPr>
          <w:rFonts w:ascii="Times New Roman;sans-serif" w:hAnsi="Times New Roman;sans-serif"/>
          <w:b w:val="false"/>
          <w:color w:val="000000"/>
          <w:sz w:val="20"/>
          <w:shd w:fill="FFFFFF" w:val="clear"/>
        </w:rPr>
        <w:t xml:space="preserve">. To the extent there is a conflict between the information contained in this prospectus supplement, on the one hand, and the information contained in the accompanying prospectus and any document incorporated by reference into this prospectus supplement </w:t>
      </w:r>
      <w:r>
        <w:rPr>
          <w:rFonts w:ascii="Times New Roman;sans-serif" w:hAnsi="Times New Roman;sans-serif"/>
          <w:b w:val="false"/>
          <w:color w:val="000000"/>
          <w:sz w:val="20"/>
        </w:rPr>
        <w:t>and the accompanying prospectus</w:t>
      </w:r>
      <w:r>
        <w:rPr>
          <w:color w:val="000000"/>
          <w:shd w:fill="FFFFFF" w:val="clear"/>
        </w:rPr>
        <w:t xml:space="preserve"> </w:t>
      </w:r>
      <w:r>
        <w:rPr>
          <w:rFonts w:ascii="Times New Roman;sans-serif" w:hAnsi="Times New Roman;sans-serif"/>
          <w:b w:val="false"/>
          <w:color w:val="000000"/>
          <w:sz w:val="20"/>
          <w:shd w:fill="FFFFFF" w:val="clear"/>
        </w:rPr>
        <w:t>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supplement—the statement in the document having the later date modifies or supersedes the earlier statement.</w:t>
      </w:r>
    </w:p>
    <w:p>
      <w:pPr>
        <w:pStyle w:val="TextBody"/>
        <w:bidi w:val="0"/>
        <w:spacing w:lineRule="auto" w:line="288" w:before="0" w:after="180"/>
        <w:jc w:val="both"/>
        <w:rPr/>
      </w:pPr>
      <w:r>
        <w:rPr>
          <w:rFonts w:ascii="Times New Roman;sans-serif" w:hAnsi="Times New Roman;sans-serif"/>
          <w:b w:val="false"/>
          <w:color w:val="000000"/>
          <w:sz w:val="20"/>
        </w:rPr>
        <w:t xml:space="preserve">Neither we nor TD Cowen has authorized anyone to provide you with any information other than that contained or incorporated by reference in this prospectus supplement and the accompanying prospectus or, if permitted, any related free writing prospectus to which we have referred you. Neither we nor TD Cowen takes any responsibility for, and can provide no assurance as to the reliability of, any other information others may give you. Neither we nor TD Cowen is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w:t>
      </w:r>
      <w:r>
        <w:rPr>
          <w:rFonts w:ascii="Times New Roman;sans-serif" w:hAnsi="Times New Roman;sans-serif"/>
          <w:b w:val="false"/>
          <w:color w:val="000000"/>
          <w:sz w:val="20"/>
          <w:shd w:fill="FFFFFF" w:val="clear"/>
        </w:rPr>
        <w:t>and the accompanying prospectus</w:t>
      </w:r>
      <w:r>
        <w:rPr>
          <w:rFonts w:ascii="Times New Roman;sans-serif" w:hAnsi="Times New Roman;sans-serif"/>
          <w:b w:val="false"/>
          <w:color w:val="000000"/>
          <w:sz w:val="20"/>
        </w:rPr>
        <w:t xml:space="preserve">, the documents incorporated by reference herein and therein and, if permitted,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w:t>
      </w:r>
      <w:r>
        <w:rPr>
          <w:rFonts w:ascii="Times New Roman;sans-serif" w:hAnsi="Times New Roman;sans-serif"/>
          <w:b w:val="false"/>
          <w:color w:val="000000"/>
          <w:sz w:val="20"/>
          <w:shd w:fill="FFFFFF" w:val="clear"/>
        </w:rPr>
        <w:t>and the accompanying prospectus</w:t>
      </w:r>
      <w:r>
        <w:rPr>
          <w:rFonts w:ascii="Times New Roman;sans-serif" w:hAnsi="Times New Roman;sans-serif"/>
          <w:b w:val="false"/>
          <w:color w:val="000000"/>
          <w:sz w:val="20"/>
        </w:rPr>
        <w:t xml:space="preserve">, the documents incorporated by reference herein and therein and, if permitted, any free writing prospectus that we have authorized for use in connection with this offering, in their entirety before making an investment decision.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context otherwise requires, references in this prospectus supplement to: </w:t>
      </w:r>
    </w:p>
    <w:p>
      <w:pPr>
        <w:pStyle w:val="TextBody"/>
        <w:bidi w:val="0"/>
        <w:spacing w:lineRule="auto" w:line="288" w:before="0" w:after="180"/>
        <w:ind w:left="0" w:right="0" w:hanging="360"/>
        <w:jc w:val="both"/>
        <w:rPr/>
      </w:pPr>
      <w:r>
        <w:rPr>
          <w:color w:val="000000"/>
        </w:rPr>
        <w:t>•</w:t>
      </w:r>
      <w:r>
        <w:rPr>
          <w:color w:val="000000"/>
          <w:shd w:fill="FFFFFF" w:val="clear"/>
        </w:rPr>
        <w:t>“</w:t>
      </w:r>
      <w:r>
        <w:rPr>
          <w:rFonts w:ascii="Times New Roman;sans-serif" w:hAnsi="Times New Roman;sans-serif"/>
          <w:b w:val="false"/>
          <w:color w:val="000000"/>
          <w:sz w:val="20"/>
          <w:shd w:fill="FFFFFF" w:val="clear"/>
        </w:rPr>
        <w:t>GeneDx Holdings” refers to GeneDx Holdings Corp., a Delaware corporation (f/k/a Sema4 Holdings Corp.);</w:t>
      </w:r>
    </w:p>
    <w:p>
      <w:pPr>
        <w:pStyle w:val="TextBody"/>
        <w:bidi w:val="0"/>
        <w:spacing w:lineRule="auto" w:line="288" w:before="0" w:after="180"/>
        <w:ind w:left="0" w:right="0" w:hanging="360"/>
        <w:jc w:val="both"/>
        <w:rPr/>
      </w:pPr>
      <w:r>
        <w:rPr>
          <w:color w:val="000000"/>
        </w:rPr>
        <w:t>•</w:t>
      </w:r>
      <w:r>
        <w:rPr>
          <w:color w:val="000000"/>
          <w:shd w:fill="FFFFFF" w:val="clear"/>
        </w:rPr>
        <w:t>“</w:t>
      </w:r>
      <w:r>
        <w:rPr>
          <w:rFonts w:ascii="Times New Roman;sans-serif" w:hAnsi="Times New Roman;sans-serif"/>
          <w:b w:val="false"/>
          <w:color w:val="000000"/>
          <w:sz w:val="20"/>
          <w:shd w:fill="FFFFFF" w:val="clear"/>
        </w:rPr>
        <w:t>Legacy GeneDx” refers to GeneDx, LLC, a Delaware limited liability company (formerly, GeneDx, Inc., a New Jersey corporation), which we acquired on April 29, 2022 (the “Acquisition”);</w:t>
      </w:r>
    </w:p>
    <w:p>
      <w:pPr>
        <w:pStyle w:val="TextBody"/>
        <w:bidi w:val="0"/>
        <w:spacing w:lineRule="auto" w:line="288" w:before="0" w:after="180"/>
        <w:ind w:left="0" w:right="0" w:hanging="360"/>
        <w:jc w:val="both"/>
        <w:rPr/>
      </w:pPr>
      <w:r>
        <w:rPr>
          <w:color w:val="000000"/>
        </w:rPr>
        <w:t>•</w:t>
      </w:r>
      <w:r>
        <w:rPr>
          <w:color w:val="000000"/>
          <w:shd w:fill="FFFFFF" w:val="clear"/>
        </w:rPr>
        <w:t>“</w:t>
      </w:r>
      <w:r>
        <w:rPr>
          <w:rFonts w:ascii="Times New Roman;sans-serif" w:hAnsi="Times New Roman;sans-serif"/>
          <w:b w:val="false"/>
          <w:color w:val="000000"/>
          <w:sz w:val="20"/>
          <w:shd w:fill="FFFFFF" w:val="clear"/>
        </w:rPr>
        <w:t>Legacy Sema4” refers to Mount Sinai Genomics, Inc. d/b/a as Sema4, a Delaware corporation, which consummated the business combination with CM Life Sciences, Inc. (“CMLS”) on July 22, 2021 (the “Business Combination”); and</w:t>
      </w:r>
    </w:p>
    <w:p>
      <w:pPr>
        <w:pStyle w:val="TextBody"/>
        <w:bidi w:val="0"/>
        <w:spacing w:lineRule="auto" w:line="288" w:before="0" w:after="180"/>
        <w:ind w:left="0" w:right="0" w:hanging="360"/>
        <w:jc w:val="both"/>
        <w:rPr/>
      </w:pPr>
      <w:r>
        <w:rPr>
          <w:color w:val="000000"/>
        </w:rPr>
        <w:t>•</w:t>
      </w:r>
      <w:r>
        <w:rPr>
          <w:color w:val="000000"/>
          <w:shd w:fill="FFFFFF" w:val="clear"/>
        </w:rPr>
        <w:t>“</w:t>
      </w:r>
      <w:r>
        <w:rPr>
          <w:rFonts w:ascii="Times New Roman;sans-serif" w:hAnsi="Times New Roman;sans-serif"/>
          <w:b w:val="false"/>
          <w:color w:val="000000"/>
          <w:sz w:val="20"/>
          <w:shd w:fill="FFFFFF" w:val="clear"/>
        </w:rPr>
        <w:t>we,” “us” and “our,” the “Company” and “GeneDx” refer, as the context requires, to:</w:t>
      </w:r>
    </w:p>
    <w:p>
      <w:pPr>
        <w:pStyle w:val="TextBody"/>
        <w:bidi w:val="0"/>
        <w:spacing w:lineRule="auto" w:line="288" w:before="0" w:after="180"/>
        <w:ind w:left="0" w:right="0" w:hanging="36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shd w:fill="FFFFFF" w:val="clear"/>
        </w:rPr>
        <w:t>Legacy Sema4 prior to the Business Combination, and GeneDx Holdings and its consolidated subsidiaries following the consummation of the Business Combination; and</w:t>
      </w:r>
    </w:p>
    <w:p>
      <w:pPr>
        <w:pStyle w:val="TextBody"/>
        <w:bidi w:val="0"/>
        <w:spacing w:lineRule="auto" w:line="288" w:before="0" w:after="180"/>
        <w:ind w:left="0" w:right="0" w:hanging="36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shd w:fill="FFFFFF" w:val="clear"/>
        </w:rPr>
        <w:t>Legacy GeneDx prior to the Acquisition, and GeneDx Holdings and its consolidated subsidiaries following the consummation of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205"/>
                <wp:effectExtent l="0" t="0" r="0" b="0"/>
                <wp:wrapNone/>
                <wp:docPr id="5" name="Frame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WHERE YOU CAN FIND MORE INFORMATION; INCORPORATION BY REFERENCE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Available Information </w:t>
      </w:r>
    </w:p>
    <w:p>
      <w:pPr>
        <w:pStyle w:val="TextBody"/>
        <w:bidi w:val="0"/>
        <w:spacing w:lineRule="auto" w:line="288" w:before="0" w:after="180"/>
        <w:jc w:val="both"/>
        <w:rPr/>
      </w:pPr>
      <w:r>
        <w:rPr>
          <w:rFonts w:ascii="Times New Roman;sans-serif" w:hAnsi="Times New Roman;sans-serif"/>
          <w:b w:val="false"/>
          <w:color w:val="000000"/>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sans-serif" w:hAnsi="Times New Roman;sans-serif"/>
          <w:b w:val="false"/>
          <w:color w:val="0000FF"/>
          <w:sz w:val="20"/>
          <w:u w:val="single"/>
        </w:rPr>
        <w:t>http://www.sec.gov</w:t>
      </w:r>
      <w:r>
        <w:rPr>
          <w:rFonts w:ascii="Times New Roman;sans-serif" w:hAnsi="Times New Roman;sans-serif"/>
          <w:b w:val="false"/>
          <w:color w:val="000000"/>
          <w:sz w:val="20"/>
        </w:rPr>
        <w:t>.</w:t>
      </w:r>
    </w:p>
    <w:p>
      <w:pPr>
        <w:pStyle w:val="TextBody"/>
        <w:bidi w:val="0"/>
        <w:spacing w:lineRule="auto" w:line="288" w:before="0" w:after="180"/>
        <w:jc w:val="both"/>
        <w:rPr/>
      </w:pPr>
      <w:r>
        <w:rPr>
          <w:rFonts w:ascii="Times New Roman;sans-serif" w:hAnsi="Times New Roman;sans-serif"/>
          <w:b w:val="false"/>
          <w:color w:val="000000"/>
          <w:sz w:val="20"/>
        </w:rPr>
        <w:t xml:space="preserve">Our website address is </w:t>
      </w:r>
      <w:r>
        <w:rPr>
          <w:rFonts w:ascii="Times New Roman;sans-serif" w:hAnsi="Times New Roman;sans-serif"/>
          <w:b w:val="false"/>
          <w:color w:val="0000FF"/>
          <w:sz w:val="20"/>
          <w:u w:val="single"/>
        </w:rPr>
        <w:t>http://www.genedx.com</w:t>
      </w:r>
      <w:r>
        <w:rPr>
          <w:rFonts w:ascii="Times New Roman;sans-serif" w:hAnsi="Times New Roman;sans-serif"/>
          <w:b w:val="false"/>
          <w:color w:val="000000"/>
          <w:sz w:val="20"/>
        </w:rPr>
        <w:t>. The information on our website, however, is not, and should not be deemed to be, a part of this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Statements in this prospectus supplement and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Incorporation by Reference</w:t>
      </w:r>
    </w:p>
    <w:p>
      <w:pPr>
        <w:pStyle w:val="TextBody"/>
        <w:bidi w:val="0"/>
        <w:spacing w:lineRule="auto" w:line="288" w:before="0" w:after="180"/>
        <w:jc w:val="both"/>
        <w:rPr/>
      </w:pPr>
      <w:r>
        <w:rPr>
          <w:rFonts w:ascii="Times New Roman;sans-serif" w:hAnsi="Times New Roman;sans-serif"/>
          <w:b w:val="false"/>
          <w:color w:val="000000"/>
          <w:sz w:val="20"/>
        </w:rPr>
        <w:t xml:space="preserve">The SEC’s rules allow us to “incorporate by reference” information into this prospectus supplement </w:t>
      </w:r>
      <w:r>
        <w:rPr>
          <w:rFonts w:ascii="Times New Roman;sans-serif" w:hAnsi="Times New Roman;sans-serif"/>
          <w:b w:val="false"/>
          <w:color w:val="000000"/>
          <w:sz w:val="20"/>
          <w:shd w:fill="FFFFFF" w:val="clear"/>
        </w:rPr>
        <w:t>and the accompanying prospectus</w:t>
      </w:r>
      <w:r>
        <w:rPr>
          <w:rFonts w:ascii="Times New Roman;sans-serif" w:hAnsi="Times New Roman;sans-serif"/>
          <w:b w:val="false"/>
          <w:color w:val="000000"/>
          <w:sz w:val="20"/>
        </w:rPr>
        <w:t xml:space="preserve">, which means that we can disclose important information to you by referring you to another document filed separately with the SEC. The information incorporated by reference is deemed to be part of this prospectus supplement </w:t>
      </w:r>
      <w:r>
        <w:rPr>
          <w:rFonts w:ascii="Times New Roman;sans-serif" w:hAnsi="Times New Roman;sans-serif"/>
          <w:b w:val="false"/>
          <w:color w:val="000000"/>
          <w:sz w:val="20"/>
          <w:shd w:fill="FFFFFF" w:val="clear"/>
        </w:rPr>
        <w:t>and the accompanying prospectus</w:t>
      </w:r>
      <w:r>
        <w:rPr>
          <w:rFonts w:ascii="Times New Roman;sans-serif" w:hAnsi="Times New Roman;sans-serif"/>
          <w:b w:val="false"/>
          <w:color w:val="000000"/>
          <w:sz w:val="20"/>
        </w:rPr>
        <w:t xml:space="preserve">, and subsequent information that we file with the SEC will automatically update and supersede that information. Any statement contained in this prospectus supplement </w:t>
      </w:r>
      <w:r>
        <w:rPr>
          <w:rFonts w:ascii="Times New Roman;sans-serif" w:hAnsi="Times New Roman;sans-serif"/>
          <w:b w:val="false"/>
          <w:color w:val="000000"/>
          <w:sz w:val="20"/>
          <w:shd w:fill="FFFFFF" w:val="clear"/>
        </w:rPr>
        <w:t>and the accompanying prospectus</w:t>
      </w:r>
      <w:r>
        <w:rPr>
          <w:color w:val="000000"/>
        </w:rPr>
        <w:t xml:space="preserve"> </w:t>
      </w:r>
      <w:r>
        <w:rPr>
          <w:rFonts w:ascii="Times New Roman;sans-serif" w:hAnsi="Times New Roman;sans-serif"/>
          <w:b w:val="false"/>
          <w:color w:val="000000"/>
          <w:sz w:val="20"/>
        </w:rPr>
        <w:t xml:space="preserve">or a previously filed document incorporated by reference will be deemed to be modified or superseded for purposes of this prospectus supplement </w:t>
      </w:r>
      <w:r>
        <w:rPr>
          <w:rFonts w:ascii="Times New Roman;sans-serif" w:hAnsi="Times New Roman;sans-serif"/>
          <w:b w:val="false"/>
          <w:color w:val="000000"/>
          <w:sz w:val="20"/>
          <w:shd w:fill="FFFFFF" w:val="clear"/>
        </w:rPr>
        <w:t>and the accompanying prospectus</w:t>
      </w:r>
      <w:r>
        <w:rPr>
          <w:color w:val="000000"/>
        </w:rPr>
        <w:t xml:space="preserve"> </w:t>
      </w:r>
      <w:r>
        <w:rPr>
          <w:rFonts w:ascii="Times New Roman;sans-serif" w:hAnsi="Times New Roman;sans-serif"/>
          <w:b w:val="false"/>
          <w:color w:val="000000"/>
          <w:sz w:val="20"/>
        </w:rPr>
        <w:t xml:space="preserve">to the extent that a statement contained in this prospectus supplement </w:t>
      </w:r>
      <w:r>
        <w:rPr>
          <w:rFonts w:ascii="Times New Roman;sans-serif" w:hAnsi="Times New Roman;sans-serif"/>
          <w:b w:val="false"/>
          <w:color w:val="000000"/>
          <w:sz w:val="20"/>
          <w:shd w:fill="FFFFFF" w:val="clear"/>
        </w:rPr>
        <w:t>and the accompanying prospectus</w:t>
      </w:r>
      <w:r>
        <w:rPr>
          <w:color w:val="000000"/>
        </w:rPr>
        <w:t xml:space="preserve"> </w:t>
      </w:r>
      <w:r>
        <w:rPr>
          <w:rFonts w:ascii="Times New Roman;sans-serif" w:hAnsi="Times New Roman;sans-serif"/>
          <w:b w:val="false"/>
          <w:color w:val="000000"/>
          <w:sz w:val="20"/>
        </w:rPr>
        <w:t>or a subsequently filed document incorporated by reference modifies or replaces that statement.</w:t>
      </w:r>
    </w:p>
    <w:p>
      <w:pPr>
        <w:pStyle w:val="TextBody"/>
        <w:bidi w:val="0"/>
        <w:spacing w:lineRule="auto" w:line="288" w:before="0" w:after="180"/>
        <w:jc w:val="both"/>
        <w:rPr/>
      </w:pPr>
      <w:r>
        <w:rPr>
          <w:rFonts w:ascii="Times New Roman;sans-serif" w:hAnsi="Times New Roman;sans-serif"/>
          <w:b w:val="false"/>
          <w:color w:val="000000"/>
          <w:sz w:val="20"/>
        </w:rPr>
        <w:t xml:space="preserve">This prospectus supplement </w:t>
      </w:r>
      <w:r>
        <w:rPr>
          <w:rFonts w:ascii="Times New Roman;sans-serif" w:hAnsi="Times New Roman;sans-serif"/>
          <w:b w:val="false"/>
          <w:color w:val="000000"/>
          <w:sz w:val="20"/>
          <w:shd w:fill="FFFFFF" w:val="clear"/>
        </w:rPr>
        <w:t>and the accompanying prospectus</w:t>
      </w:r>
      <w:r>
        <w:rPr>
          <w:color w:val="000000"/>
        </w:rPr>
        <w:t xml:space="preserve"> </w:t>
      </w:r>
      <w:r>
        <w:rPr>
          <w:rFonts w:ascii="Times New Roman;sans-serif" w:hAnsi="Times New Roman;sans-serif"/>
          <w:b w:val="false"/>
          <w:color w:val="000000"/>
          <w:sz w:val="20"/>
        </w:rPr>
        <w:t>incorporate by reference the documents set forth below that have previously been filed with the SEC:</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Annual Report on Form 10-K for the year ended December 31, 2023, filed with the SEC on </w:t>
      </w:r>
      <w:hyperlink r:id="rId3">
        <w:r>
          <w:rPr>
            <w:rStyle w:val="InternetLink"/>
            <w:rFonts w:ascii="Times New Roman;sans-serif" w:hAnsi="Times New Roman;sans-serif"/>
            <w:b w:val="false"/>
            <w:color w:val="0000FF"/>
            <w:sz w:val="20"/>
            <w:u w:val="single"/>
          </w:rPr>
          <w:t>February 23, 2024</w:t>
        </w:r>
      </w:hyperlink>
      <w:r>
        <w:rPr>
          <w:rFonts w:ascii="Times New Roman;sans-serif" w:hAnsi="Times New Roman;sans-serif"/>
          <w:b w:val="false"/>
          <w:color w:val="000000"/>
          <w:sz w:val="20"/>
        </w:rPr>
        <w: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Quarterly Report on Form 10-Q for the quarterly period ended March 31, 2024, filed with the SEC on </w:t>
      </w:r>
      <w:hyperlink r:id="rId4">
        <w:r>
          <w:rPr>
            <w:rStyle w:val="InternetLink"/>
            <w:rFonts w:ascii="Times New Roman;sans-serif" w:hAnsi="Times New Roman;sans-serif"/>
            <w:b w:val="false"/>
            <w:color w:val="0000FF"/>
            <w:sz w:val="20"/>
            <w:u w:val="single"/>
          </w:rPr>
          <w:t>April 29, 2024</w:t>
        </w:r>
      </w:hyperlink>
      <w:r>
        <w:rPr>
          <w:rFonts w:ascii="Times New Roman;sans-serif" w:hAnsi="Times New Roman;sans-serif"/>
          <w:b w:val="false"/>
          <w:color w:val="000000"/>
          <w:sz w:val="20"/>
        </w:rPr>
        <w:t xml:space="preserv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Definitive Proxy Statement on Schedule 14A, filed with the SEC on </w:t>
      </w:r>
      <w:hyperlink r:id="rId5">
        <w:r>
          <w:rPr>
            <w:rStyle w:val="InternetLink"/>
            <w:rFonts w:ascii="Times New Roman;sans-serif" w:hAnsi="Times New Roman;sans-serif"/>
            <w:b w:val="false"/>
            <w:color w:val="0000FF"/>
            <w:sz w:val="20"/>
            <w:u w:val="single"/>
          </w:rPr>
          <w:t>April 29, 2024</w:t>
        </w:r>
      </w:hyperlink>
      <w:r>
        <w:rPr>
          <w:color w:val="000000"/>
        </w:rPr>
        <w:t xml:space="preserve"> </w:t>
      </w:r>
      <w:r>
        <w:rPr>
          <w:rFonts w:ascii="Times New Roman;sans-serif" w:hAnsi="Times New Roman;sans-serif"/>
          <w:b w:val="false"/>
          <w:color w:val="000000"/>
          <w:sz w:val="20"/>
        </w:rPr>
        <w:t>(but only with respect to information required by Part III of our Annual Report on Form 10-K for the year ended December 31, 2023);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description of our Class A common stock contained in our Registration Statement on Form 8-A filed with the SEC on </w:t>
      </w:r>
      <w:hyperlink r:id="rId6">
        <w:r>
          <w:rPr>
            <w:rStyle w:val="InternetLink"/>
            <w:rFonts w:ascii="Times New Roman;sans-serif" w:hAnsi="Times New Roman;sans-serif"/>
            <w:b w:val="false"/>
            <w:color w:val="0000FF"/>
            <w:sz w:val="20"/>
            <w:u w:val="single"/>
          </w:rPr>
          <w:t>August 31, 2020</w:t>
        </w:r>
      </w:hyperlink>
      <w:r>
        <w:rPr>
          <w:rFonts w:ascii="Times New Roman;sans-serif" w:hAnsi="Times New Roman;sans-serif"/>
          <w:b w:val="false"/>
          <w:color w:val="000000"/>
          <w:sz w:val="20"/>
        </w:rPr>
        <w:t xml:space="preserve">, as updated by the description of our Class A common stock contained in Exhibit 4.5 to our Annual Report on Form 10-K for the year ended </w:t>
      </w:r>
      <w:hyperlink r:id="rId7">
        <w:r>
          <w:rPr>
            <w:rStyle w:val="InternetLink"/>
            <w:rFonts w:ascii="Times New Roman;sans-serif" w:hAnsi="Times New Roman;sans-serif"/>
            <w:b w:val="false"/>
            <w:color w:val="0000FF"/>
            <w:sz w:val="20"/>
            <w:u w:val="single"/>
          </w:rPr>
          <w:t>December 31, 2023</w:t>
        </w:r>
      </w:hyperlink>
      <w:r>
        <w:rPr>
          <w:rFonts w:ascii="Times New Roman;sans-serif" w:hAnsi="Times New Roman;sans-serif"/>
          <w:b w:val="false"/>
          <w:color w:val="000000"/>
          <w:sz w:val="20"/>
        </w:rPr>
        <w:t>, including any subsequent amendments or reports filed for the purpose of updating such description.</w:t>
      </w:r>
    </w:p>
    <w:p>
      <w:pPr>
        <w:pStyle w:val="TextBody"/>
        <w:bidi w:val="0"/>
        <w:spacing w:lineRule="auto" w:line="288" w:before="0" w:after="180"/>
        <w:jc w:val="both"/>
        <w:rPr/>
      </w:pPr>
      <w:r>
        <w:rPr>
          <w:rFonts w:ascii="Times New Roman;sans-serif" w:hAnsi="Times New Roman;sans-serif"/>
          <w:b w:val="false"/>
          <w:color w:val="000000"/>
          <w:sz w:val="20"/>
        </w:rPr>
        <w:t xml:space="preserve">All reports and other documents we subsequently file pursuant to Section 13(a), 13(c), 14 or 15(d) of the Exchange Act pursuant to this prospectus supplement </w:t>
      </w:r>
      <w:r>
        <w:rPr>
          <w:rFonts w:ascii="Times New Roman;sans-serif" w:hAnsi="Times New Roman;sans-serif"/>
          <w:b w:val="false"/>
          <w:color w:val="000000"/>
          <w:sz w:val="20"/>
          <w:shd w:fill="FFFFFF" w:val="clear"/>
        </w:rPr>
        <w:t>and the accompanying prospectus</w:t>
      </w:r>
      <w:r>
        <w:rPr>
          <w:rFonts w:ascii="Times New Roman;sans-serif" w:hAnsi="Times New Roman;sans-serif"/>
          <w:b w:val="false"/>
          <w:color w:val="000000"/>
          <w:sz w:val="20"/>
        </w:rPr>
        <w:t xml:space="preserve">,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supplement </w:t>
      </w:r>
      <w:r>
        <w:rPr>
          <w:rFonts w:ascii="Times New Roman;sans-serif" w:hAnsi="Times New Roman;sans-serif"/>
          <w:b w:val="false"/>
          <w:color w:val="000000"/>
          <w:sz w:val="20"/>
          <w:shd w:fill="FFFFFF" w:val="clear"/>
        </w:rPr>
        <w:t>and the accompanying prospectus</w:t>
      </w:r>
      <w:r>
        <w:rPr>
          <w:color w:val="000000"/>
        </w:rPr>
        <w:t xml:space="preserve"> </w:t>
      </w:r>
      <w:r>
        <w:rPr>
          <w:rFonts w:ascii="Times New Roman;sans-serif" w:hAnsi="Times New Roman;sans-serif"/>
          <w:b w:val="false"/>
          <w:color w:val="000000"/>
          <w:sz w:val="20"/>
        </w:rPr>
        <w:t xml:space="preserve">and deemed to be part of this prospectus supplement </w:t>
      </w:r>
      <w:r>
        <w:rPr>
          <w:rFonts w:ascii="Times New Roman;sans-serif" w:hAnsi="Times New Roman;sans-serif"/>
          <w:b w:val="false"/>
          <w:color w:val="000000"/>
          <w:sz w:val="20"/>
          <w:shd w:fill="FFFFFF" w:val="clear"/>
        </w:rPr>
        <w:t>and the accompanying prospectus</w:t>
      </w:r>
      <w:r>
        <w:rPr>
          <w:color w:val="000000"/>
        </w:rPr>
        <w:t xml:space="preserve"> </w:t>
      </w:r>
      <w:r>
        <w:rPr>
          <w:rFonts w:ascii="Times New Roman;sans-serif" w:hAnsi="Times New Roman;sans-serif"/>
          <w:b w:val="false"/>
          <w:color w:val="000000"/>
          <w:sz w:val="20"/>
        </w:rPr>
        <w:t xml:space="preserve">from the date of the filing of such reports and documents.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provide, without charge, to each person, including any beneficial owner, to whom a copy of this prospectus supplement is delivered, upon written or oral request of such person, a copy of any or all of the documents incorporated by reference in this prospectus supplement, other than exhibits to such documents unless such exhibits are specifically incorporated by reference into such documents. Requests may be made by telephone at 1 (888) 729-1206, or by sending a written request to GeneDx Holdings Corp., 333 Ludlow Street, North Tower, 6th Floor, Stamford, Connecticut 06902, Attention: Investor Relations.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7205"/>
                <wp:effectExtent l="0" t="0" r="0" b="0"/>
                <wp:wrapNone/>
                <wp:docPr id="6" name="Frame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bdr w:val="single" w:sz="8" w:space="27" w:color="000000"/>
        </w:rPr>
      </w:pPr>
      <w:r>
        <w:rPr>
          <w:rFonts w:ascii="Times New Roman;sans-serif" w:hAnsi="Times New Roman;sans-serif"/>
          <w:b/>
          <w:color w:val="000000"/>
          <w:sz w:val="20"/>
          <w:bdr w:val="single" w:sz="8" w:space="27" w:color="000000"/>
        </w:rPr>
        <w:t xml:space="preserve">PROSPECTUS SUPPLEMENT SUMMARY </w:t>
      </w:r>
    </w:p>
    <w:p>
      <w:pPr>
        <w:pStyle w:val="TextBody"/>
        <w:bidi w:val="0"/>
        <w:spacing w:lineRule="auto" w:line="288" w:before="0" w:after="180"/>
        <w:jc w:val="both"/>
        <w:rPr>
          <w:rFonts w:ascii="Times New Roman;sans-serif" w:hAnsi="Times New Roman;sans-serif"/>
          <w:b w:val="false"/>
          <w:i/>
          <w:color w:val="000000"/>
          <w:sz w:val="20"/>
          <w:bdr w:val="single" w:sz="8" w:space="27" w:color="000000"/>
        </w:rPr>
      </w:pPr>
      <w:r>
        <w:rPr>
          <w:rFonts w:ascii="Times New Roman;sans-serif" w:hAnsi="Times New Roman;sans-serif"/>
          <w:b w:val="false"/>
          <w:i/>
          <w:color w:val="000000"/>
          <w:sz w:val="20"/>
          <w:bdr w:val="single" w:sz="8" w:space="27" w:color="000000"/>
        </w:rPr>
        <w:t>This summary highlights information contained in other parts of this prospectus supplement and the accompanying prospectus, or incorporated by reference herein and therein from our filings with the SEC listed under the heading “Where You Can Find More Information; Incorporation by Reference.” This summary may not contain all the information that you should consider before investing in our Class A common stock. You should read the entire prospectus supplement, the accompanying prospectus and the information incorporated by reference herein and therein, including “Risk Factors” and the financial data and related notes and other information incorporated by reference, before making an investment decision. See “Cautionary Note Regarding Forward-Looking Statements.”</w:t>
      </w:r>
    </w:p>
    <w:p>
      <w:pPr>
        <w:pStyle w:val="TextBody"/>
        <w:bidi w:val="0"/>
        <w:spacing w:lineRule="auto" w:line="288" w:before="0" w:after="180"/>
        <w:jc w:val="both"/>
        <w:rPr>
          <w:rFonts w:ascii="Times New Roman;sans-serif" w:hAnsi="Times New Roman;sans-serif"/>
          <w:b/>
          <w:color w:val="000000"/>
          <w:sz w:val="20"/>
          <w:bdr w:val="single" w:sz="8" w:space="27" w:color="000000"/>
        </w:rPr>
      </w:pPr>
      <w:r>
        <w:rPr>
          <w:rFonts w:ascii="Times New Roman;sans-serif" w:hAnsi="Times New Roman;sans-serif"/>
          <w:b/>
          <w:color w:val="000000"/>
          <w:sz w:val="20"/>
          <w:bdr w:val="single" w:sz="8" w:space="27" w:color="000000"/>
        </w:rPr>
        <w:t>Company Overview</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GeneDx sits at the intersection of diagnostics and data science, pairing decades of genomic expertise with an ability to interpret clinical data at scale. We believe we are well-positioned to accelerate the use of genomics to enable precision medicine as the standard of care. Our initial focus is in pediatric and rare diseases, two areas in which we believe we have competitive advantages and can deliver on our vision today.</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GeneDx was founded in 2000 by scientists from the National Institutes of Health whose mission was making genetic testing accessible for patients with rare diseases. The company quickly became a leader in genomics, creating the foundation for how to provide genomic information at scale and pioneering exome and genome sequencing for rare and ultra-rare genetic pediatric disorders. More than 20 years later, we have amassed one of the world’s largest rare disease data sets and remain a leader in genomics.</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Today, we are powered by our industry-leading genomic interpretation platform, and we believe exome and genome testing will become the standard for diagnosis of genetic disease, with the potential to transform healthcare and improve patients’ quality of life.</w:t>
      </w:r>
    </w:p>
    <w:p>
      <w:pPr>
        <w:pStyle w:val="TextBody"/>
        <w:bidi w:val="0"/>
        <w:spacing w:lineRule="auto" w:line="288" w:before="0" w:after="180"/>
        <w:jc w:val="both"/>
        <w:rPr>
          <w:rFonts w:ascii="Times New Roman;sans-serif" w:hAnsi="Times New Roman;sans-serif"/>
          <w:b/>
          <w:color w:val="000000"/>
          <w:sz w:val="20"/>
          <w:bdr w:val="single" w:sz="8" w:space="27" w:color="000000"/>
        </w:rPr>
      </w:pPr>
      <w:r>
        <w:rPr>
          <w:rFonts w:ascii="Times New Roman;sans-serif" w:hAnsi="Times New Roman;sans-serif"/>
          <w:b/>
          <w:color w:val="000000"/>
          <w:sz w:val="20"/>
          <w:bdr w:val="single" w:sz="8" w:space="27" w:color="000000"/>
        </w:rPr>
        <w:t>Corporate Information</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We were incorporated on July 10, 2020 as a special purpose acquisition company and a Delaware corporation under the name CM Life Sciences, Inc. On September 4, 2020, CMLS completed its initial public offering. On July 22, 2021, CMLS consummated the Business Combination with Legacy Sema4. In connection with the Business Combination, CMLS changed its name to Sema4 Holdings Corp. On April 29, 2022 Sema4 Holdings Corp. acquired Legacy GeneDx and on January 9, 2023, Sema4 Holdings Corp. changed its name to GeneDx Holdings Corp. following the exits from the Legacy Sema4 somatic tumor testing and the reproductive and women’s health testing businesses during the fourth quarter of 2022 and the first quarter of 2023, respectively.</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Our address is 333 Ludlow Street, North Tower, 6th Floor, Stamford, Connecticut 06902. Our telephone number is 1 (888) 729-1206. Our website address is http://www.genedx.com. Information contained on our website or connected thereto does not constitute part of, and is not incorporated by reference into, this prospectus supplement or the registration statement of which it forms a part.</w:t>
      </w:r>
    </w:p>
    <w:p>
      <w:pPr>
        <w:pStyle w:val="TextBody"/>
        <w:bidi w:val="0"/>
        <w:spacing w:lineRule="auto" w:line="288" w:before="0" w:after="180"/>
        <w:jc w:val="both"/>
        <w:rPr>
          <w:rFonts w:ascii="Times New Roman;sans-serif" w:hAnsi="Times New Roman;sans-serif"/>
          <w:b/>
          <w:color w:val="000000"/>
          <w:sz w:val="20"/>
          <w:bdr w:val="single" w:sz="8" w:space="27" w:color="000000"/>
        </w:rPr>
      </w:pPr>
      <w:r>
        <w:rPr>
          <w:rFonts w:ascii="Times New Roman;sans-serif" w:hAnsi="Times New Roman;sans-serif"/>
          <w:b/>
          <w:color w:val="000000"/>
          <w:sz w:val="20"/>
          <w:bdr w:val="single" w:sz="8" w:space="27" w:color="000000"/>
        </w:rPr>
        <w:t>Implications of Being an Emerging Growth Company and a Smaller Reporting Company</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We qualify as an “emerging growth company” as defined in the Jumpstart Our Business Startups Act of 2012 (the “JOBS Act”). An emerging growth company may take advantage of reduced reporting requirements that are otherwise applicable to public companies. These provisions include, but are not limited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not being required to comply with the auditor attestation requirements of Section 404 of the Sarbanes-Oxley Act of 2002, as amended, on the effectiveness of our internal controls over financial reporting;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reduced disclosure obligations regarding executive compensation arrangements in our periodic reports and proxy statements;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exemptions from the requirements of holding a nonbinding advisory vote on executive compensation and stockholder approval of any golden parachute payments not previously approved.</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December 31, 2025.</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97205"/>
                <wp:effectExtent l="0" t="0" r="0" b="0"/>
                <wp:wrapNone/>
                <wp:docPr id="7" name="Frame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We have elected to take advantage of certain of the reduced disclosure obligations in the documents incorporated by reference in this prospectus supplement. As a result, the information that we provide to our stockholders may be different than you might receive from other public reporting companies in which you hold equity interests.</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We are also a “smaller reporting company,” meaning that the market value of our stock held by non-affiliates was less than $250.0 million as of June 30, 2023.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have presented only the two most recent fiscal years of audited financial statements in our Annual Report on Form 10-K for the fiscal year ended December 31, 2023 incorporated by reference in this prospectus supplement and, similar to emerging growth companies, smaller reporting companies have reduced disclosure obligations regarding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97205"/>
                <wp:effectExtent l="0" t="0" r="0" b="0"/>
                <wp:wrapNone/>
                <wp:docPr id="8" name="Frame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bdr w:val="single" w:sz="8" w:space="27" w:color="000000"/>
        </w:rPr>
      </w:pPr>
      <w:r>
        <w:rPr>
          <w:rFonts w:ascii="Times New Roman;sans-serif" w:hAnsi="Times New Roman;sans-serif"/>
          <w:b/>
          <w:color w:val="000000"/>
          <w:sz w:val="20"/>
          <w:bdr w:val="single" w:sz="8" w:space="27" w:color="000000"/>
        </w:rPr>
        <w:t xml:space="preserve">THE OFFERING </w:t>
      </w:r>
    </w:p>
    <w:tbl>
      <w:tblPr>
        <w:tblW w:w="10205" w:type="dxa"/>
        <w:jc w:val="left"/>
        <w:tblInd w:w="0" w:type="dxa"/>
        <w:tblLayout w:type="fixed"/>
        <w:tblCellMar>
          <w:top w:w="28" w:type="dxa"/>
          <w:left w:w="28" w:type="dxa"/>
          <w:bottom w:w="28" w:type="dxa"/>
          <w:right w:w="28" w:type="dxa"/>
        </w:tblCellMar>
      </w:tblPr>
      <w:tblGrid>
        <w:gridCol w:w="934"/>
        <w:gridCol w:w="602"/>
        <w:gridCol w:w="604"/>
        <w:gridCol w:w="2451"/>
        <w:gridCol w:w="2320"/>
        <w:gridCol w:w="3294"/>
      </w:tblGrid>
      <w:tr>
        <w:trPr/>
        <w:tc>
          <w:tcPr>
            <w:tcW w:w="93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3294"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offered by us</w:t>
            </w:r>
          </w:p>
        </w:tc>
        <w:tc>
          <w:tcPr>
            <w:tcW w:w="806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Shares of our Class A common stock having an aggregate offering price of up to $75,000,000.</w:t>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to be outstanding immediately after this offering</w:t>
            </w:r>
          </w:p>
        </w:tc>
        <w:tc>
          <w:tcPr>
            <w:tcW w:w="806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 to 19,353,395 shares (as more fully described in the notes following this table), assuming sales of 6,768,953 shares of our Class A common stock in this offering at an offering price of $11.08 per share, which was the last reported sale price of our common shares on The Nasdaq Global Select Market on April 26, 2024. The actual number of shares issued will vary depending on the sales price under this offering.</w:t>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Plan of distribution </w:t>
            </w:r>
          </w:p>
        </w:tc>
        <w:tc>
          <w:tcPr>
            <w:tcW w:w="8065"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r>
              <w:rPr>
                <w:rFonts w:ascii="Times New Roman;sans-serif" w:hAnsi="Times New Roman;sans-serif"/>
                <w:b w:val="false"/>
                <w:color w:val="000000"/>
                <w:sz w:val="20"/>
              </w:rPr>
              <w:t>At the market offering” that may be made from time to time through our sales agent, TD Cowen. See “Plan of Distribution.”</w:t>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Use of proceeds </w:t>
            </w:r>
          </w:p>
        </w:tc>
        <w:tc>
          <w:tcPr>
            <w:tcW w:w="806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intend to use the net proceeds of this offering primarily for general corporate purposes. General corporate purposes may include additions to working capital, financing of capital expenditures, repayment or redemption of existing indebtedness, and future acquisitions and strategic investment opportunities. See “Use of Proceeds.”</w:t>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Risk factors </w:t>
            </w:r>
          </w:p>
        </w:tc>
        <w:tc>
          <w:tcPr>
            <w:tcW w:w="806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Investing in our Class A common stock involves significant risks. See the disclosure under the heading “Risk Factors” in this prospectus supplement and under similar headings in other documents incorporated by reference into this prospectus supplement and the accompanying prospectus.</w:t>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Nasdaq Global Select Market symbol </w:t>
            </w:r>
          </w:p>
        </w:tc>
        <w:tc>
          <w:tcPr>
            <w:tcW w:w="806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WGS”</w:t>
            </w:r>
          </w:p>
        </w:tc>
      </w:tr>
    </w:tbl>
    <w:p>
      <w:pPr>
        <w:pStyle w:val="TextBody"/>
        <w:bidi w:val="0"/>
        <w:spacing w:before="0" w:after="180"/>
        <w:jc w:val="left"/>
        <w:rPr/>
      </w:pPr>
      <w:r>
        <w:rPr/>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 xml:space="preserve">The number of shares of our Class A common stock shown above to be outstanding after this offering is based on 26,122,348 shares of our Class A common stock outstanding as of March 31, 2024, and excludes: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1,466,515 shares of Class A common stock issuable upon exercise of warrants outstanding as of March 31, 2024, with a weighted average exercise price of $174.21 per share;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429,793 shares of Class A common stock issuable upon exercise of options outstanding as of March 31, 2024, with a weighted average exercise price of $41.20 per share;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2,156,250 shares of common stock issuable upon vesting and settlement of restricted stock units (“RSUs”) outstanding as of March 31, 2024;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2,475,940 shares of Class A common stock reserved and available for future issuance as of March 31, 2024, under our equity incentive plans, consisting of (1) 1,658,606 shares of Class A common stock reserved and available for issuance under our Amended and Restated 2021 Equity Incentive Plan (the “2021 Plan”), (2) 596,604 shares of Class A common stock reserved for issuance under our 2021 Employee Stock Purchase Plan (the “2021 ESPP”), and (3) 220,730 shares of Class A common stock reserved for issuance under our 2023 Equity Inducement Plan (the “2023 Plan”).</w:t>
      </w:r>
    </w:p>
    <w:p>
      <w:pPr>
        <w:pStyle w:val="TextBody"/>
        <w:bidi w:val="0"/>
        <w:spacing w:lineRule="auto" w:line="288" w:before="0" w:after="180"/>
        <w:jc w:val="both"/>
        <w:rPr>
          <w:bdr w:val="single" w:sz="8" w:space="27" w:color="000000"/>
        </w:rPr>
      </w:pPr>
      <w:r>
        <w:rPr>
          <w:rFonts w:ascii="Times New Roman;sans-serif" w:hAnsi="Times New Roman;sans-serif"/>
          <w:b w:val="false"/>
          <w:color w:val="000000"/>
          <w:sz w:val="20"/>
          <w:bdr w:val="single" w:sz="8" w:space="27" w:color="000000"/>
          <w:shd w:fill="FFFFFF" w:val="clear"/>
        </w:rPr>
        <w:t>Except as otherwise indicated, the information in this prospectus supplement assumes no equity awards were issued under our equity incentive plans after March 31, 2024</w:t>
      </w:r>
      <w:r>
        <w:rPr>
          <w:rFonts w:ascii="Times New Roman;sans-serif" w:hAnsi="Times New Roman;sans-serif"/>
          <w:b w:val="false"/>
          <w:color w:val="000000"/>
          <w:sz w:val="20"/>
          <w:bdr w:val="single" w:sz="8" w:space="27" w:color="000000"/>
        </w:rPr>
        <w:t xml:space="preserve">, </w:t>
      </w:r>
      <w:r>
        <w:rPr>
          <w:rFonts w:ascii="Times New Roman;sans-serif" w:hAnsi="Times New Roman;sans-serif"/>
          <w:b w:val="false"/>
          <w:color w:val="000000"/>
          <w:sz w:val="20"/>
          <w:bdr w:val="single" w:sz="8" w:space="27" w:color="000000"/>
          <w:shd w:fill="FFFFFF" w:val="clear"/>
        </w:rPr>
        <w:t>that no outstanding warrants or options were exercised or terminated, and no outstanding RSUs vested and settled or were terminated, after March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97205"/>
                <wp:effectExtent l="0" t="0" r="0" b="0"/>
                <wp:wrapNone/>
                <wp:docPr id="9" name="Frame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RISK FACTORS </w:t>
      </w:r>
    </w:p>
    <w:p>
      <w:pPr>
        <w:pStyle w:val="TextBody"/>
        <w:bidi w:val="0"/>
        <w:spacing w:lineRule="auto" w:line="288" w:before="0" w:after="180"/>
        <w:jc w:val="both"/>
        <w:rPr/>
      </w:pPr>
      <w:r>
        <w:rPr>
          <w:rFonts w:ascii="Times New Roman;sans-serif" w:hAnsi="Times New Roman;sans-serif"/>
          <w:b w:val="false"/>
          <w:color w:val="000000"/>
          <w:sz w:val="20"/>
        </w:rPr>
        <w:t xml:space="preserve">An investment in our securities involves a high degree of risk. You should consider the risk factors described in the “Risk Factors” sections of our Annual Report on Form 10-K for the fiscal year ended December 31, 2023 and our Quarterly Report on Form 10-Q for the quarter ended March 31, 2024, which reports are incorporated herein by reference, in addition to the factors set forth below and other information contained in or incorporated by reference in this prospectus supplement and the accompanying prospectus before purchasing any shares of our Class A common stock. We may face additional risks and uncertainties that are not presently known to us, or that we currently deem immaterial, which may also impair our business or financial condition. See </w:t>
      </w:r>
      <w:r>
        <w:rPr>
          <w:color w:val="000000"/>
        </w:rPr>
        <w:t>“</w:t>
      </w:r>
      <w:r>
        <w:rPr>
          <w:rFonts w:ascii="Times New Roman;sans-serif" w:hAnsi="Times New Roman;sans-serif"/>
          <w:b w:val="false"/>
          <w:i/>
          <w:color w:val="000000"/>
          <w:sz w:val="20"/>
        </w:rPr>
        <w:t xml:space="preserve">Where You Can Find More Information; Incorporation by Reference” </w:t>
      </w:r>
      <w:r>
        <w:rPr>
          <w:rFonts w:ascii="Times New Roman;sans-serif" w:hAnsi="Times New Roman;sans-serif"/>
          <w:b w:val="false"/>
          <w:color w:val="000000"/>
          <w:sz w:val="20"/>
        </w:rPr>
        <w:t xml:space="preserve">and </w:t>
      </w:r>
      <w:r>
        <w:rPr>
          <w:color w:val="000000"/>
        </w:rPr>
        <w:t>“</w:t>
      </w:r>
      <w:r>
        <w:rPr>
          <w:rFonts w:ascii="Times New Roman;sans-serif" w:hAnsi="Times New Roman;sans-serif"/>
          <w:b w:val="false"/>
          <w:i/>
          <w:color w:val="000000"/>
          <w:sz w:val="20"/>
        </w:rPr>
        <w:t>Cautionary Note Regarding Forward-Looking Statements.”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Risks Relating to this Offering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If you purchase shares of our Class A common stock sold in this offering, you may experience immediate and substantial dilution in the net tangible book value of your shares. In addition, we may issue additional equity or convertible debt securities in the future, which may result in additional dilution to you. </w:t>
      </w:r>
    </w:p>
    <w:p>
      <w:pPr>
        <w:pStyle w:val="TextBody"/>
        <w:bidi w:val="0"/>
        <w:spacing w:lineRule="auto" w:line="288" w:before="0" w:after="180"/>
        <w:jc w:val="both"/>
        <w:rPr/>
      </w:pPr>
      <w:r>
        <w:rPr>
          <w:rFonts w:ascii="Times New Roman;sans-serif" w:hAnsi="Times New Roman;sans-serif"/>
          <w:b w:val="false"/>
          <w:color w:val="000000"/>
          <w:sz w:val="20"/>
        </w:rPr>
        <w:t>The price per share of our Class A common stock being offered may be higher than the net tangible book value per share of our outstanding Class A common stock prior to this offering. Assuming that an aggregate of 6,768,953 shares of our Class A common stock are sold at a price of $11.08 per share, the last reported sale price of our Class A common stock on The Nasdaq Global Select Market on April 26, 2024, for aggregate gross proceeds of approximately $72.6 million, and after deducting commissions and estimated offering expenses payable by us, new investors in this offering will incur immediate dilution of $6.84 per share. For a more detailed discussion of the foregoing, see the section entitled “</w:t>
      </w:r>
      <w:r>
        <w:rPr>
          <w:rFonts w:ascii="Times New Roman;sans-serif" w:hAnsi="Times New Roman;sans-serif"/>
          <w:b w:val="false"/>
          <w:i/>
          <w:color w:val="000000"/>
          <w:sz w:val="20"/>
        </w:rPr>
        <w:t>Dilution</w:t>
      </w:r>
      <w:r>
        <w:rPr>
          <w:color w:val="000000"/>
        </w:rPr>
        <w:t xml:space="preserve">” </w:t>
      </w:r>
      <w:r>
        <w:rPr>
          <w:rFonts w:ascii="Times New Roman;sans-serif" w:hAnsi="Times New Roman;sans-serif"/>
          <w:b w:val="false"/>
          <w:color w:val="000000"/>
          <w:sz w:val="20"/>
        </w:rPr>
        <w:t xml:space="preserve">below. To the extent outstanding stock options or warrants are exercised, there will be further dilution to new investors. In addition, to the extent we need to raise additional capital in the future and we issue additional shares of Class A common stock or securities convertible or exchangeable for our Class A common stock, our then existing stockholders may experience dilution and the new securities may have rights senior to those of our Class A common stock offered in this offering.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broad discretion in the use of the net proceeds from this offering and may not use them effectively. </w:t>
      </w:r>
    </w:p>
    <w:p>
      <w:pPr>
        <w:pStyle w:val="TextBody"/>
        <w:bidi w:val="0"/>
        <w:spacing w:lineRule="auto" w:line="288" w:before="0" w:after="180"/>
        <w:jc w:val="both"/>
        <w:rPr/>
      </w:pPr>
      <w:r>
        <w:rPr>
          <w:rFonts w:ascii="Times New Roman;sans-serif" w:hAnsi="Times New Roman;sans-serif"/>
          <w:b w:val="false"/>
          <w:color w:val="000000"/>
          <w:sz w:val="20"/>
        </w:rPr>
        <w:t>Our management will have broad discretion in the application of the net proceeds from this offering, including for any of the purposes described in the section entitled “</w:t>
      </w:r>
      <w:r>
        <w:rPr>
          <w:rFonts w:ascii="Times New Roman;sans-serif" w:hAnsi="Times New Roman;sans-serif"/>
          <w:b w:val="false"/>
          <w:i/>
          <w:color w:val="000000"/>
          <w:sz w:val="20"/>
        </w:rPr>
        <w:t>Use of Proceeds</w:t>
      </w:r>
      <w:r>
        <w:rPr>
          <w:rFonts w:ascii="Times New Roman;sans-serif" w:hAnsi="Times New Roman;sans-serif"/>
          <w:b w:val="false"/>
          <w:color w:val="000000"/>
          <w:sz w:val="20"/>
        </w:rPr>
        <w:t xml:space="preserve">,”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for general corporate purposes. The failure by our management to apply these funds effectively could harm our business. Pending their use, we plan to invest the net proceeds from this offering in short-term or long-term,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The actual number of shares we will issue under the Sales Agreement, at any one time or in total, is uncertain.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certain limitations in the Sales Agreement and compliance with applicable law, we have the discretion to deliver a placement notice to TD Cowen at any time throughout the term of the Sales Agreement. The number of shares that are sold by TD Cowen after delivering a placement notice will fluctuate based on the market price of the shares of Class A common stock during the sales period and limits we set with TD Cowen. Because the price per share of each share sold will fluctuate based on the market price of our Class A common stock during the sales period, it is not possible at this stage to predict the number of shares that will be ultimately issued.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The Class A common stock offered hereby will be sold in “at the market offerings,” and investors who buy shares at different times will likely pay different prices.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97205"/>
                <wp:effectExtent l="0" t="0" r="0" b="0"/>
                <wp:wrapNone/>
                <wp:docPr id="10" name="Frame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Because we have no current plans to pay cash dividends on our Class A common stock for the foreseeable future, you may not receive any return on investment unless you sell your Class A common stock for a price greater than that which you paid for it.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retain future earnings, if any, for future operations and expansion of our business and have no current plans to pay any cash dividends for the foreseeable future. The declaration, amount and payment of any future dividends on shares of Class A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may be limited by covenants in connection with any indebtedness we or our subsidiaries may incur. As a result, you may not receive any return on an investment in our Class A common stock unless you sell our Class A common stock for a price greater than that which you paid for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97205"/>
                <wp:effectExtent l="0" t="0" r="0" b="0"/>
                <wp:wrapNone/>
                <wp:docPr id="11" name="Frame1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CAUTIONARY NOTE REGARDING FORWARD-LOOKING STATEMENTS </w:t>
      </w:r>
    </w:p>
    <w:p>
      <w:pPr>
        <w:pStyle w:val="TextBody"/>
        <w:bidi w:val="0"/>
        <w:spacing w:lineRule="auto" w:line="288" w:before="0" w:after="180"/>
        <w:jc w:val="both"/>
        <w:rPr/>
      </w:pPr>
      <w:r>
        <w:rPr>
          <w:rFonts w:ascii="Times New Roman;sans-serif" w:hAnsi="Times New Roman;sans-serif"/>
          <w:b w:val="false"/>
          <w:color w:val="000000"/>
          <w:sz w:val="20"/>
        </w:rPr>
        <w:t>Certain matters discussed in this prospectus supplement, the accompanying prospectus and the documents incorporated by reference herein and therein, may constitute forward-looking statements for purposes of the Securities Act and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in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and elsewhere in this prospectus supplement, the accompanying prospectus and the documents incorporated by reference herein and therein, as well as other factors which may be identified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expected application of the net proceeds from this offering;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estimates of the sufficiency of our existing capital resources combined with future anticipated cash flows and future capital requirements to finance our operating requirements, and capital expenditures;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expectations for generating revenue, incurring losses, and becoming profitable on a sustained basis;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unforeseen circumstances or other disruptions to normal business operations arising from general economic and political conditions such as recessions, rising inflation and interest rates, supply chain interruptions and manufacturing constraints, public health emergencies such as but not limited to the COVID-19 pandemic, natural disasters, acts of terrorism or other uncontrollable events;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expectations regarding our ability to scale to profitability, our plans to pursue a new strategic direction, and the cost savings and impact on our gross margins from exiting our reproductive and women’s business and our somatic tumor testing business;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successfully implement our business strategy;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expectations or ability to enter into service, collaboration and other partnership agreements;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expectations or ability to build our own commercial infrastructure to scale market and sell our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actions or authorizations by the U.S. Food and Drug Administration, or other regulatory authorities;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governmental regulation and other legal obligations, including privacy, data protection, information security, consumer protection, and anti-corruption and anti-bribery;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obtain and maintain intellectual property protection for our product candidates;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compete against existing and emerging technologies;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third-party payor reimbursement and coverage decisions, negotiations and settlements;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reliance on third-party service providers for our data programs;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accounting estimates and judgments, including our expectations regarding the adequacy of our reserves for third party payor claims and our conclusions regarding the appropriateness of the carrying value of intangible assets;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stock price and its volatility; and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attract and retain key personnel.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prospectus supplement, the accompanying prospectus and the documents incorporated by reference herein and therein reflect our views and assumptions only as of the date of this prospectus supplement, the accompanying prospectus or such document as applicable. Except as required by law, we assume no responsibility for updating any forward-looking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97205"/>
                <wp:effectExtent l="0" t="0" r="0" b="0"/>
                <wp:wrapNone/>
                <wp:docPr id="12" name="Frame1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USE OF PROCEEDS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and sell shares of our Class A common stock having aggregate sales proceeds of up to $75,000,000 from time to time. Because there is no minimum offering amount required pursuant to the Sales Agreement, the actual total public offering amount, commissions and proceeds to us, if any, are not determinable at this time. There can be no assurance that we will sell any shares under or fully utilize the Sales Agreement with TD Cowen as a source of financing.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retain broad discretion over the use of the net proceeds to us from the sale of our Class A common stock under this prospectus supplement and the accompanying prospectus. General corporate purposes may include additions to working capital, financing of capital expenditures, repayment or redemption of existing indebtedness, and future acquisitions and strategic investment opportunities. Pending the application of net proceeds, we expect to invest the net proceeds in investment grade, interest-bearing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97205"/>
                <wp:effectExtent l="0" t="0" r="0" b="0"/>
                <wp:wrapNone/>
                <wp:docPr id="13" name="Frame1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S-9</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DILUTION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invest in our Class A common stock, your interest may be diluted to the extent of the difference between the price per share you pay in this offering and the net tangible book value per share of our Class A common stock immediately after this offering. Our net tangible book value of our Class A common stock as of March 31, 2024 was approximately $38.1 million, or approximately $1.46 per share of Class A common stock based upon 26,122,348 shares outstanding as of March 31, 2024. Net tangible book value per share is equal to our total tangible assets, less our total liabilities, divided by the total number of shares outstanding as of March 31, 2024.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giving effect to the sale of our Class A common stock in the aggregate amount of $75,000,000 at an assumed offering price of $11.08 per share, the last reported sale price of our Class A common stock on The Nasdaq Global Select Market on April 26, 2024, and after deducting commissions and estimated offering expenses payable by us, our as adjusted net tangible book value as of March 31, 2024 would have been approximately $110.7 million, or $4.24 per share of Class A common stock. This represents an immediate increase in net tangible book value of $2.78 per share to our existing stockholders and an immediate dilution in net tangible book value of $6.84 per share to new investors in this offering.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illustrates this calculation on a per share basis. The as-adjusted information is illustrative only and will adjust based on the actual price to the public, the actual number of shares sold and other terms of the offering determined at the time shares of our Class A common stock are sold pursuant to this prospectus supplement and the accompanying prospectus. The as-adjusted information assumes that all of our Class A common stock in the aggregate amount of $75,000,000 is sold at the assumed offering price of $11.08 per share, the last reported sale price of our Class A common stock on The Nasdaq Global Select Market on April 26, 2024. The shares sold in this offering, if any, will be sold from time to time at various prices. </w:t>
      </w:r>
    </w:p>
    <w:tbl>
      <w:tblPr>
        <w:tblW w:w="8634" w:type="dxa"/>
        <w:jc w:val="left"/>
        <w:tblInd w:w="0" w:type="dxa"/>
        <w:tblLayout w:type="fixed"/>
        <w:tblCellMar>
          <w:top w:w="28" w:type="dxa"/>
          <w:left w:w="28" w:type="dxa"/>
          <w:bottom w:w="28" w:type="dxa"/>
          <w:right w:w="28" w:type="dxa"/>
        </w:tblCellMar>
      </w:tblPr>
      <w:tblGrid>
        <w:gridCol w:w="2353"/>
        <w:gridCol w:w="2063"/>
        <w:gridCol w:w="2079"/>
        <w:gridCol w:w="211"/>
        <w:gridCol w:w="511"/>
        <w:gridCol w:w="109"/>
        <w:gridCol w:w="109"/>
        <w:gridCol w:w="109"/>
        <w:gridCol w:w="109"/>
        <w:gridCol w:w="211"/>
        <w:gridCol w:w="616"/>
        <w:gridCol w:w="154"/>
      </w:tblGrid>
      <w:tr>
        <w:trPr/>
        <w:tc>
          <w:tcPr>
            <w:tcW w:w="2353"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Assumed public offering price per share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tangible book value per share as of March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net tangible book value per share attributable to the offering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adjusted net tangible book value per share after giving effect to the offering</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Dilution per share to new investors participating in the offering</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our Class A common stock shown above to be outstanding after this offering is based on 26,122,348 shares of our Class A common stock outstanding as of March 31, 2024, and excludes: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1,466,515 shares of Class A common stock issuable upon exercise of warrants outstanding as of March 31, 2024, with a weighted average exercise price of $174.21 per share;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429,793 shares of Class A common stock issuable upon exercise of options outstanding as of March 31, 2024, with a weighted average exercise price of $41.20 per share;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2,156,250 shares of common stock issuable upon vesting and settlement of RSUs outstanding as of March 31, 2024;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2,475,940 shares of Class A common stock reserved and available for future issuance as of March 31, 2024, under our equity incentive plans, consisting of (1) 1,658,606 shares of Class A common stock reserved and available for issuance under the 2021 Plan, (2) 596,604 shares of Class A common stock reserved for issuance under the 2021 ESPP, and (3) 220,730 shares of Class A common stock reserved for issuance under the 2023 Plan.</w:t>
      </w:r>
    </w:p>
    <w:p>
      <w:pPr>
        <w:pStyle w:val="TextBody"/>
        <w:bidi w:val="0"/>
        <w:spacing w:lineRule="auto" w:line="288" w:before="0" w:after="180"/>
        <w:jc w:val="both"/>
        <w:rPr/>
      </w:pPr>
      <w:r>
        <w:rPr>
          <w:rFonts w:ascii="Times New Roman;sans-serif" w:hAnsi="Times New Roman;sans-serif"/>
          <w:b w:val="false"/>
          <w:color w:val="000000"/>
          <w:sz w:val="20"/>
          <w:shd w:fill="FFFFFF" w:val="clear"/>
        </w:rPr>
        <w:t>Except as otherwise indicated, the information in this prospectus supplement assumes no equity awards were issued under our equity incentive plans after March 31, 2024</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that no outstanding warrants or options were exercised or terminated, and no outstanding RSUs vested and settled or were terminated, after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97205"/>
                <wp:effectExtent l="0" t="0" r="0" b="0"/>
                <wp:wrapNone/>
                <wp:docPr id="14" name="Frame1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S-10</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PLAN OF DISTRIBUTION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a Sales Agreement with TD Cowen, under which we may issue and sell from time to time up to $75,000,000 of our Class A common stock through or to TD Cowen as our sales agent. Sales of our Class A common stock, if any, will be made at market prices by any method that is deemed to be an “at the market offering” as defined in Rule 415 under the Securities Act. Sales pursuant to the Sales Agreement may be made through an affiliate of TD Cowen.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TD Cowen will offer our Class A common stock subject to the terms and conditions of the Sales Agreement on a daily basis or as otherwise agreed upon by us and TD Cowen. We will designate the maximum amount of Class A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Class A common stock requested to be sold by us. We may instruct TD Cowen not to sell Class A common stock if the sales cannot be effected at or above the price designated by us in any such instruction. TD Cowen or we may suspend the offering of our Class A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compensation payable to TD Cowen as sales agent equals up to 3.0% of the gross sales price of the shares sold through it pursuant to the Sales Agreement. We have also agreed to reimburse TD Cowen up to $75,000 of TD Cowen’s actual outside legal expenses incurred by TD Cowen in connection with this offering. We estimate that the total expenses of the offering payable by us, excluding commissions payable to TD Cowen under the Sales Agreement, will be approximately $0.3 million.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sales proceeds, after deducting any expenses payable by us and any transaction fees imposed by any governmental, regulatory, or self-regulatory organization in connection with the sales, will equal our net proceeds for the sale of such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TD Cowen will provide written confirmation to us following the close of trading on Nasdaq on each day in which Class A common stock is sold through it as sales agent under the Sales Agreement. Each confirmation will include the number of shares of Class A common stock sold through it as sales agent on that day, the volume weighted average price of the shares sold, the percentage of the daily trading volume and the net proceeds to 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report at least quarterly the number of shares of Class A common stock sold through TD Cowen under the Sales Agreement, the net proceeds to us and the compensation paid by us to TD Cowen in connection with the sales of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Until May 28, 2024, settlement for sales of Class A common stock will occur, unless the parties agree otherwise, on the second business day that is also a trading day following the date on which any sales were made in return for payment of the net proceeds to us. After May 28, 2024, settlement for sales of Class A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sales of our Class A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is listed on Nasdaq and trades under the symbol “WGS.” The transfer agent of our Class A common stock is Continental Stock Transfer &amp; Trust Company.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TD Cowen and/or its affiliates have provided, and may in the future provide, various investment banking and other financial services for us for which services they have received and, may in the future receive, customary fees.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97205"/>
                <wp:effectExtent l="0" t="0" r="0" b="0"/>
                <wp:wrapNone/>
                <wp:docPr id="15" name="Frame1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LEGAL MATTERS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Fenwick &amp; West LLP, New York, New York, will pass upon certain legal matters relating to the issuance and sale of the shares of Class A common stock offered hereby on behalf of GeneDx Holdings Corp. TD Cowen is being represented in connection with this offering by DLA Piper LLP (US), San Diego, California.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consolidated financial statements of GeneDx Holdings Corp. appearing in GeneDx Holdings Corp.’s Annual Report on Form 10-K for the year ended December 31, 2023, have been audited by Ernst &amp; Young LLP, an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97205"/>
                <wp:effectExtent l="0" t="0" r="0" b="0"/>
                <wp:wrapNone/>
                <wp:docPr id="16" name="Frame1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S-12</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PROSPECTUS </w:t>
      </w:r>
    </w:p>
    <w:p>
      <w:pPr>
        <w:pStyle w:val="TextBody"/>
        <w:bidi w:val="0"/>
        <w:spacing w:lineRule="auto" w:line="288" w:before="0" w:after="180"/>
        <w:jc w:val="center"/>
        <w:rPr>
          <w:rFonts w:ascii="Times New Roman;sans-serif" w:hAnsi="Times New Roman;sans-serif"/>
          <w:b/>
          <w:color w:val="000000"/>
          <w:sz w:val="36"/>
        </w:rPr>
      </w:pPr>
      <w:r>
        <w:rPr>
          <w:rFonts w:ascii="Times New Roman;sans-serif" w:hAnsi="Times New Roman;sans-serif"/>
          <w:b/>
          <w:color w:val="000000"/>
          <w:sz w:val="36"/>
        </w:rPr>
        <w:t>$300,000,000</w:t>
      </w:r>
    </w:p>
    <w:p>
      <w:pPr>
        <w:pStyle w:val="TextBody"/>
        <w:bidi w:val="0"/>
        <w:spacing w:before="0" w:after="180"/>
        <w:jc w:val="center"/>
        <w:rPr/>
      </w:pPr>
      <w:r>
        <w:rPr/>
        <w:drawing>
          <wp:inline distT="0" distB="0" distL="0" distR="0">
            <wp:extent cx="1628775" cy="49530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8"/>
                    <a:stretch>
                      <a:fillRect/>
                    </a:stretch>
                  </pic:blipFill>
                  <pic:spPr bwMode="auto">
                    <a:xfrm>
                      <a:off x="0" y="0"/>
                      <a:ext cx="1628775" cy="495300"/>
                    </a:xfrm>
                    <a:prstGeom prst="rect">
                      <a:avLst/>
                    </a:prstGeom>
                  </pic:spPr>
                </pic:pic>
              </a:graphicData>
            </a:graphic>
          </wp:inline>
        </w:drawing>
      </w:r>
    </w:p>
    <w:p>
      <w:pPr>
        <w:pStyle w:val="TextBody"/>
        <w:bidi w:val="0"/>
        <w:spacing w:lineRule="auto" w:line="288" w:before="0" w:after="180"/>
        <w:jc w:val="center"/>
        <w:rPr>
          <w:rFonts w:ascii="Times New Roman;sans-serif" w:hAnsi="Times New Roman;sans-serif"/>
          <w:b/>
          <w:color w:val="000000"/>
          <w:sz w:val="48"/>
        </w:rPr>
      </w:pPr>
      <w:r>
        <w:rPr>
          <w:rFonts w:ascii="Times New Roman;sans-serif" w:hAnsi="Times New Roman;sans-serif"/>
          <w:b/>
          <w:color w:val="000000"/>
          <w:sz w:val="48"/>
        </w:rPr>
        <w:t>Sema4 Holdings Corp.</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Class A Common Stock, Preferred Stock,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Debt Securities, Warrants, Subscription Rights and Units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offer up to $300,000,000 aggregate dollar amount of shares of our Class A common stock (the “Class A common stock”) or preferred stock, debt securities, warrants to purchase our Class A common stock, preferred stock or debt securities, subscription rights to purchase our Class A common stock, preferred stock or debt securities and/or units consisting of some or all of these securities, in any combination, together or separately, in one or more offerings, in amounts, at prices and on the terms that we will determine at the time of the offering and which will be set forth in a prospectus supplement and, if permitted, any related free writing prospectus. The prospectus supplement and, if permitted, any related free writing prospectus may also add, update or change information contained in this prospectus. The total amount of these securities will have an initial aggregate offering price of up to $300,000,000.</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read this prospectus, the information incorporated, or deemed to be incorporated, by reference in this prospectus, and any applicable prospectus supplement and, if permitted, related free writing prospectus carefully before you invest.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common stock and public warrants are traded on The Nasdaq Global Select Market (the “Nasdaq”) under the symbols “SMFR” and “SMFRW,” respectively. On August 25, 2022, the last reported sales price of our Class A common stock was $1.22 per share and the last reported sales price of our public warrants was $0.31 per warrant. The applicable prospectus supplement and, if permitted, any related free writing prospectus will contain information, where applicable, as to any other listing on The Nasdaq Global Select Market or any securities market or exchange of the securities covered by the prospectus supplement and, if permitted, any related free writing prospectus. </w:t>
      </w:r>
    </w:p>
    <w:p>
      <w:pPr>
        <w:pStyle w:val="TextBody"/>
        <w:bidi w:val="0"/>
        <w:spacing w:lineRule="auto" w:line="288" w:before="0" w:after="180"/>
        <w:jc w:val="both"/>
        <w:rPr/>
      </w:pPr>
      <w:r>
        <w:rPr>
          <w:rFonts w:ascii="Times New Roman;sans-serif" w:hAnsi="Times New Roman;sans-serif"/>
          <w:b/>
          <w:color w:val="000000"/>
          <w:sz w:val="20"/>
        </w:rPr>
        <w:t>We are an “emerging growth company” as defined in Section 2(a) of the Securities Act of 1933, as amended, and, as such, have elected to comply with certain reduced disclosure and regulatory requirements. An investment in our securities involves a high degree of risk. You should carefully consider the information under the heading “</w:t>
      </w:r>
      <w:hyperlink w:anchor="i212d335bcfc949c484bc9d2104a859be_555">
        <w:r>
          <w:rPr>
            <w:rStyle w:val="InternetLink"/>
            <w:rFonts w:ascii="Times New Roman;sans-serif" w:hAnsi="Times New Roman;sans-serif"/>
            <w:b/>
            <w:i/>
            <w:color w:val="0000FF"/>
            <w:sz w:val="20"/>
            <w:u w:val="single"/>
          </w:rPr>
          <w:t>Risk Factors</w:t>
        </w:r>
      </w:hyperlink>
      <w:r>
        <w:rPr>
          <w:color w:val="000000"/>
        </w:rPr>
        <w:t xml:space="preserve">” </w:t>
      </w:r>
      <w:r>
        <w:rPr>
          <w:rFonts w:ascii="Times New Roman;sans-serif" w:hAnsi="Times New Roman;sans-serif"/>
          <w:b/>
          <w:color w:val="000000"/>
          <w:sz w:val="20"/>
        </w:rPr>
        <w:t>beginning on page </w:t>
      </w:r>
      <w:hyperlink w:anchor="i212d335bcfc949c484bc9d2104a859be_555">
        <w:r>
          <w:rPr>
            <w:rStyle w:val="InternetLink"/>
            <w:rFonts w:ascii="Times New Roman;sans-serif" w:hAnsi="Times New Roman;sans-serif"/>
            <w:b/>
            <w:color w:val="0000FF"/>
            <w:sz w:val="20"/>
            <w:u w:val="single"/>
          </w:rPr>
          <w:t>5</w:t>
        </w:r>
      </w:hyperlink>
      <w:r>
        <w:rPr>
          <w:color w:val="000000"/>
        </w:rPr>
        <w:t xml:space="preserve"> </w:t>
      </w:r>
      <w:r>
        <w:rPr>
          <w:rFonts w:ascii="Times New Roman;sans-serif" w:hAnsi="Times New Roman;sans-serif"/>
          <w:b/>
          <w:color w:val="000000"/>
          <w:sz w:val="20"/>
        </w:rPr>
        <w:t xml:space="preserve">of this prospectus, as well as the sections entitled “Risk Factors” beginning on page 30 of our Annual Report on Form 10-K for the year ended December 31, 2021, beginning on page 46 of our Quarterly Report on Form 10-Q for the quarter ended March 31, 2022 and beginning on page 60 of our Quarterly Report on Form 10-Q for the quarter ended June 30, 2022, which reports are incorporated by reference in this prospectus, before investing in our securities. </w:t>
      </w:r>
    </w:p>
    <w:p>
      <w:pPr>
        <w:pStyle w:val="TextBody"/>
        <w:bidi w:val="0"/>
        <w:spacing w:lineRule="auto" w:line="288" w:before="0" w:after="180"/>
        <w:jc w:val="both"/>
        <w:rPr/>
      </w:pPr>
      <w:r>
        <w:rPr>
          <w:rFonts w:ascii="Times New Roman;sans-serif" w:hAnsi="Times New Roman;sans-serif"/>
          <w:b w:val="false"/>
          <w:color w:val="000000"/>
          <w:sz w:val="20"/>
        </w:rPr>
        <w:t>Class A common stock, preferred stock, debt securities, warrants, subscription rights and/or units may be sold by us to or through underwriters or dealers, directly to purchasers or through agents designated from time to time. For additional information on the methods of sale, you should refer to the section entitled “</w:t>
      </w:r>
      <w:r>
        <w:rPr>
          <w:rFonts w:ascii="Times New Roman;sans-serif" w:hAnsi="Times New Roman;sans-serif"/>
          <w:b w:val="false"/>
          <w:i/>
          <w:color w:val="000000"/>
          <w:sz w:val="20"/>
        </w:rPr>
        <w:t>Plan of Distribution</w:t>
      </w:r>
      <w:r>
        <w:rPr>
          <w:color w:val="000000"/>
        </w:rPr>
        <w:t xml:space="preserve">” </w:t>
      </w:r>
      <w:r>
        <w:rPr>
          <w:rFonts w:ascii="Times New Roman;sans-serif" w:hAnsi="Times New Roman;sans-serif"/>
          <w:b w:val="false"/>
          <w:color w:val="000000"/>
          <w:sz w:val="20"/>
        </w:rPr>
        <w:t xml:space="preserve">in this prospectus. If any underwriters, dealers or agents are involved in the sale of any securities with respect to which this prospectus is being delivered, the names of such underwriters or agents and any applicable fees, discounts or commissions, details regarding over-allotment options, if any, and the net proceeds to us will be set forth in a prospectus supplement. The price to the public of such securities and the net proceeds we expect to receive from such sale will also be set forth in a prospectus supplement.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The date of this prospectus is  September 7,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333"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tbl>
      <w:tblPr>
        <w:tblW w:w="7021" w:type="dxa"/>
        <w:jc w:val="left"/>
        <w:tblInd w:w="0" w:type="dxa"/>
        <w:tblLayout w:type="fixed"/>
        <w:tblCellMar>
          <w:top w:w="28" w:type="dxa"/>
          <w:left w:w="28" w:type="dxa"/>
          <w:bottom w:w="28" w:type="dxa"/>
          <w:right w:w="28" w:type="dxa"/>
        </w:tblCellMar>
      </w:tblPr>
      <w:tblGrid>
        <w:gridCol w:w="2291"/>
        <w:gridCol w:w="2017"/>
        <w:gridCol w:w="2022"/>
        <w:gridCol w:w="202"/>
        <w:gridCol w:w="202"/>
        <w:gridCol w:w="287"/>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46">
              <w:r>
                <w:rPr>
                  <w:rStyle w:val="InternetLink"/>
                  <w:rFonts w:ascii="Times New Roman;sans-serif" w:hAnsi="Times New Roman;sans-serif"/>
                  <w:b w:val="false"/>
                  <w:color w:val="0000FF"/>
                  <w:sz w:val="20"/>
                  <w:u w:val="single"/>
                </w:rPr>
                <w:t>ABOUT THIS PROSPECTUS</w:t>
              </w:r>
            </w:hyperlink>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212d335bcfc949c484bc9d2104a859be_546">
              <w:r>
                <w:rPr>
                  <w:rStyle w:val="InternetLink"/>
                  <w:rFonts w:ascii="Times New Roman;sans-serif" w:hAnsi="Times New Roman;sans-serif"/>
                  <w:b w:val="false"/>
                  <w:color w:val="0000FF"/>
                  <w:sz w:val="20"/>
                  <w:u w:val="single"/>
                </w:rPr>
                <w:t>1</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49">
              <w:r>
                <w:rPr>
                  <w:rStyle w:val="InternetLink"/>
                  <w:rFonts w:ascii="Times New Roman;sans-serif" w:hAnsi="Times New Roman;sans-serif"/>
                  <w:b w:val="false"/>
                  <w:color w:val="0000FF"/>
                  <w:sz w:val="20"/>
                  <w:u w:val="single"/>
                </w:rPr>
                <w:t>SELECTED DEFINITIONS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49">
              <w:r>
                <w:rPr>
                  <w:rStyle w:val="InternetLink"/>
                  <w:rFonts w:ascii="Times New Roman;sans-serif" w:hAnsi="Times New Roman;sans-serif"/>
                  <w:b w:val="false"/>
                  <w:color w:val="0000FF"/>
                  <w:sz w:val="20"/>
                  <w:u w:val="single"/>
                </w:rPr>
                <w:t>2</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52">
              <w:r>
                <w:rPr>
                  <w:rStyle w:val="InternetLink"/>
                  <w:rFonts w:ascii="Times New Roman;sans-serif" w:hAnsi="Times New Roman;sans-serif"/>
                  <w:b w:val="false"/>
                  <w:color w:val="0000FF"/>
                  <w:sz w:val="20"/>
                  <w:u w:val="single"/>
                </w:rPr>
                <w:t>PROSPECTUS SUMMARY</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52">
              <w:r>
                <w:rPr>
                  <w:rStyle w:val="InternetLink"/>
                  <w:rFonts w:ascii="Times New Roman;sans-serif" w:hAnsi="Times New Roman;sans-serif"/>
                  <w:b w:val="false"/>
                  <w:color w:val="0000FF"/>
                  <w:sz w:val="20"/>
                  <w:u w:val="single"/>
                </w:rPr>
                <w:t>3</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55">
              <w:r>
                <w:rPr>
                  <w:rStyle w:val="InternetLink"/>
                  <w:rFonts w:ascii="Times New Roman;sans-serif" w:hAnsi="Times New Roman;sans-serif"/>
                  <w:b w:val="false"/>
                  <w:color w:val="0000FF"/>
                  <w:sz w:val="20"/>
                  <w:u w:val="single"/>
                </w:rPr>
                <w:t>RISK FACTORS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55">
              <w:r>
                <w:rPr>
                  <w:rStyle w:val="InternetLink"/>
                  <w:rFonts w:ascii="Times New Roman;sans-serif" w:hAnsi="Times New Roman;sans-serif"/>
                  <w:b w:val="false"/>
                  <w:color w:val="0000FF"/>
                  <w:sz w:val="20"/>
                  <w:u w:val="single"/>
                </w:rPr>
                <w:t>5</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58">
              <w:r>
                <w:rPr>
                  <w:rStyle w:val="InternetLink"/>
                  <w:rFonts w:ascii="Times New Roman;sans-serif" w:hAnsi="Times New Roman;sans-serif"/>
                  <w:b w:val="false"/>
                  <w:color w:val="0000FF"/>
                  <w:sz w:val="20"/>
                  <w:u w:val="single"/>
                </w:rPr>
                <w:t>CAUTIONARY NOTE REGARDING FORWARD-LOOKING STATEMENTS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58">
              <w:r>
                <w:rPr>
                  <w:rStyle w:val="InternetLink"/>
                  <w:rFonts w:ascii="Times New Roman;sans-serif" w:hAnsi="Times New Roman;sans-serif"/>
                  <w:b w:val="false"/>
                  <w:color w:val="0000FF"/>
                  <w:sz w:val="20"/>
                  <w:u w:val="single"/>
                </w:rPr>
                <w:t>6</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61">
              <w:r>
                <w:rPr>
                  <w:rStyle w:val="InternetLink"/>
                  <w:rFonts w:ascii="Times New Roman;sans-serif" w:hAnsi="Times New Roman;sans-serif"/>
                  <w:b w:val="false"/>
                  <w:color w:val="0000FF"/>
                  <w:sz w:val="20"/>
                  <w:u w:val="single"/>
                </w:rPr>
                <w:t>WHERE YOU CAN FIND MORE INFORMATION</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61">
              <w:r>
                <w:rPr>
                  <w:rStyle w:val="InternetLink"/>
                  <w:rFonts w:ascii="Times New Roman;sans-serif" w:hAnsi="Times New Roman;sans-serif"/>
                  <w:b w:val="false"/>
                  <w:color w:val="0000FF"/>
                  <w:sz w:val="20"/>
                  <w:u w:val="single"/>
                </w:rPr>
                <w:t>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64">
              <w:r>
                <w:rPr>
                  <w:rStyle w:val="InternetLink"/>
                  <w:rFonts w:ascii="Times New Roman;sans-serif" w:hAnsi="Times New Roman;sans-serif"/>
                  <w:b w:val="false"/>
                  <w:color w:val="0000FF"/>
                  <w:sz w:val="20"/>
                  <w:u w:val="single"/>
                </w:rPr>
                <w:t>INCORPORATION OF INFORMATION BY REFERENCE</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64">
              <w:r>
                <w:rPr>
                  <w:rStyle w:val="InternetLink"/>
                  <w:rFonts w:ascii="Times New Roman;sans-serif" w:hAnsi="Times New Roman;sans-serif"/>
                  <w:b w:val="false"/>
                  <w:color w:val="0000FF"/>
                  <w:sz w:val="20"/>
                  <w:u w:val="single"/>
                </w:rPr>
                <w:t>8</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67">
              <w:r>
                <w:rPr>
                  <w:rStyle w:val="InternetLink"/>
                  <w:rFonts w:ascii="Times New Roman;sans-serif" w:hAnsi="Times New Roman;sans-serif"/>
                  <w:b w:val="false"/>
                  <w:color w:val="0000FF"/>
                  <w:sz w:val="20"/>
                  <w:u w:val="single"/>
                </w:rPr>
                <w:t>USE OF PROCEEDS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67">
              <w:r>
                <w:rPr>
                  <w:rStyle w:val="InternetLink"/>
                  <w:rFonts w:ascii="Times New Roman;sans-serif" w:hAnsi="Times New Roman;sans-serif"/>
                  <w:b w:val="false"/>
                  <w:color w:val="0000FF"/>
                  <w:sz w:val="20"/>
                  <w:u w:val="single"/>
                </w:rPr>
                <w:t>9</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70">
              <w:r>
                <w:rPr>
                  <w:rStyle w:val="InternetLink"/>
                  <w:rFonts w:ascii="Times New Roman;sans-serif" w:hAnsi="Times New Roman;sans-serif"/>
                  <w:b w:val="false"/>
                  <w:color w:val="0000FF"/>
                  <w:sz w:val="20"/>
                  <w:u w:val="single"/>
                </w:rPr>
                <w:t>PLAN OF DISTRIBUTION</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70">
              <w:r>
                <w:rPr>
                  <w:rStyle w:val="InternetLink"/>
                  <w:rFonts w:ascii="Times New Roman;sans-serif" w:hAnsi="Times New Roman;sans-serif"/>
                  <w:b w:val="false"/>
                  <w:color w:val="0000FF"/>
                  <w:sz w:val="20"/>
                  <w:u w:val="single"/>
                </w:rPr>
                <w:t>10</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73">
              <w:r>
                <w:rPr>
                  <w:rStyle w:val="InternetLink"/>
                  <w:rFonts w:ascii="Times New Roman;sans-serif" w:hAnsi="Times New Roman;sans-serif"/>
                  <w:b w:val="false"/>
                  <w:color w:val="0000FF"/>
                  <w:sz w:val="20"/>
                  <w:u w:val="single"/>
                </w:rPr>
                <w:t>DESCRIPTION OF CAPITAL STOCK</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73">
              <w:r>
                <w:rPr>
                  <w:rStyle w:val="InternetLink"/>
                  <w:rFonts w:ascii="Times New Roman;sans-serif" w:hAnsi="Times New Roman;sans-serif"/>
                  <w:b w:val="false"/>
                  <w:color w:val="0000FF"/>
                  <w:sz w:val="20"/>
                  <w:u w:val="single"/>
                </w:rPr>
                <w:t>12</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76">
              <w:r>
                <w:rPr>
                  <w:rStyle w:val="InternetLink"/>
                  <w:rFonts w:ascii="Times New Roman;sans-serif" w:hAnsi="Times New Roman;sans-serif"/>
                  <w:b w:val="false"/>
                  <w:color w:val="0000FF"/>
                  <w:sz w:val="20"/>
                  <w:u w:val="single"/>
                </w:rPr>
                <w:t>DESCRIPTION OF DEBT SECURITIES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76">
              <w:r>
                <w:rPr>
                  <w:rStyle w:val="InternetLink"/>
                  <w:rFonts w:ascii="Times New Roman;sans-serif" w:hAnsi="Times New Roman;sans-serif"/>
                  <w:b w:val="false"/>
                  <w:color w:val="0000FF"/>
                  <w:sz w:val="20"/>
                  <w:u w:val="single"/>
                </w:rPr>
                <w:t>15</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79">
              <w:r>
                <w:rPr>
                  <w:rStyle w:val="InternetLink"/>
                  <w:rFonts w:ascii="Times New Roman;sans-serif" w:hAnsi="Times New Roman;sans-serif"/>
                  <w:b w:val="false"/>
                  <w:color w:val="0000FF"/>
                  <w:sz w:val="20"/>
                  <w:u w:val="single"/>
                </w:rPr>
                <w:t>DESCRIPTION OF WARRANTS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79">
              <w:r>
                <w:rPr>
                  <w:rStyle w:val="InternetLink"/>
                  <w:rFonts w:ascii="Times New Roman;sans-serif" w:hAnsi="Times New Roman;sans-serif"/>
                  <w:b w:val="false"/>
                  <w:color w:val="0000FF"/>
                  <w:sz w:val="20"/>
                  <w:u w:val="single"/>
                </w:rPr>
                <w:t>22</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82">
              <w:r>
                <w:rPr>
                  <w:rStyle w:val="InternetLink"/>
                  <w:rFonts w:ascii="Times New Roman;sans-serif" w:hAnsi="Times New Roman;sans-serif"/>
                  <w:b w:val="false"/>
                  <w:color w:val="0000FF"/>
                  <w:sz w:val="20"/>
                  <w:u w:val="single"/>
                </w:rPr>
                <w:t>DESCRIPTION OF SUBSCRIPTION RIGHTS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82">
              <w:r>
                <w:rPr>
                  <w:rStyle w:val="InternetLink"/>
                  <w:rFonts w:ascii="Times New Roman;sans-serif" w:hAnsi="Times New Roman;sans-serif"/>
                  <w:b w:val="false"/>
                  <w:color w:val="0000FF"/>
                  <w:sz w:val="20"/>
                  <w:u w:val="single"/>
                </w:rPr>
                <w:t>27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85">
              <w:r>
                <w:rPr>
                  <w:rStyle w:val="InternetLink"/>
                  <w:rFonts w:ascii="Times New Roman;sans-serif" w:hAnsi="Times New Roman;sans-serif"/>
                  <w:b w:val="false"/>
                  <w:color w:val="0000FF"/>
                  <w:sz w:val="20"/>
                  <w:u w:val="single"/>
                </w:rPr>
                <w:t>DESCRIPTION OF UNITS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85">
              <w:r>
                <w:rPr>
                  <w:rStyle w:val="InternetLink"/>
                  <w:rFonts w:ascii="Times New Roman;sans-serif" w:hAnsi="Times New Roman;sans-serif"/>
                  <w:b w:val="false"/>
                  <w:color w:val="0000FF"/>
                  <w:sz w:val="20"/>
                  <w:u w:val="single"/>
                </w:rPr>
                <w:t>28</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88">
              <w:r>
                <w:rPr>
                  <w:rStyle w:val="InternetLink"/>
                  <w:rFonts w:ascii="Times New Roman;sans-serif" w:hAnsi="Times New Roman;sans-serif"/>
                  <w:b w:val="false"/>
                  <w:color w:val="0000FF"/>
                  <w:sz w:val="20"/>
                  <w:u w:val="single"/>
                </w:rPr>
                <w:t>LEGAL MATTERS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91">
              <w:r>
                <w:rPr>
                  <w:rStyle w:val="InternetLink"/>
                  <w:rFonts w:ascii="Times New Roman;sans-serif" w:hAnsi="Times New Roman;sans-serif"/>
                  <w:b w:val="false"/>
                  <w:color w:val="0000FF"/>
                  <w:sz w:val="20"/>
                  <w:u w:val="single"/>
                </w:rPr>
                <w:t>29</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2d335bcfc949c484bc9d2104a859be_591">
              <w:r>
                <w:rPr>
                  <w:rStyle w:val="InternetLink"/>
                  <w:rFonts w:ascii="Times New Roman;sans-serif" w:hAnsi="Times New Roman;sans-serif"/>
                  <w:b w:val="false"/>
                  <w:color w:val="0000FF"/>
                  <w:sz w:val="20"/>
                  <w:u w:val="single"/>
                </w:rPr>
                <w:t>EXPERTS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12d335bcfc949c484bc9d2104a859be_591">
              <w:r>
                <w:rPr>
                  <w:rStyle w:val="InternetLink"/>
                  <w:rFonts w:ascii="Times New Roman;sans-serif" w:hAnsi="Times New Roman;sans-serif"/>
                  <w:b w:val="false"/>
                  <w:color w:val="0000FF"/>
                  <w:sz w:val="20"/>
                  <w:u w:val="single"/>
                </w:rPr>
                <w:t>29</w:t>
              </w:r>
            </w:hyperlink>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ABOUT THIS PROSPECTUS </w:t>
      </w:r>
    </w:p>
    <w:p>
      <w:pPr>
        <w:pStyle w:val="TextBody"/>
        <w:bidi w:val="0"/>
        <w:spacing w:lineRule="auto" w:line="288" w:before="0" w:after="180"/>
        <w:jc w:val="both"/>
        <w:rPr/>
      </w:pPr>
      <w:r>
        <w:rPr>
          <w:rFonts w:ascii="Times New Roman;sans-serif" w:hAnsi="Times New Roman;sans-serif"/>
          <w:b w:val="false"/>
          <w:color w:val="000000"/>
          <w:sz w:val="20"/>
        </w:rPr>
        <w:t xml:space="preserve">This prospectus is part of a registration statement on Form S-3 that we filed with the Securities and Exchange Commission (the “SEC”) using a “shelf” registration process. Under this shelf registration process, from time to time, we may sell any combination of the securities described in this prospectus in one or more offerings, up to a total dollar amount of $300,000,000. We have provided to you in this prospectus a general description of the securities we may offer. Each time we sell securities under this shelf registration process, we will provide a prospectus supplement that will contain specific information about the terms of the offering. We may also add, update or change in the prospectus supplement any of the information contained in this prospectus. To the extent there is a conflict between the information contained in this prospectus and the prospectus supplement, you should rely on the information in the prospectus supplement;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You should read both this prospectus and any prospectus supplement together with additional information described under the heading “</w:t>
      </w:r>
      <w:r>
        <w:rPr>
          <w:rFonts w:ascii="Times New Roman;sans-serif" w:hAnsi="Times New Roman;sans-serif"/>
          <w:b w:val="false"/>
          <w:i/>
          <w:color w:val="000000"/>
          <w:sz w:val="20"/>
        </w:rPr>
        <w:t>Where You Can Find More Information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Incorporation of Information by Reference</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Neither we, nor any agent, underwriter or dealer have authorized anyone to give you any information or to make any representation other than the information and representations contained in or incorporated by reference into this prospectus or any applicable prospectus supplement. We and any agent, underwriter or dealer take no responsibility for, and can provide no assurance as to the reliability of, any other information others may give you. You may not imply from the delivery of this prospectus and any applicable prospectus supplement, nor from a sale made under this prospectus and any applicable prospectus supplement, that our affairs are unchanged since the date of this prospectus and any applicable prospectus supplement or that the information contained in any document incorporated by reference is accurate as of any date other than the date of the document incorporated by reference, regardless of the time of delivery of this prospectus and any applicable prospectus supplement or any sale of a security. This prospectus and any applicable prospectus supplement may only be used where it is legal to sell the securities.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THIS PROSPECTUS MAY NOT BE USED TO OFFER AND SELL SECURITIES UNLESS IT IS ACCOMPANIED BY AN ADDITIONAL PROSPECTUS OR A PROSPECTUS SUPPLEMENT.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context otherwise requires, references in this prospectus to the “Company,” “Sema4” and “we,” “us” and “our” refer to (i) Mount Sinai Genomics, Inc. d/b/a as Sema4 (“Legacy Sema4”) prior to the consummation of our business combination with CM Life Sciences, Inc. (“CMLS”) on July 22, 2021 (the “Business Combination”) and (ii) Sema4 Holdings Corp. (“Sema4 Holdings”) and its consolidated subsidiaries following the consummation of the Business Combination.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SELECTED DEFINITIONS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in this prospectus or the context otherwise requires, references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Amended and Restated</w:t>
      </w:r>
      <w:r>
        <w:rPr>
          <w:color w:val="000000"/>
        </w:rPr>
        <w:t xml:space="preserve"> </w:t>
      </w:r>
      <w:r>
        <w:rPr>
          <w:rFonts w:ascii="Times New Roman;sans-serif" w:hAnsi="Times New Roman;sans-serif"/>
          <w:b w:val="false"/>
          <w:i/>
          <w:color w:val="000000"/>
          <w:sz w:val="20"/>
        </w:rPr>
        <w:t>Certificate of Incorporation”</w:t>
      </w:r>
      <w:r>
        <w:rPr>
          <w:color w:val="000000"/>
        </w:rPr>
        <w:t xml:space="preserve"> </w:t>
      </w:r>
      <w:r>
        <w:rPr>
          <w:rFonts w:ascii="Times New Roman;sans-serif" w:hAnsi="Times New Roman;sans-serif"/>
          <w:b w:val="false"/>
          <w:color w:val="000000"/>
          <w:sz w:val="20"/>
        </w:rPr>
        <w:t>mean our Third Amended and Restated Certificate of Incorporation, dated as of July 22, 2021, as amended by the Amendment to the Amended and Restated Certificate of Incorporation, dated as of April 29, 2022.</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Board</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Board of Directors</w:t>
      </w:r>
      <w:r>
        <w:rPr>
          <w:color w:val="000000"/>
        </w:rPr>
        <w:t xml:space="preserve">” </w:t>
      </w:r>
      <w:r>
        <w:rPr>
          <w:rFonts w:ascii="Times New Roman;sans-serif" w:hAnsi="Times New Roman;sans-serif"/>
          <w:b w:val="false"/>
          <w:color w:val="000000"/>
          <w:sz w:val="20"/>
        </w:rPr>
        <w:t>mean the board of directors of the Company.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Business Combination</w:t>
      </w:r>
      <w:r>
        <w:rPr>
          <w:color w:val="000000"/>
        </w:rPr>
        <w:t xml:space="preserve">” </w:t>
      </w:r>
      <w:r>
        <w:rPr>
          <w:rFonts w:ascii="Times New Roman;sans-serif" w:hAnsi="Times New Roman;sans-serif"/>
          <w:b w:val="false"/>
          <w:color w:val="000000"/>
          <w:sz w:val="20"/>
        </w:rPr>
        <w:t>mean the transactions contemplated by the Business Combination Merger Agreement pursuant to which Legacy Sema4 consummated its business combination with CMLS on July 22, 2021.</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Business Combination Merger Agreement</w:t>
      </w:r>
      <w:r>
        <w:rPr>
          <w:color w:val="000000"/>
        </w:rPr>
        <w:t xml:space="preserve">” </w:t>
      </w:r>
      <w:r>
        <w:rPr>
          <w:rFonts w:ascii="Times New Roman;sans-serif" w:hAnsi="Times New Roman;sans-serif"/>
          <w:b w:val="false"/>
          <w:color w:val="000000"/>
          <w:sz w:val="20"/>
        </w:rPr>
        <w:t>mean that certain Agreement and Plan of Merger, dated as of February 9, 2021, as amended, by and among CMLS, S-IV Sub, Inc. and Legacy Sema4.</w:t>
      </w:r>
    </w:p>
    <w:p>
      <w:pPr>
        <w:pStyle w:val="TextBody"/>
        <w:bidi w:val="0"/>
        <w:spacing w:lineRule="auto" w:line="288" w:before="0" w:after="180"/>
        <w:ind w:left="0" w:right="0" w:hanging="360"/>
        <w:jc w:val="both"/>
        <w:rPr/>
      </w:pPr>
      <w:r>
        <w:rPr>
          <w:color w:val="000000"/>
        </w:rPr>
        <w:t>•</w:t>
      </w:r>
      <w:r>
        <w:rPr>
          <w:color w:val="000000"/>
          <w:shd w:fill="FFFFFF" w:val="clear"/>
        </w:rPr>
        <w:t>“</w:t>
      </w:r>
      <w:r>
        <w:rPr>
          <w:rFonts w:ascii="Times New Roman;sans-serif" w:hAnsi="Times New Roman;sans-serif"/>
          <w:b w:val="false"/>
          <w:i/>
          <w:color w:val="000000"/>
          <w:sz w:val="20"/>
        </w:rPr>
        <w:t>CMLS</w:t>
      </w:r>
      <w:r>
        <w:rPr>
          <w:color w:val="000000"/>
          <w:shd w:fill="FFFFFF" w:val="clear"/>
        </w:rPr>
        <w:t xml:space="preserve">” </w:t>
      </w:r>
      <w:r>
        <w:rPr>
          <w:rFonts w:ascii="Times New Roman;sans-serif" w:hAnsi="Times New Roman;sans-serif"/>
          <w:b w:val="false"/>
          <w:color w:val="000000"/>
          <w:sz w:val="20"/>
          <w:shd w:fill="FFFFFF" w:val="clear"/>
        </w:rPr>
        <w:t>mean CM Life Sciences, Inc. prior to the closing of the Business Combination.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Former Sponsor</w:t>
      </w:r>
      <w:r>
        <w:rPr>
          <w:color w:val="000000"/>
        </w:rPr>
        <w:t xml:space="preserve">” </w:t>
      </w:r>
      <w:r>
        <w:rPr>
          <w:rFonts w:ascii="Times New Roman;sans-serif" w:hAnsi="Times New Roman;sans-serif"/>
          <w:b w:val="false"/>
          <w:color w:val="000000"/>
          <w:sz w:val="20"/>
        </w:rPr>
        <w:t>mean CMLS Holdings LLC, a Delaware limited liability company.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GeneDx</w:t>
      </w:r>
      <w:r>
        <w:rPr>
          <w:color w:val="000000"/>
        </w:rPr>
        <w:t xml:space="preserve">” </w:t>
      </w:r>
      <w:r>
        <w:rPr>
          <w:rFonts w:ascii="Times New Roman;sans-serif" w:hAnsi="Times New Roman;sans-serif"/>
          <w:b w:val="false"/>
          <w:color w:val="000000"/>
          <w:sz w:val="20"/>
        </w:rPr>
        <w:t>mean GeneDx, LLC, a Delaware limited liability company (formerly, GeneDx, Inc., a New Jersey corporation), which we acquired on April 29, 2022.</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IPO</w:t>
      </w:r>
      <w:r>
        <w:rPr>
          <w:color w:val="000000"/>
        </w:rPr>
        <w:t xml:space="preserve">” </w:t>
      </w:r>
      <w:r>
        <w:rPr>
          <w:rFonts w:ascii="Times New Roman;sans-serif" w:hAnsi="Times New Roman;sans-serif"/>
          <w:b w:val="false"/>
          <w:color w:val="000000"/>
          <w:sz w:val="20"/>
        </w:rPr>
        <w:t>mean the Company’s initial public offering, consummated on September 4, 2020, of 44,275,000 units (including 5,775,000 units that were subsequently issued to the underwriters in connection with the partial exercise of their over-allotment option) at $10.00 per unit.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private placement warrants</w:t>
      </w:r>
      <w:r>
        <w:rPr>
          <w:color w:val="000000"/>
        </w:rPr>
        <w:t xml:space="preserve">” </w:t>
      </w:r>
      <w:r>
        <w:rPr>
          <w:rFonts w:ascii="Times New Roman;sans-serif" w:hAnsi="Times New Roman;sans-serif"/>
          <w:b w:val="false"/>
          <w:color w:val="000000"/>
          <w:sz w:val="20"/>
        </w:rPr>
        <w:t>mean the 7,236,667 warrants originally issued to the Former Sponsor and certain of the other initial stockholders of CMLS in a private placement in connection with our IPO.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public warrants</w:t>
      </w:r>
      <w:r>
        <w:rPr>
          <w:color w:val="000000"/>
        </w:rPr>
        <w:t xml:space="preserve">” </w:t>
      </w:r>
      <w:r>
        <w:rPr>
          <w:rFonts w:ascii="Times New Roman;sans-serif" w:hAnsi="Times New Roman;sans-serif"/>
          <w:b w:val="false"/>
          <w:color w:val="000000"/>
          <w:sz w:val="20"/>
        </w:rPr>
        <w:t>mean the 14,758,305 warrants included in the units issued in our IPO.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stockholders</w:t>
      </w:r>
      <w:r>
        <w:rPr>
          <w:color w:val="000000"/>
        </w:rPr>
        <w:t xml:space="preserve">” </w:t>
      </w:r>
      <w:r>
        <w:rPr>
          <w:rFonts w:ascii="Times New Roman;sans-serif" w:hAnsi="Times New Roman;sans-serif"/>
          <w:b w:val="false"/>
          <w:color w:val="000000"/>
          <w:sz w:val="20"/>
        </w:rPr>
        <w:t>mean holders of shares of our Class A common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warrant agreement</w:t>
      </w:r>
      <w:r>
        <w:rPr>
          <w:color w:val="000000"/>
        </w:rPr>
        <w:t xml:space="preserve">” </w:t>
      </w:r>
      <w:r>
        <w:rPr>
          <w:rFonts w:ascii="Times New Roman;sans-serif" w:hAnsi="Times New Roman;sans-serif"/>
          <w:b w:val="false"/>
          <w:color w:val="000000"/>
          <w:sz w:val="20"/>
        </w:rPr>
        <w:t>mean the warrant agreement between us and Continental Stock Transfer &amp; Trust Company, as warrant agent, governing the terms of the private placement warrants and the public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bdr w:val="single" w:sz="8" w:space="27" w:color="000000"/>
        </w:rPr>
      </w:pPr>
      <w:r>
        <w:rPr>
          <w:rFonts w:ascii="Times New Roman;sans-serif" w:hAnsi="Times New Roman;sans-serif"/>
          <w:b/>
          <w:color w:val="000000"/>
          <w:sz w:val="20"/>
          <w:bdr w:val="single" w:sz="8" w:space="27" w:color="000000"/>
        </w:rPr>
        <w:t xml:space="preserve">PROSPECTUS SUMMARY </w:t>
      </w:r>
    </w:p>
    <w:p>
      <w:pPr>
        <w:pStyle w:val="TextBody"/>
        <w:bidi w:val="0"/>
        <w:spacing w:lineRule="auto" w:line="288" w:before="0" w:after="180"/>
        <w:jc w:val="both"/>
        <w:rPr>
          <w:rFonts w:ascii="Times New Roman;sans-serif" w:hAnsi="Times New Roman;sans-serif"/>
          <w:b w:val="false"/>
          <w:i/>
          <w:color w:val="000000"/>
          <w:sz w:val="20"/>
          <w:bdr w:val="single" w:sz="8" w:space="27" w:color="000000"/>
        </w:rPr>
      </w:pPr>
      <w:r>
        <w:rPr>
          <w:rFonts w:ascii="Times New Roman;sans-serif" w:hAnsi="Times New Roman;sans-serif"/>
          <w:b w:val="false"/>
          <w:i/>
          <w:color w:val="000000"/>
          <w:sz w:val="20"/>
          <w:bdr w:val="single" w:sz="8" w:space="27" w:color="000000"/>
        </w:rPr>
        <w:t xml:space="preserve">This summary may not contain all the information that you should consider before investing in our securities. You should read the entire prospectus and the information incorporated by reference in this prospectus carefully, including “Risk Factors” and the financial statements and related notes incorporated by reference herein, before making an investment decision. </w:t>
      </w:r>
    </w:p>
    <w:p>
      <w:pPr>
        <w:pStyle w:val="TextBody"/>
        <w:bidi w:val="0"/>
        <w:spacing w:lineRule="auto" w:line="288" w:before="0" w:after="180"/>
        <w:jc w:val="both"/>
        <w:rPr>
          <w:rFonts w:ascii="Times New Roman;sans-serif" w:hAnsi="Times New Roman;sans-serif"/>
          <w:b/>
          <w:color w:val="000000"/>
          <w:sz w:val="20"/>
          <w:bdr w:val="single" w:sz="8" w:space="27" w:color="000000"/>
        </w:rPr>
      </w:pPr>
      <w:r>
        <w:rPr>
          <w:rFonts w:ascii="Times New Roman;sans-serif" w:hAnsi="Times New Roman;sans-serif"/>
          <w:b/>
          <w:color w:val="000000"/>
          <w:sz w:val="20"/>
          <w:bdr w:val="single" w:sz="8" w:space="27" w:color="000000"/>
        </w:rPr>
        <w:t>Company Overview</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We are a health insights company dedicated to accelerating the use of genomics and leveraging large-scale clinical data to enhance the standard of care through the more extensive use of precision medicine. Our mission is to unlock insights from data, leading to healthier lives and a healthier society. We are one of the largest and most advanced providers of genomic testing in the U.S. and have an industry-leading health information database to transform patient care and improve therapeutic development.</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 xml:space="preserve">We are focused on effectively delivering our portfolio of genomic and data solutions to guide patients through their family health journey. That includes family planning, delivery, pediatrics, hereditary cancer screening, and rare disorders for children and adults. We are committed to helping families make better health decisions with our panels, exome, and genome – fueled by our interpretation platform designed for a genome’s worth of information and a data engine built to combine genomic and clinical data to deliver better insights. </w:t>
      </w:r>
    </w:p>
    <w:p>
      <w:pPr>
        <w:pStyle w:val="TextBody"/>
        <w:bidi w:val="0"/>
        <w:spacing w:lineRule="auto" w:line="288" w:before="0" w:after="180"/>
        <w:jc w:val="both"/>
        <w:rPr>
          <w:bdr w:val="single" w:sz="8" w:space="27" w:color="000000"/>
        </w:rPr>
      </w:pPr>
      <w:r>
        <w:rPr>
          <w:rFonts w:ascii="Times New Roman;sans-serif" w:hAnsi="Times New Roman;sans-serif"/>
          <w:b w:val="false"/>
          <w:color w:val="000000"/>
          <w:sz w:val="20"/>
          <w:bdr w:val="single" w:sz="8" w:space="27" w:color="000000"/>
        </w:rPr>
        <w:t xml:space="preserve">Our integrated information platform leverages longitudinal patient data, artificial intelligence (“AI”)-driven predictive modeling, and genomics in combination with other molecular and high-dimensional data in our efforts both to deliver better outcomes for patients and to transform the practice of medicine, including how disease is diagnosed, treated, and prevented. We now maintain a database that includes patient data available for research on approximately 12 million patients from a number of public and proprietary sources, including more than five million patients available with clinical data through our partner health systems and genomic testing solutions. </w:t>
      </w:r>
      <w:r>
        <w:rPr>
          <w:rFonts w:ascii="Times New Roman;sans-serif" w:hAnsi="Times New Roman;sans-serif"/>
          <w:b w:val="false"/>
          <w:color w:val="000000"/>
          <w:sz w:val="20"/>
          <w:bdr w:val="single" w:sz="8" w:space="27" w:color="000000"/>
          <w:shd w:fill="FFFFFF" w:val="clear"/>
        </w:rPr>
        <w:t xml:space="preserve">Our data asset also includes one of the world’s largest datasets of approximately 400,000 clinical exomes, the vast majority of which are associated with rare disease, providing us an unparalleled platform for pharmaceutical and biotech (“Biopharma”) companies to leverage. </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Today, by providing differentiated insights through diagnostic testing solutions to physicians and patients across the United States (the “U.S.”) in areas such as reproductive and women’s health, pediatric and rare disease health, and population health, , we are reimbursed by payors, providers, and patients for providing these services. In collaboration with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pStyle w:val="TextBody"/>
        <w:bidi w:val="0"/>
        <w:spacing w:lineRule="auto" w:line="288" w:before="0" w:after="180"/>
        <w:jc w:val="both"/>
        <w:rPr>
          <w:rFonts w:ascii="Times New Roman;sans-serif" w:hAnsi="Times New Roman;sans-serif"/>
          <w:b/>
          <w:color w:val="000000"/>
          <w:sz w:val="20"/>
          <w:bdr w:val="single" w:sz="8" w:space="27" w:color="000000"/>
        </w:rPr>
      </w:pPr>
      <w:r>
        <w:rPr>
          <w:rFonts w:ascii="Times New Roman;sans-serif" w:hAnsi="Times New Roman;sans-serif"/>
          <w:b/>
          <w:color w:val="000000"/>
          <w:sz w:val="20"/>
          <w:bdr w:val="single" w:sz="8" w:space="27" w:color="000000"/>
        </w:rPr>
        <w:t xml:space="preserve">The Securities We May Offer </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 xml:space="preserve">With this prospectus, we may offer shares of our Class A common stock or preferred stock, debt securities, warrants to purchase our Class A common stock, preferred stock or debt securities, subscription rights to purchase our Class A common stock, preferred stock or debt securities, and/or units consisting of some or all of these securities in any combination. The aggregate offering price of securities that we offer with this prospectus will not exceed $300,000,000. Each time we offer securities with this prospectus, we will provide offerees with a prospectus supplement that will contain the specific terms of the securities being offered. The following is a summary of the securities we may offer with this prospectus. </w:t>
      </w:r>
    </w:p>
    <w:p>
      <w:pPr>
        <w:pStyle w:val="TextBody"/>
        <w:bidi w:val="0"/>
        <w:spacing w:lineRule="auto" w:line="288" w:before="0" w:after="180"/>
        <w:jc w:val="both"/>
        <w:rPr>
          <w:rFonts w:ascii="Times New Roman;sans-serif" w:hAnsi="Times New Roman;sans-serif"/>
          <w:b/>
          <w:i/>
          <w:color w:val="000000"/>
          <w:sz w:val="20"/>
          <w:bdr w:val="single" w:sz="8" w:space="27" w:color="000000"/>
        </w:rPr>
      </w:pPr>
      <w:r>
        <w:rPr>
          <w:rFonts w:ascii="Times New Roman;sans-serif" w:hAnsi="Times New Roman;sans-serif"/>
          <w:b/>
          <w:i/>
          <w:color w:val="000000"/>
          <w:sz w:val="20"/>
          <w:bdr w:val="single" w:sz="8" w:space="27" w:color="000000"/>
        </w:rPr>
        <w:t xml:space="preserve">Class A Common Stock </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 xml:space="preserve">We may offer shares of our Class A common stock, par value $0.0001 per share. </w:t>
      </w:r>
    </w:p>
    <w:p>
      <w:pPr>
        <w:pStyle w:val="TextBody"/>
        <w:bidi w:val="0"/>
        <w:spacing w:lineRule="auto" w:line="288" w:before="0" w:after="180"/>
        <w:jc w:val="both"/>
        <w:rPr>
          <w:rFonts w:ascii="Times New Roman;sans-serif" w:hAnsi="Times New Roman;sans-serif"/>
          <w:b/>
          <w:i/>
          <w:color w:val="000000"/>
          <w:sz w:val="20"/>
          <w:bdr w:val="single" w:sz="8" w:space="27" w:color="000000"/>
        </w:rPr>
      </w:pPr>
      <w:r>
        <w:rPr>
          <w:rFonts w:ascii="Times New Roman;sans-serif" w:hAnsi="Times New Roman;sans-serif"/>
          <w:b/>
          <w:i/>
          <w:color w:val="000000"/>
          <w:sz w:val="20"/>
          <w:bdr w:val="single" w:sz="8" w:space="27" w:color="000000"/>
        </w:rPr>
        <w:t xml:space="preserve">Preferred Stock </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 xml:space="preserve">We may offer shares of our preferred stock, par value $0.0001 per share, in one or more series. Our board of directors (the “Board”) or a committee designated by the Board will determine the dividend, voting, conversion and other rights of the series of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 xml:space="preserve">shares of preferred stock being offered. Each series of preferred stock will be more fully described in the particular prospectus supplement that will accompany this prospectus, including redemption provisions, rights in the event of our liquidation, dissolution or the winding up, voting rights and rights to convert into Class A common stock. </w:t>
      </w:r>
    </w:p>
    <w:p>
      <w:pPr>
        <w:pStyle w:val="TextBody"/>
        <w:bidi w:val="0"/>
        <w:spacing w:lineRule="auto" w:line="288" w:before="0" w:after="180"/>
        <w:jc w:val="both"/>
        <w:rPr>
          <w:rFonts w:ascii="Times New Roman;sans-serif" w:hAnsi="Times New Roman;sans-serif"/>
          <w:b/>
          <w:i/>
          <w:color w:val="000000"/>
          <w:sz w:val="20"/>
          <w:bdr w:val="single" w:sz="8" w:space="27" w:color="000000"/>
        </w:rPr>
      </w:pPr>
      <w:r>
        <w:rPr>
          <w:rFonts w:ascii="Times New Roman;sans-serif" w:hAnsi="Times New Roman;sans-serif"/>
          <w:b/>
          <w:i/>
          <w:color w:val="000000"/>
          <w:sz w:val="20"/>
          <w:bdr w:val="single" w:sz="8" w:space="27" w:color="000000"/>
        </w:rPr>
        <w:t xml:space="preserve">Debt Securities </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 xml:space="preserve">We may offer general obligations, which may be secured or unsecured, senior or subordinated and convertible into shares of our Class A common stock or preferred stock. In this prospectus, we refer to the senior debt securities and the subordinated debt securities together as the “debt securities.” Our Board will determine the terms of each series of debt securities being offered. </w:t>
      </w:r>
    </w:p>
    <w:p>
      <w:pPr>
        <w:pStyle w:val="TextBody"/>
        <w:bidi w:val="0"/>
        <w:spacing w:lineRule="auto" w:line="288" w:before="0" w:after="180"/>
        <w:jc w:val="both"/>
        <w:rPr>
          <w:bdr w:val="single" w:sz="8" w:space="27" w:color="000000"/>
        </w:rPr>
      </w:pPr>
      <w:r>
        <w:rPr>
          <w:rFonts w:ascii="Times New Roman;sans-serif" w:hAnsi="Times New Roman;sans-serif"/>
          <w:b w:val="false"/>
          <w:color w:val="000000"/>
          <w:sz w:val="20"/>
          <w:bdr w:val="single" w:sz="8" w:space="27" w:color="000000"/>
        </w:rPr>
        <w:t xml:space="preserve">We will issue the debt securities under an indenture between us and a trustee. In this prospectus, we have summarized general features of the debt securities from the indenture. We encourage you to read the indenture, which is an exhibit to the registration statement of which this prospectus is a part. </w:t>
      </w:r>
      <w:r>
        <w:rPr>
          <w:rFonts w:ascii="Times New Roman;sans-serif" w:hAnsi="Times New Roman;sans-serif"/>
          <w:b w:val="false"/>
          <w:color w:val="000000"/>
          <w:sz w:val="20"/>
          <w:bdr w:val="single" w:sz="8" w:space="27" w:color="000000"/>
          <w:shd w:fill="FFFFFF" w:val="clear"/>
        </w:rPr>
        <w:t xml:space="preserve">The actual indenture we enter into in connection with an offering of debt securities may differ significantly from the form of indenture we have filed. </w:t>
      </w:r>
    </w:p>
    <w:p>
      <w:pPr>
        <w:pStyle w:val="TextBody"/>
        <w:bidi w:val="0"/>
        <w:spacing w:lineRule="auto" w:line="288" w:before="0" w:after="180"/>
        <w:jc w:val="both"/>
        <w:rPr>
          <w:rFonts w:ascii="Times New Roman;sans-serif" w:hAnsi="Times New Roman;sans-serif"/>
          <w:b/>
          <w:i/>
          <w:color w:val="000000"/>
          <w:sz w:val="20"/>
          <w:bdr w:val="single" w:sz="8" w:space="27" w:color="000000"/>
        </w:rPr>
      </w:pPr>
      <w:r>
        <w:rPr>
          <w:rFonts w:ascii="Times New Roman;sans-serif" w:hAnsi="Times New Roman;sans-serif"/>
          <w:b/>
          <w:i/>
          <w:color w:val="000000"/>
          <w:sz w:val="20"/>
          <w:bdr w:val="single" w:sz="8" w:space="27" w:color="000000"/>
        </w:rPr>
        <w:t xml:space="preserve">Warrants </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 xml:space="preserve">We may offer warrants for the purchase of debt securities, shares of preferred stock or shares of Class A common stock. We may issue warrants independently or together with other securities. Our Board will determine the terms of the warrants. </w:t>
      </w:r>
    </w:p>
    <w:p>
      <w:pPr>
        <w:pStyle w:val="TextBody"/>
        <w:bidi w:val="0"/>
        <w:spacing w:lineRule="auto" w:line="288" w:before="0" w:after="180"/>
        <w:jc w:val="both"/>
        <w:rPr>
          <w:rFonts w:ascii="Times New Roman;sans-serif" w:hAnsi="Times New Roman;sans-serif"/>
          <w:b/>
          <w:i/>
          <w:color w:val="000000"/>
          <w:sz w:val="20"/>
          <w:bdr w:val="single" w:sz="8" w:space="27" w:color="000000"/>
        </w:rPr>
      </w:pPr>
      <w:r>
        <w:rPr>
          <w:rFonts w:ascii="Times New Roman;sans-serif" w:hAnsi="Times New Roman;sans-serif"/>
          <w:b/>
          <w:i/>
          <w:color w:val="000000"/>
          <w:sz w:val="20"/>
          <w:bdr w:val="single" w:sz="8" w:space="27" w:color="000000"/>
        </w:rPr>
        <w:t xml:space="preserve">Subscription Rights </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 xml:space="preserve">We may offer subscription rights for the purchase of Class A common stock, preferred stock or debt securities. We may issue subscription rights independently or together with other securities. Our Board will determine the terms of the subscription rights. </w:t>
      </w:r>
    </w:p>
    <w:p>
      <w:pPr>
        <w:pStyle w:val="TextBody"/>
        <w:bidi w:val="0"/>
        <w:spacing w:lineRule="auto" w:line="288" w:before="0" w:after="180"/>
        <w:jc w:val="both"/>
        <w:rPr>
          <w:rFonts w:ascii="Times New Roman;sans-serif" w:hAnsi="Times New Roman;sans-serif"/>
          <w:b/>
          <w:i/>
          <w:color w:val="000000"/>
          <w:sz w:val="20"/>
          <w:bdr w:val="single" w:sz="8" w:space="27" w:color="000000"/>
        </w:rPr>
      </w:pPr>
      <w:r>
        <w:rPr>
          <w:rFonts w:ascii="Times New Roman;sans-serif" w:hAnsi="Times New Roman;sans-serif"/>
          <w:b/>
          <w:i/>
          <w:color w:val="000000"/>
          <w:sz w:val="20"/>
          <w:bdr w:val="single" w:sz="8" w:space="27" w:color="000000"/>
        </w:rPr>
        <w:t xml:space="preserve">Units </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 xml:space="preserve">We may offer units consisting of some or all of the securities described above, in any combination, including Class A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 </w:t>
      </w:r>
    </w:p>
    <w:p>
      <w:pPr>
        <w:pStyle w:val="TextBody"/>
        <w:bidi w:val="0"/>
        <w:spacing w:lineRule="auto" w:line="288" w:before="0" w:after="180"/>
        <w:jc w:val="both"/>
        <w:rPr>
          <w:rFonts w:ascii="Times New Roman;sans-serif" w:hAnsi="Times New Roman;sans-serif"/>
          <w:b/>
          <w:color w:val="000000"/>
          <w:sz w:val="20"/>
          <w:bdr w:val="single" w:sz="8" w:space="27" w:color="000000"/>
        </w:rPr>
      </w:pPr>
      <w:r>
        <w:rPr>
          <w:rFonts w:ascii="Times New Roman;sans-serif" w:hAnsi="Times New Roman;sans-serif"/>
          <w:b/>
          <w:color w:val="000000"/>
          <w:sz w:val="20"/>
          <w:bdr w:val="single" w:sz="8" w:space="27" w:color="000000"/>
        </w:rPr>
        <w:t>Corporate Information</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We were incorporated on July 10, 2020 as a special purpose acquisition company and a Delaware corporation under the name CM Life Sciences, Inc. (“CMLS”). On September 4, 2020, CMLS completed its initial public offering. On July 22, 2021, CMLS consummated the Business Combination with Legacy Sema4 pursuant to the Business Combination Merger Agreement. In connection with the Business Combination, CMLS changed its name to Sema4 Holdings Corp. (“Sema4 Holdings”).</w:t>
      </w:r>
    </w:p>
    <w:p>
      <w:pPr>
        <w:pStyle w:val="TextBody"/>
        <w:bidi w:val="0"/>
        <w:spacing w:lineRule="auto" w:line="288" w:before="0" w:after="180"/>
        <w:jc w:val="both"/>
        <w:rPr>
          <w:rFonts w:ascii="Times New Roman;sans-serif" w:hAnsi="Times New Roman;sans-serif"/>
          <w:b w:val="false"/>
          <w:color w:val="000000"/>
          <w:sz w:val="20"/>
          <w:bdr w:val="single" w:sz="8" w:space="27" w:color="000000"/>
        </w:rPr>
      </w:pPr>
      <w:r>
        <w:rPr>
          <w:rFonts w:ascii="Times New Roman;sans-serif" w:hAnsi="Times New Roman;sans-serif"/>
          <w:b w:val="false"/>
          <w:color w:val="000000"/>
          <w:sz w:val="20"/>
          <w:bdr w:val="single" w:sz="8" w:space="27" w:color="000000"/>
        </w:rPr>
        <w:t>Our address is 333 Ludlow Street, North Tower, 8th Floor, Stamford, Connecticut 06902. Our telephone number is 1(800) 298-6470. Our website address is https://sema4.com. Information contained on our website or connected thereto does not constitute part of, and is not incorporated by reference into, this prospectus or the registration statement of which it forms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RISK FACTORS </w:t>
      </w:r>
    </w:p>
    <w:p>
      <w:pPr>
        <w:pStyle w:val="TextBody"/>
        <w:bidi w:val="0"/>
        <w:spacing w:lineRule="auto" w:line="288" w:before="0" w:after="180"/>
        <w:jc w:val="both"/>
        <w:rPr/>
      </w:pPr>
      <w:r>
        <w:rPr>
          <w:rFonts w:ascii="Times New Roman;sans-serif" w:hAnsi="Times New Roman;sans-serif"/>
          <w:b w:val="false"/>
          <w:color w:val="000000"/>
          <w:sz w:val="20"/>
        </w:rPr>
        <w:t>An investment in our securities involves a high degree of risk. You should consider the risk factors described in the</w:t>
      </w:r>
      <w:r>
        <w:rPr>
          <w:color w:val="000000"/>
          <w:shd w:fill="FFFFFF" w:val="clear"/>
        </w:rPr>
        <w:t xml:space="preserve"> “</w:t>
      </w:r>
      <w:r>
        <w:rPr>
          <w:rFonts w:ascii="Times New Roman;sans-serif" w:hAnsi="Times New Roman;sans-serif"/>
          <w:b w:val="false"/>
          <w:color w:val="000000"/>
          <w:sz w:val="20"/>
          <w:shd w:fill="FFFFFF" w:val="clear"/>
        </w:rPr>
        <w:t>Risk Factors” sections of our Annual Report on Form 10-K for the fiscal year ended December 31, 2021, our Quarterly Report on Form 10-Q for the quarter ended March 31, 2022 and our Quarterly Report on Form 10-Q for the quarter ended June 30, 2022, which reports are incorporated herein by reference, in addition to the factors set forth below and other information contained in or incorporated by reference in this prospectus or in any prospectus supplement or post-effective amendment, if required, before purchasing any of our securities</w:t>
      </w:r>
      <w:r>
        <w:rPr>
          <w:rFonts w:ascii="Times New Roman;sans-serif" w:hAnsi="Times New Roman;sans-serif"/>
          <w:b w:val="false"/>
          <w:color w:val="000000"/>
          <w:sz w:val="20"/>
        </w:rPr>
        <w:t>. We may face additional risks and uncertainties that are not presently known to us, or that we currently deem immaterial, which may also impair our business or financial condition. See “</w:t>
      </w:r>
      <w:r>
        <w:rPr>
          <w:rFonts w:ascii="Times New Roman;sans-serif" w:hAnsi="Times New Roman;sans-serif"/>
          <w:b w:val="false"/>
          <w:i/>
          <w:color w:val="000000"/>
          <w:sz w:val="20"/>
        </w:rPr>
        <w:t>Where You Can Find More Information</w:t>
      </w:r>
      <w:r>
        <w:rPr>
          <w:rFonts w:ascii="Times New Roman;sans-serif" w:hAnsi="Times New Roman;sans-serif"/>
          <w:b w:val="false"/>
          <w:color w:val="000000"/>
          <w:sz w:val="20"/>
        </w:rPr>
        <w:t>,” “</w:t>
      </w:r>
      <w:r>
        <w:rPr>
          <w:rFonts w:ascii="Times New Roman;sans-serif" w:hAnsi="Times New Roman;sans-serif"/>
          <w:b w:val="false"/>
          <w:i/>
          <w:color w:val="000000"/>
          <w:sz w:val="20"/>
        </w:rPr>
        <w:t>Incorporation of Information by Reference</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Cautionary Note Regarding Forward-Looking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CAUTIONARY NOTE REGARDING FORWARD-LOOKING STATEMENTS </w:t>
      </w:r>
    </w:p>
    <w:p>
      <w:pPr>
        <w:pStyle w:val="TextBody"/>
        <w:bidi w:val="0"/>
        <w:spacing w:lineRule="auto" w:line="288" w:before="0" w:after="180"/>
        <w:jc w:val="both"/>
        <w:rPr/>
      </w:pPr>
      <w:r>
        <w:rPr>
          <w:rFonts w:ascii="Times New Roman;sans-serif" w:hAnsi="Times New Roman;sans-serif"/>
          <w:b w:val="false"/>
          <w:color w:val="000000"/>
          <w:sz w:val="20"/>
        </w:rPr>
        <w:t>Certain matters discussed in this prospectus and the documents incorporated by reference in this prospectus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in the section entitled “</w:t>
      </w:r>
      <w:hyperlink w:anchor="i212d335bcfc949c484bc9d2104a859be_555">
        <w:r>
          <w:rPr>
            <w:rStyle w:val="InternetLink"/>
            <w:rFonts w:ascii="Times New Roman;sans-serif" w:hAnsi="Times New Roman;sans-serif"/>
            <w:b w:val="false"/>
            <w:i/>
            <w:color w:val="0000FF"/>
            <w:sz w:val="20"/>
            <w:u w:val="single"/>
          </w:rPr>
          <w:t>Risk Factors</w:t>
        </w:r>
      </w:hyperlink>
      <w:r>
        <w:rPr>
          <w:rFonts w:ascii="Times New Roman;sans-serif" w:hAnsi="Times New Roman;sans-serif"/>
          <w:b w:val="false"/>
          <w:color w:val="000000"/>
          <w:sz w:val="20"/>
        </w:rPr>
        <w:t>,” and elsewhere in this prospectus and the documents incorporated by reference herein, where such forward-looking statements appear. All written or oral forward-looking statements attributable to us are expressly qualified in their entirety by these cautionary statements. Such forward-looking statements include, but are not limited to, statements about: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realize the benefits expected from our April 2022 acquisition of GeneDx;</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estimates of the sufficiency of our existing capital resources combined with future anticipated cash flows to finance our operating requirements;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expected losses;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expectations for incurring capital expenditures;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unforeseen circumstances or other disruptions to normal business operations, including supply chain interruptions and manufacturing constraints, arising from or related to the ongoing COVID-19 pandemic;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expectations regarding our plans to exit out somatic tumor testing business and the associated cost savings and impact on our gross margins;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expectations for generating revenue or becoming profitable on a sustained basis;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expectations or ability to enter into service, collaboration and other partnership agreements;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expectations or ability to build our own commercial infrastructure to scale market and sell our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actions or authorizations by the U.S. Food and Drug Administration (the “FDA”) or other regulatory authorities;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governmental regulation and other legal obligations, including privacy, data protection, information security, consumer protection, and anti-corruption and anti-bribery;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obtain and maintain intellectual property protection for our product candidates;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compete against existing and emerging technologies;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stock price and its volatility;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attract and retain key personnel;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third-party payor reimbursement and coverage decisions, negotiations and settlements;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reliance on third-party laboratories and service providers for our test volume in connection with our diagnostic solutions and data programs;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satisfy Nasdaq listing rules;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expectations for future capital requirements;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accounting estimates, including the adequacy of our reserves for third party payor claims and our estimates of the fair value of milestone payments related to the April 2022 acquisition of GeneDx;</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successfully implement our business strategy;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other factors detailed under the section entitled “</w:t>
      </w:r>
      <w:hyperlink w:anchor="i212d335bcfc949c484bc9d2104a859be_555">
        <w:r>
          <w:rPr>
            <w:rStyle w:val="InternetLink"/>
            <w:rFonts w:ascii="Times New Roman;sans-serif" w:hAnsi="Times New Roman;sans-serif"/>
            <w:b w:val="false"/>
            <w:i/>
            <w:color w:val="0000FF"/>
            <w:sz w:val="20"/>
            <w:u w:val="single"/>
          </w:rPr>
          <w:t>Risk Factors</w:t>
        </w:r>
      </w:hyperlink>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prospectus and the documents incorporated by reference herein reflect our views and assumptions only as of the date of this prospectus or such document, as applicable. Except as required by law, we assume no responsibility for updating any forward-looking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WHERE YOU CAN FIND MORE INFORMATION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address is www.sema4.com. The information on our website, however, is not, and should not be deemed to be, a part of this prospectus.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and any applicable prospectus supplement are part of a registration statement that we filed with the SEC and do not contain all of the 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INCORPORATION OF INFORMATION BY REFERENCE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incorporates by reference the documents set forth below that have previously been filed with the SEC:</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Annual Report on Form 10-K for the year ended December 31, 2021, filed with the SEC on </w:t>
      </w:r>
      <w:hyperlink r:id="rId9">
        <w:r>
          <w:rPr>
            <w:rStyle w:val="InternetLink"/>
            <w:rFonts w:ascii="Times New Roman;sans-serif" w:hAnsi="Times New Roman;sans-serif"/>
            <w:b w:val="false"/>
            <w:color w:val="0000FF"/>
            <w:sz w:val="20"/>
            <w:u w:val="single"/>
          </w:rPr>
          <w:t>March 14, 2022</w:t>
        </w:r>
      </w:hyperlink>
      <w:r>
        <w:rPr>
          <w:rFonts w:ascii="Times New Roman;sans-serif" w:hAnsi="Times New Roman;sans-serif"/>
          <w:b w:val="false"/>
          <w:color w:val="000000"/>
          <w:sz w:val="20"/>
        </w:rPr>
        <w: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Quarterly Report on Form 10-Q for the quarterly period ended March 31, 2022, filed with the SEC on </w:t>
      </w:r>
      <w:hyperlink r:id="rId10">
        <w:r>
          <w:rPr>
            <w:rStyle w:val="InternetLink"/>
            <w:rFonts w:ascii="Times New Roman;sans-serif" w:hAnsi="Times New Roman;sans-serif"/>
            <w:b w:val="false"/>
            <w:color w:val="0000FF"/>
            <w:sz w:val="20"/>
            <w:u w:val="single"/>
          </w:rPr>
          <w:t>May 12, 2022</w:t>
        </w:r>
      </w:hyperlink>
      <w:r>
        <w:rPr>
          <w:rFonts w:ascii="Times New Roman;sans-serif" w:hAnsi="Times New Roman;sans-serif"/>
          <w:b w:val="false"/>
          <w:color w:val="000000"/>
          <w:sz w:val="20"/>
        </w:rPr>
        <w:t xml:space="preserve">, and our Quarterly Report on Form 10-Q for the quarterly period ended June 30, 2022, filed with the SEC on </w:t>
      </w:r>
      <w:hyperlink r:id="rId11">
        <w:r>
          <w:rPr>
            <w:rStyle w:val="InternetLink"/>
            <w:rFonts w:ascii="Times New Roman;sans-serif" w:hAnsi="Times New Roman;sans-serif"/>
            <w:b w:val="false"/>
            <w:color w:val="0000FF"/>
            <w:sz w:val="20"/>
            <w:u w:val="single"/>
          </w:rPr>
          <w:t>August 15, 2022</w:t>
        </w:r>
      </w:hyperlink>
      <w:r>
        <w:rPr>
          <w:rFonts w:ascii="Times New Roman;sans-serif" w:hAnsi="Times New Roman;sans-serif"/>
          <w:b w:val="false"/>
          <w:color w:val="000000"/>
          <w:sz w:val="20"/>
        </w:rPr>
        <w: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Current Reports on Form 8-K filed with the SEC on </w:t>
      </w:r>
      <w:hyperlink r:id="rId12">
        <w:r>
          <w:rPr>
            <w:rStyle w:val="InternetLink"/>
            <w:rFonts w:ascii="Times New Roman;sans-serif" w:hAnsi="Times New Roman;sans-serif"/>
            <w:b w:val="false"/>
            <w:color w:val="0000FF"/>
            <w:sz w:val="20"/>
            <w:u w:val="single"/>
          </w:rPr>
          <w:t>January 18, 2022</w:t>
        </w:r>
      </w:hyperlink>
      <w:r>
        <w:rPr>
          <w:color w:val="000000"/>
        </w:rPr>
        <w:t> </w:t>
      </w:r>
      <w:r>
        <w:rPr>
          <w:rFonts w:ascii="Times New Roman;sans-serif" w:hAnsi="Times New Roman;sans-serif"/>
          <w:b w:val="false"/>
          <w:color w:val="000000"/>
          <w:sz w:val="20"/>
        </w:rPr>
        <w:t>(but only with respect to Items 1.01, 3.02, 5.02 and Exhibits 2.1, 10.1, 10.2, 10.3 and 10.4 thereto), </w:t>
      </w:r>
      <w:hyperlink r:id="rId13">
        <w:r>
          <w:rPr>
            <w:rStyle w:val="InternetLink"/>
            <w:rFonts w:ascii="Times New Roman;sans-serif" w:hAnsi="Times New Roman;sans-serif"/>
            <w:b w:val="false"/>
            <w:color w:val="0000FF"/>
            <w:sz w:val="20"/>
            <w:u w:val="single"/>
          </w:rPr>
          <w:t>January 31, 2022</w:t>
        </w:r>
      </w:hyperlink>
      <w:r>
        <w:rPr>
          <w:rFonts w:ascii="Times New Roman;sans-serif" w:hAnsi="Times New Roman;sans-serif"/>
          <w:b w:val="false"/>
          <w:color w:val="000000"/>
          <w:sz w:val="20"/>
        </w:rPr>
        <w:t>, </w:t>
      </w:r>
      <w:hyperlink r:id="rId14">
        <w:r>
          <w:rPr>
            <w:rStyle w:val="InternetLink"/>
            <w:rFonts w:ascii="Times New Roman;sans-serif" w:hAnsi="Times New Roman;sans-serif"/>
            <w:b w:val="false"/>
            <w:color w:val="0000FF"/>
            <w:sz w:val="20"/>
            <w:u w:val="single"/>
          </w:rPr>
          <w:t>March 14, 2022</w:t>
        </w:r>
      </w:hyperlink>
      <w:r>
        <w:rPr>
          <w:color w:val="000000"/>
        </w:rPr>
        <w:t> </w:t>
      </w:r>
      <w:r>
        <w:rPr>
          <w:rFonts w:ascii="Times New Roman;sans-serif" w:hAnsi="Times New Roman;sans-serif"/>
          <w:b w:val="false"/>
          <w:color w:val="000000"/>
          <w:sz w:val="20"/>
        </w:rPr>
        <w:t>(but only with respect to Item 4.02 and 9.01 thereto), </w:t>
      </w:r>
      <w:hyperlink r:id="rId15">
        <w:r>
          <w:rPr>
            <w:rStyle w:val="InternetLink"/>
            <w:rFonts w:ascii="Times New Roman;sans-serif" w:hAnsi="Times New Roman;sans-serif"/>
            <w:b w:val="false"/>
            <w:color w:val="0000FF"/>
            <w:sz w:val="20"/>
            <w:u w:val="single"/>
          </w:rPr>
          <w:t>April 27, 2022</w:t>
        </w:r>
      </w:hyperlink>
      <w:r>
        <w:rPr>
          <w:rFonts w:ascii="Times New Roman;sans-serif" w:hAnsi="Times New Roman;sans-serif"/>
          <w:b w:val="false"/>
          <w:color w:val="000000"/>
          <w:sz w:val="20"/>
        </w:rPr>
        <w:t>, </w:t>
      </w:r>
      <w:hyperlink r:id="rId16">
        <w:r>
          <w:rPr>
            <w:rStyle w:val="InternetLink"/>
            <w:rFonts w:ascii="Times New Roman;sans-serif" w:hAnsi="Times New Roman;sans-serif"/>
            <w:b w:val="false"/>
            <w:color w:val="0000FF"/>
            <w:sz w:val="20"/>
            <w:u w:val="single"/>
          </w:rPr>
          <w:t>May 2, 2022</w:t>
        </w:r>
      </w:hyperlink>
      <w:r>
        <w:rPr>
          <w:color w:val="000000"/>
        </w:rPr>
        <w:t> </w:t>
      </w:r>
      <w:r>
        <w:rPr>
          <w:rFonts w:ascii="Times New Roman;sans-serif" w:hAnsi="Times New Roman;sans-serif"/>
          <w:b w:val="false"/>
          <w:color w:val="000000"/>
          <w:sz w:val="20"/>
        </w:rPr>
        <w:t xml:space="preserve">(but only with respect to Items 1.01, 2.01, 3.02, 5.02, 5.03, 8.01, 9.01(a) and 9.01(b), and Exhibits 2.1, 3.1, 10.1, 10.2, 23.1, 99.2 and 99.3 thereto), </w:t>
      </w:r>
      <w:hyperlink r:id="rId17">
        <w:r>
          <w:rPr>
            <w:rStyle w:val="InternetLink"/>
            <w:rFonts w:ascii="Times New Roman;sans-serif" w:hAnsi="Times New Roman;sans-serif"/>
            <w:b w:val="false"/>
            <w:color w:val="0000FF"/>
            <w:sz w:val="20"/>
            <w:u w:val="single"/>
          </w:rPr>
          <w:t>June 14, 2022</w:t>
        </w:r>
      </w:hyperlink>
      <w:r>
        <w:rPr>
          <w:color w:val="000000"/>
        </w:rPr>
        <w:t xml:space="preserve"> </w:t>
      </w:r>
      <w:r>
        <w:rPr>
          <w:rFonts w:ascii="Times New Roman;sans-serif" w:hAnsi="Times New Roman;sans-serif"/>
          <w:b w:val="false"/>
          <w:color w:val="000000"/>
          <w:sz w:val="20"/>
        </w:rPr>
        <w:t xml:space="preserve">(but only with respect to Items 5.02 and 9.01), </w:t>
      </w:r>
      <w:hyperlink r:id="rId18">
        <w:r>
          <w:rPr>
            <w:rStyle w:val="InternetLink"/>
            <w:rFonts w:ascii="Times New Roman;sans-serif" w:hAnsi="Times New Roman;sans-serif"/>
            <w:b w:val="false"/>
            <w:color w:val="0000FF"/>
            <w:sz w:val="20"/>
            <w:u w:val="single"/>
          </w:rPr>
          <w:t>July 1, 2022</w:t>
        </w:r>
      </w:hyperlink>
      <w:r>
        <w:rPr>
          <w:rFonts w:ascii="Times New Roman;sans-serif" w:hAnsi="Times New Roman;sans-serif"/>
          <w:b w:val="false"/>
          <w:color w:val="000000"/>
          <w:sz w:val="20"/>
        </w:rPr>
        <w:t xml:space="preserve">, and </w:t>
      </w:r>
      <w:hyperlink r:id="rId19">
        <w:r>
          <w:rPr>
            <w:rStyle w:val="InternetLink"/>
            <w:rFonts w:ascii="Times New Roman;sans-serif" w:hAnsi="Times New Roman;sans-serif"/>
            <w:b w:val="false"/>
            <w:color w:val="0000FF"/>
            <w:sz w:val="20"/>
            <w:u w:val="single"/>
          </w:rPr>
          <w:t>August 26, 2022</w:t>
        </w:r>
      </w:hyperlink>
      <w:r>
        <w:rPr>
          <w:color w:val="000000"/>
        </w:rPr>
        <w:t xml:space="preserve"> </w:t>
      </w:r>
      <w:r>
        <w:rPr>
          <w:rFonts w:ascii="Times New Roman;sans-serif" w:hAnsi="Times New Roman;sans-serif"/>
          <w:b w:val="false"/>
          <w:color w:val="000000"/>
          <w:sz w:val="20"/>
        </w:rPr>
        <w:t xml:space="preserve">(but only with respect to Items 5.02, 8.01, 9.01(a) and 9.01(b), and Exhibits 10.1, 99.2 and 99.3);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audited combined carve-out balance sheets of GeneDx and subsidiary as of December 31, 2021 and 2020, the related audited combined carve out statements of comprehensive loss, equity and cash flows for each of the two years in the period ended December 31, 2021, and the related notes are included in our definitive proxy statement filed with the SEC on March 31, 2022 beginning on page F-41; and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description of our Class A common stock contained in our Registration Statement on </w:t>
      </w:r>
      <w:hyperlink r:id="rId20">
        <w:r>
          <w:rPr>
            <w:rStyle w:val="InternetLink"/>
            <w:rFonts w:ascii="Times New Roman;sans-serif" w:hAnsi="Times New Roman;sans-serif"/>
            <w:b w:val="false"/>
            <w:color w:val="0000FF"/>
            <w:sz w:val="20"/>
            <w:u w:val="single"/>
          </w:rPr>
          <w:t>Form 8-A</w:t>
        </w:r>
      </w:hyperlink>
      <w:r>
        <w:rPr>
          <w:color w:val="000000"/>
        </w:rPr>
        <w:t> </w:t>
      </w:r>
      <w:r>
        <w:rPr>
          <w:rFonts w:ascii="Times New Roman;sans-serif" w:hAnsi="Times New Roman;sans-serif"/>
          <w:b w:val="false"/>
          <w:color w:val="000000"/>
          <w:sz w:val="20"/>
        </w:rPr>
        <w:t>filed with the SEC on August 31, 2020, as updated by the description of our Class A common stock contained in Exhibit 4.4 to our Annual Report on </w:t>
      </w:r>
      <w:hyperlink r:id="rId21">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year ended December 31, 2021, including any subsequent amendments or reports filed for the purpose of updating such description.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reports and other documents we subsequently file pursuant to Section 13(a), 13(c), 14 or 15(d) of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provide, without charge, to each person, including any beneficial owner, to whom a copy of this prospectus is delivered, upon written or oral request of such person, a copy of any or all of the documents incorporated by reference in this prospectus, other than exhibits to such documents unless such exhibits are specifically incorporated by reference into such documents. Requests may be made by telephone at 1(800) 298-6470, or by sending a written request to Sema4 Holdings Corp., 333 Ludlow Street, North Tower, 8th Floor, Stamford, Connecticut 06902, Attention: Investor Relations.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USE OF PROCEEDS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retain broad discretion over the use of the net proceeds to us from the sale of our securities under this prospectus.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investment grade, interest-bearing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PLAN OF DISTRIBUTION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sell the securities covered by this prospectus to one or more underwriters for public offering and sale by them, and may also sell the securities to investors directly or through agents. We will name any underwriter or agent involved in the offer and sale of securities in the applicable prospectus supplement. We have reserved the right to sell or exchange securities directly to investors on our own behalf in jurisdictions where we are authorized to do so. We may distribute the securities from time to time in one or more transactions: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a fixed price or prices, which may be changed;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market prices prevailing at the time of sale;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prices related to such prevailing market prices;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negotiated prices.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utilize an underwriter in the sale of the securities being offered by this prospectus, we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provide in the applicable prospectus supplement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and to reimburse them for certain expenses. We may grant underwriters who participate in the distribution of our securities under this prospectus an option to purchase additional securities to cover any over-allotments in connection with the distribution.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securities we offer under this prospectus may or may not be listed through The Nasdaq Global Select Market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issue to our existing security holders, through a dividend or similar distribution, subscription rights to purchase our securities, which may or may not be transferable. In any distribution of subscription rights to our existing security 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The applicable prospectus supplement will describe the specific terms of any offering of our securities through the issuance of subscription rights, including, if applicable, the material terms of any standby underwriting or purchase arrangement.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engage in at the market offerings into an existing trading market in accordance with Rule 415(a)(4) under the Securities Act. In addition, we may enter into derivative transactions with third parties, or sell securities not covered by this prospectus to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in privately negotiated transactions. If the applicable prospectus supplement indicates, in connection with those derivatives, the third parties may sell securities covered by this prospectus and the applicable prospectus supplement, including short sale transactions. If so, the third party may use securities pledged by us or borrowed from us or others to settle those sales or to close out any related open borrowings of securities, and they may use securities received from us in settlement of those derivatives to close out any related open borrowings of securities. The third party in these sale transactions will be an underwriter and will be identified in the applicable prospectus supplement. In addition, we may otherwise loan or pledge securities to a financial institution or other third party that in turn may sell the securities short using this prospectus. The financial institution or other third party may transfer its economic short position to investors in our securities or in connection with a concurrent offering of other securities.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file a prospectus supplement to describe the terms of any offering of our securities covered by this prospectus. The prospectus supplement will disclose: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terms of the offer;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names of any underwriters, including any managing underwriters, as well as any dealers or agents;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purchase price of the securities from us;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net proceeds to us from the sale of the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delayed delivery arrangements;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over-allotment or other options under which underwriters, if any, may purchase additional securities from us;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underwriting discounts, commissions or other items constituting underwriters’ compensation, and any commissions paid to agents;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a subscription rights offering, whether we have engaged dealer-managers to facilitate the offering or subscription, including their name or names and compensation;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public offering price;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other facts material to the transaction.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bear all or substantially all of the costs, expenses and fees in connection with the registration of our securities under this prospectus. The underwriters, dealers and agents may engage in transactions with us, or perform services for us, in the ordinary course of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DESCRIPTION OF CAPITAL STOCK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sets forth certain material terms and provisions of our capital stock. This description also summarizes relevant provisions of the General Corporation Law of Delaware (the “DGCL”). The following description is a summary and does not purport to be a complete description of the rights and preferences of our capital stock. It is subject to, and qualified in its entirety by reference to, the applicable provisions of the DGCL and our third amended and restated certificate of incorporation, as amended (our “Amended and Restated Certificate of Incorporation”) and our restated bylaws (our “Bylaws”), each of which is incorporated by reference as an exhibit to the registration statement of which this prospectus forms a part. We encourage you to read our Amended and Certificate of Incorporation, our Bylaws and the applicable provisions of the DGCL for additional information.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General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authorized capital stock consists of 1,000,000,000 shares of Class A common stock, $0.0001 par value per share, and 1,000,000 shares of preferred stock, $0.0001 par value per share.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2022, there were 379,896,799 shares of our Class A common stock outstanding, no shares of preferred stock outstanding and 21,994,972 warrants outstanding. The outstanding shares of our Class A common stock are duly authorized, validly issued, fully paid and non-assessable.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each share of our Class A common stock has the same relative rights and is identical in all respects to each other share of our Class A common stock. The rights, preferences and privileges of holders of our Class A common stock are subject to the rights, preferences and privileges of the holders of shares of any series of preferred stock that we have issued or may issue in the future.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Voting Power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required by law or as otherwise provided in any certificate of designation for any series of preferred stock, or under our Amended and Restated Certificate of Incorporation, the holders of Class A common stock possess all voting power for the election of our directors and all other matters requiring stockholder action and are entitled to one vote per share on matters to be voted on by stockholders. The holders of Class A common stock shall at all times vote together as one class on all matters submitted to a vote of the holders of Class A common stock under our Amended and Restated Certificate of Incorporation.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rights, if any of the holders of any outstanding shares of preferred stock, under our Amended and Restated Certificate of Incorporation, holders of Class A common stock are entitled to receive such dividends and other distributions, if any, as may be declared from time to time by our Board in its discretion out of funds legally available therefor and shall share equally on a per share basis in such dividends and distributions.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Liquidation, Dissolution and Winding Up</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the voluntary or involuntary liquidation, dissolution or winding-up of the Company, under our Amended and Restated Certificate of Incorporation, holders of Class A common stock will be entitled to receive all the remaining assets of the Company available for distribution to stockholders, ratably in proportion to the number of shares of Class A common stock held by them, after the rights of the holders of the preferred stock have been satisfied.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Preemptive or Other Rights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Under our Amended and Restated Certificate of Incorporation, our stockholders have no preemptive or other subscription rights and there are no sinking fund or redemption provisions applicable to our Class A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Election of Directors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for a classified board of directors with staggered three-year terms, consisting of the three classes: Class I, Class II and Class III. The term of the Class I Directors will expire at our 2025 annual meeting of the stockholders, the term of the Class II Directors will expire at our 2023 annual meeting of the stockholders and the term of the Class III Directors will expire at our 2024 annual meeting of the stockholders.</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Class A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Certain Anti-Takeover Provisions of Delaware Law and Our Amended and Restated Certificate of Incorporation and Bylaws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of the DGCL and our Amended and Restated Certificate of Incorporation could make it more difficult to acquire us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Amended and Restated Certificate of Incorporation provide for certain other provisions that may have an anti-takeover effect: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There is no cumulative voting with respect to the election of directors.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Board is empowered to elect a director to fill a vacancy created by the expansion of the Board or the resignation, death, or removal of a director in certain circumstances.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Directors may only be removed from the Board for cause.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Board will be classified into three classes of directors. As a result, in most circumstances, a person can gain control of our Board by successfully engaging in a proxy contest at two or more annual meetings.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pStyle w:val="TextBody"/>
        <w:bidi w:val="0"/>
        <w:spacing w:lineRule="auto" w:line="288" w:before="0" w:after="180"/>
        <w:jc w:val="both"/>
        <w:rPr/>
      </w:pPr>
      <w:r>
        <w:rPr>
          <w:color w:val="000000"/>
        </w:rPr>
        <w:t>•</w:t>
      </w:r>
      <w:r>
        <w:rPr>
          <w:rFonts w:ascii="Times New Roman;sans-serif" w:hAnsi="Times New Roman;sans-serif"/>
          <w:b w:val="false"/>
          <w:color w:val="000000"/>
          <w:sz w:val="20"/>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Class A common stock and preferred stock could render more difficult or discourage an attempt to obtain control of us by means of a proxy contest, tender offer, merger or otherwise.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Forum Selection Clause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includes a forum selection clause. Our Amended and Restated Certificate of Incorporation provides that, subject to limited exceptions, the Court of Chancery of the State of Delaware and federal court within the State of Delaware will be exclusive forums for any: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derivative action or proceeding brought on our behalf;</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action asserting a claim of breach of a fiduciary duty owed by, or other wrongdoing by, any of our directors, officers, stockholders, employees or agents to us or our stockholders;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action asserting a claim against us or any of our directors, officers, stockholders, employees or agents arising pursuant to any provision of the DGCL, our Amended and Restated Certificate of Incorporation or Bylaws or as to which the DGCL confers jurisdiction on the Court of Chancery of the State of Delaware;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action to interpret, apply, enforce or determine the validity of our Amended and Restated Certificate of Incorporation or the Bylaws;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other action asserting a claim against us or any of our directors, officers, stockholders, employees or agents that is governed by the internal affairs doctrine.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does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for our Class A common stock is Continental Stock Transfer &amp; Trust Company. We have agreed to indemnify Continental Stock Transfer &amp; Trust Company in its roles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Nasdaq Global Select Market listing</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Class A common stock is traded on The Nasdaq Global Select Market under the symbol “SMFR.”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DESCRIPTION OF DEBT SECURITIES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General </w:t>
      </w:r>
    </w:p>
    <w:p>
      <w:pPr>
        <w:pStyle w:val="TextBody"/>
        <w:bidi w:val="0"/>
        <w:spacing w:lineRule="auto" w:line="288" w:before="0" w:after="180"/>
        <w:jc w:val="both"/>
        <w:rPr/>
      </w:pPr>
      <w:r>
        <w:rPr>
          <w:rFonts w:ascii="Times New Roman;sans-serif" w:hAnsi="Times New Roman;sans-serif"/>
          <w:b w:val="false"/>
          <w:color w:val="000000"/>
          <w:sz w:val="20"/>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w:t>
      </w:r>
      <w:r>
        <w:rPr>
          <w:rFonts w:ascii="Times New Roman;sans-serif" w:hAnsi="Times New Roman;sans-serif"/>
          <w:b w:val="false"/>
          <w:color w:val="000000"/>
          <w:sz w:val="20"/>
          <w:shd w:fill="FFFFFF" w:val="clear"/>
        </w:rPr>
        <w:t>, which we refer to as the “base indenture,” and supplemental indentures and forms of debt securities containing the terms of the debt securities being offered and sold will be filed as exhibits to the registration statement and/or will be incorporated by reference from reports that we file with the SEC. The actual base indenture we enter into in connection with an offering of debt securities may differ significantly from the form of base indenture we have filed. The base indenture, as amended or supplemented from time to time by one or more supplemental indentures, is referred to below collectively as the “indenture.”</w:t>
      </w:r>
      <w:r>
        <w:rPr>
          <w:color w:val="000000"/>
        </w:rPr>
        <w:t xml:space="preserve"> </w:t>
      </w:r>
      <w:r>
        <w:rPr>
          <w:rFonts w:ascii="Times New Roman;sans-serif" w:hAnsi="Times New Roman;sans-serif"/>
          <w:b w:val="false"/>
          <w:color w:val="000000"/>
          <w:sz w:val="20"/>
        </w:rPr>
        <w:t xml:space="preserve">The indenture will be subject to and governed by the terms of the Trust Indenture Act of 1939.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offer under this prospectus up to an aggregate principal amount of $300,000,000 in debt securities, or if debt securities are issued at a discount, or in a foreign currency, foreign currency units or composite currency, the principal amount as may be sold for an aggregate public offering price of up to $300,000,000. Unless otherwise specified in the applicable prospectus supplement, the debt securities will represent our direct, unsecured obligations and will rank equally with all of our other unsecured indebtedness.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The prospectus supplement relating to the particular series of debt securities being offered will specify the particular amounts, prices and terms of those debt securities. These terms may include: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title of the series;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aggregate principal amount, and, if a series, the total amount authorized and the total amount outstanding;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issue price or prices, expressed as a percentage of the aggregate principal amount of the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limit on the aggregate principal amount;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date or dates on which principal is payable;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interest rate or rates (which may be fixed or variable) or, if applicable, the method used to determine such rate or rates;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date or dates from which interest, if any, will be payable and any regular record date for the interest payable;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place or places where principal and, if applicable, premium and interest, is payable;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terms and conditions upon which we may, or the holders may require us to, redeem or repurchase the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denominations in which such debt securities may be issuable, if other than denominations of $1,000 or any integral multiple of that number;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the debt securities are to be issuable in the form of certificated securities (as described below) or global securities (as described below);</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portion of principal amount that will be payable upon declaration of acceleration of the maturity date if other than the principal amount of the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currency of denomination;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designation of the currency, currencies or currency units in which payment of principal and, if applicable, premium and interest, will be made;</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provisions, if any, relating to any collateral provided for such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addition to or change in the covenants and/or the acceleration provisions described in this prospectus or in the base indenture;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events of default, if not otherwise described below under “Events of Default”;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terms and conditions, if any, for conversion into or exchange for shares of our Class A common stock or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depositaries, interest rate calculation agents, exchange rate calculation agents or other agents;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terms and conditions, if any, upon which the debt securities shall be subordinated in right of payment to our other indebtedness.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Debt securities offered under this prospectus and any prospectus supplement may be subordinated in right of payment to certain of our outstanding senior indebtedness. In addition, we will seek the consent of the holders of any such senior indebtedness prior to issuing any debt securities under this prospectus to the extent required by the agreements evidencing such senior indebtedness.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Registrar and Paying Agent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securities may be presented for registration of transfer or for exchange at the corporate trust office of the security registrar or at any other office or agency that we maintain for those purposes. In addition, the debt securities may be presented for payment of principal, interest and any premium at the office of the paying agent or at any office or agency that we maintain for those purposes.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Conversion or Exchange Rights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Debt securities may be convertible into or exchangeable for shares of our Class A common stock. The terms and conditions of conversion or exchange will be stated in the applicable prospectus supplement. The terms will include, among others, the following: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conversion or exchange price;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conversion or exchange period;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provisions regarding the convertibility or exchangeability of the debt securities, including who may convert or exchange;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events requiring adjustment to the conversion or exchange price;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provisions affecting conversion or exchange in the event of our redemption of the debt securities;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anti-dilution provisions, if applicable.</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Registered Global Securities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prospectus supplement will describe the specific terms of the depositary arrangement for debt securities of a series that are issued in global form. None of us,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No Protection in the Event of Change of Control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base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Covenants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Merger, Consolidation or Sale of Assets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form of base indenture provides that we will not consolidate with or merge into any other person or convey, transfer, sell or lease our properties and assets substantially as an entirety to any person, unless: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the surviving person of such merger or consolidation, or if we are not the surviving person, 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has expressly assumed all of our obligations, including the payment of the principal of and, premium, if any, and interest on the debt securities and the performance of the other covenants under the indenture;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immediately before and immediately after giving effect to the transaction on a pro forma basis, no event of default, and no event which, after notice or lapse of time or both, would become an event of default, has occurred and is continuing under the indenture.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Events of Default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specified in the applicable prospectus supplement, the following events will be events of default under the indenture with respect to debt securities of any series: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fail to pay any principal or premium, if any, when it becomes due;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fail to pay any interest within 30 days after it becomes due;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fail to observe or perform any other covenant in the debt securities or the indenture for 90 days after written notice specifying the failure from the trustee or the holders of not less than 25% in aggregate principal amount of the outstanding debt securities of that series;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certain events involving bankruptcy, insolvency or reorganization of us or any of our significant subsidiaries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all events of default (other than nonpayment of accelerated principal, premium or interest) have been cured or waived;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all lawful interest on overdue interest and overdue principal has been paid;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rescission would not conflict with any judgment or decree.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the acceleration occurs at any time when we have outstanding indebtedness that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holder of any debt security of a series will have any right to institute any proceeding with respect to the indenture or for any remedy under the indenture, unless: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holder gives to the trustee written notice of a continuing event of default;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holders of at least 25% in aggregate principal amount of the outstanding debt securities of the affected series make a written request and offer reasonable indemnity to the trustee to institute a proceeding as trustee;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trustee fails to institute a proceeding within 60 days after such request;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holders of a majority in aggregate principal amount of the outstanding debt securities of the affected series do not give the trustee a direction inconsistent with such request during such 60-day period.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limitations do not, however, apply to a suit instituted for payment on debt securities of any series on or after the due dates expressed in the debt securities.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periodically deliver certificates to the trustee regarding our compliance with our obligations under the indenture.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Modification and Waiver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and the trustee may, without the consent of holders of the debt securities of one or more series, amend the indenture or the debt securities of one or more series, or supplement the indenture, for certain specified purposes, including: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provide that the surviving entity following a change of control permitted under the indenture will assume all of our obligations under the indenture and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provide for certificated debt securities in addition to uncertificated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comply with any requirements of the SEC under the Trust Indenture Act of 1939;</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provide for the issuance of and establish the form and terms and conditions of debt securities of any series as permitted by the indenture;</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cure any ambiguity, defect or inconsistency, or make any other change that does not materially and adversely affect the rights of any holder;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appoint a successor trustee under the indenture with respect to one or more series.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and the trustee may, with the consent of holders of at least a majority in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reduce the amount of debt securities whose holders must consent to an amendment, supplement, or waiver to the indenture or such debt security;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reduce the rate of or change the time for payment of interest or reduce the amount of or postpone the date for payment of sinking fund or analogous obligations;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reduce the principal of or change the stated maturity of the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make any debt security payable in money other than that stated in the debt security;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 the amount or time of any payment required or reduce the premium payable upon any redemption, or change the time before which no such redemption may be made;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waive a default in the payment of the principal of, premium, if any, or interest on the debt securities or a redemption payment;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waive a redemption payment with respect to any debt securities or change any provision with respect to redemption of debt securities;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take any other action otherwise prohibited by the indenture to be taken without the consent of each holder affected by the action.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Defeasance of Debt Securities and Certain Covenants in Certain Circumstances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permits us, at any time, to elect to discharge our obligations with respect to one or more series of debt securities by following certain procedures described in the indenture. These procedures will allow us either: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defease and be discharged from any and all of our obligations with respect to any debt securities except for the following obligations (which discharge is referred to as “legal defeasance”):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register the transfer or exchange of such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replace temporary or mutilated, destroyed, lost or stolen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compensate and indemnify the trustee;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maintain an office or agency in respect of the debt securities and to hold monies for payment in trust;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be released from our obligations with respect to the debt securities under certain covenants contained in the base indenture, as well as any additional covenants which may be contained in the applicable supplemental indenture (which release is referred to as “covenant defeasance”).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exercise either defeasance option, we must irrevocably deposit with the trustee or other qualifying trustee, in trust for that purpose: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money;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U.S. Government Obligations (as described below) or Foreign Government Obligations (as described below) that through the scheduled payment of principal and interest in accordance with their terms will provide money; or</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combination of money and/or U.S. Government Obligations and/or Foreign Government Obligations sufficient in the written opinion of a nationally-recognized firm of independent accountants to provide money;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that, in each case specified above, provides a sufficient amount to pay the principal of, premium, if any, and interest, if any, on the debt securities of the series, on the scheduled due dates or on a selected date of redemption in accordance with the terms of the indenture.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defeasance may be effected only if, among other things: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certain other conditions described in the indenture are satisfied.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comply with our remaining obligations under the base indenture and applicable supplemental indenture after a covenant defeasance of the base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“U.S. Government Obligations” as used in the above discussion means securities that are direct obligations of or non-callable obligations guaranteed by the United States of America for the payment of which obligation or guarantee the full faith and credit of the United States of America is pledged.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Regarding the Trustee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identify the trustee with respect to any series of debt securities in the prospectus supplement relating to the applicable debt securities. You should note that if the trustee becomes a creditor of ours,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No Individual Liability of Incorporators, Stockholders, Officers or Directors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provides that no incorporator and no past, present or future stockholder, officer or director of our company or any successor corporation in those capacities will have any individual liability for any of our obligations, covenants or agreements under the debt securities or the indenture.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Governing Law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and the debt securities will be governed by, and construed in accordance with, the laws of the State of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DESCRIPTION OF WARRANTS </w:t>
      </w:r>
    </w:p>
    <w:p>
      <w:pPr>
        <w:pStyle w:val="TextBody"/>
        <w:bidi w:val="0"/>
        <w:spacing w:lineRule="auto" w:line="288" w:before="0" w:after="180"/>
        <w:jc w:val="both"/>
        <w:rPr/>
      </w:pPr>
      <w:r>
        <w:rPr>
          <w:rFonts w:ascii="Times New Roman;sans-serif" w:hAnsi="Times New Roman;sans-serif"/>
          <w:b w:val="false"/>
          <w:color w:val="000000"/>
          <w:sz w:val="20"/>
          <w:shd w:fill="FFFFFF" w:val="clear"/>
        </w:rPr>
        <w:t xml:space="preserve">The following </w:t>
      </w:r>
      <w:r>
        <w:rPr>
          <w:rFonts w:ascii="Times New Roman;sans-serif" w:hAnsi="Times New Roman;sans-serif"/>
          <w:b w:val="false"/>
          <w:color w:val="000000"/>
          <w:sz w:val="20"/>
        </w:rPr>
        <w:t>summary sets forth certain material terms and provisions of our outstanding warrants to purchase 14,758,305 shares of Class A common stock that we issued in our IPO (the “public warrants”), our outstanding warrants to purchase 7,236,667 shares of Class A common stock that we issued in a private placement in connection with our IPO (the “private placement warrants”) and the warrant agreement governing our public warrants and our private placement warrants (the “warrant agreement”), which is incorporated by reference as an exhibit to the registration statement of which this prospectus forms a part. In addition, the following summary sets forth certain terms and provisions of the additional warrants we may offer pursuant to this prospectus</w:t>
      </w:r>
      <w:r>
        <w:rPr>
          <w:rFonts w:ascii="Times New Roman;sans-serif" w:hAnsi="Times New Roman;sans-serif"/>
          <w:b w:val="false"/>
          <w:color w:val="000000"/>
          <w:sz w:val="20"/>
          <w:shd w:fill="FFFFFF" w:val="clear"/>
        </w:rPr>
        <w:t>.</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Existing Warrants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Public 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whole public warrant entitles the registered holder to purchase one share of our Class A common stock at a price of $11.50 per whole share, subject to adjustment as discussed below, at any time commencing on September 4, 2021. Pursuant to the warrant agreement, a warrant holder may exercise its public warrants only for a whole number of shares of Class A common stock. This means that only a whole public warrant may be exercised at any given time by a warrant holder. No fractional public warrants will be issued upon separation of the units and only whole public warrants will trade. The public warrants will expire September 4, 2026, at 5:00 p.m., New York City time, or earlier upon redemption or liquidation.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not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w:t>
      </w:r>
    </w:p>
    <w:p>
      <w:pPr>
        <w:pStyle w:val="TextBody"/>
        <w:bidi w:val="0"/>
        <w:spacing w:lineRule="auto" w:line="288" w:before="0" w:after="180"/>
        <w:jc w:val="both"/>
        <w:rPr/>
      </w:pPr>
      <w:r>
        <w:rPr>
          <w:rFonts w:ascii="Times New Roman;sans-serif" w:hAnsi="Times New Roman;sans-serif"/>
          <w:b w:val="false"/>
          <w:i/>
          <w:color w:val="000000"/>
          <w:sz w:val="20"/>
        </w:rPr>
        <w:t>Redemption of Warrants When the Price per Share of Class A Common Stock Equals or Exceeds $18.00 -</w:t>
      </w:r>
      <w:r>
        <w:rPr>
          <w:color w:val="000000"/>
        </w:rPr>
        <w:t> </w:t>
      </w:r>
      <w:r>
        <w:rPr>
          <w:rFonts w:ascii="Times New Roman;sans-serif" w:hAnsi="Times New Roman;sans-serif"/>
          <w:b w:val="false"/>
          <w:color w:val="000000"/>
          <w:sz w:val="20"/>
        </w:rPr>
        <w:t>We may redeem the outstanding public warrants: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a price of $0.01 per public warrant;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upon not less than 30 days’ prior written notice of redemption to each warrant holder;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and when the warrants become redeemable by us, we may exercise its redemption right even if we are unable to register or qualify the underlying securities for sale under all applicable state securities laws.</w:t>
      </w:r>
    </w:p>
    <w:p>
      <w:pPr>
        <w:pStyle w:val="TextBody"/>
        <w:bidi w:val="0"/>
        <w:spacing w:lineRule="auto" w:line="288" w:before="0" w:after="180"/>
        <w:jc w:val="both"/>
        <w:rPr/>
      </w:pPr>
      <w:r>
        <w:rPr>
          <w:rFonts w:ascii="Times New Roman;sans-serif" w:hAnsi="Times New Roman;sans-serif"/>
          <w:b w:val="false"/>
          <w:i/>
          <w:color w:val="000000"/>
          <w:sz w:val="20"/>
        </w:rPr>
        <w:t>Redemption of Warrants When the Price per Share of Class A Common Stock Equals or Exceeds $10.00</w:t>
      </w:r>
      <w:r>
        <w:rPr>
          <w:color w:val="000000"/>
        </w:rPr>
        <w:t xml:space="preserve"> – </w:t>
      </w:r>
      <w:r>
        <w:rPr>
          <w:rFonts w:ascii="Times New Roman;sans-serif" w:hAnsi="Times New Roman;sans-serif"/>
          <w:b w:val="false"/>
          <w:color w:val="000000"/>
          <w:sz w:val="20"/>
        </w:rPr>
        <w:t>We may redeem the outstanding warrants: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$10.00 per share (as adjusted) for any 20 trading days within the 30-trading day period ending three trading days before we send the notice of redemption to the warrant holders; and</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closing price of the Class A common stock for any 20 trading days within a 30-trading day period ending three trading days before we send notice of redemption to the warrant holders is less than $18.00 per share (as adjusted), the private placement warrants must also be concurrently called for redemption on the same terms as the outstanding public warrants, as described above.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Class A common stock may fall below the $18.00 redemption trigger price as well as the $11.50 warrant exercise price after the redemption notice is issued.</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Redemption procedures and cashless exercise.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we call the public warrants for redemption as described above, our management will have the option to require any holder that wishes to exercise his, her 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the exercise of our public warrants. If our management takes advantage of this option, all holders of public warrants would pay the exercise price by surrendering their public warrants for that number of shares of Class A common stock equal to the quotient obtained by dividing (i) the product of the number of shares of Class A common stock underlying the public warrants, multiplied by the difference between the exercise price of the public warrants and the “fair market value” (defined below) by (ii) the fair market value. The “fair market value” shall mean the average reported last sale price of the Class A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our public warrants for redemption and our management does not take advantage of this option, the Former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Class A common stock outstanding immediately after giving effect to such exercise.</w:t>
      </w:r>
    </w:p>
    <w:p>
      <w:pPr>
        <w:pStyle w:val="TextBody"/>
        <w:bidi w:val="0"/>
        <w:spacing w:lineRule="auto" w:line="288" w:before="0" w:after="180"/>
        <w:jc w:val="both"/>
        <w:rPr/>
      </w:pPr>
      <w:r>
        <w:rPr>
          <w:rFonts w:ascii="Times New Roman;sans-serif" w:hAnsi="Times New Roman;sans-serif"/>
          <w:b w:val="false"/>
          <w:i/>
          <w:color w:val="000000"/>
          <w:sz w:val="20"/>
        </w:rPr>
        <w:t>Anti-dilution Adjustments.</w:t>
      </w: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minus the quotient of (a) the price per share of Class A common stock paid in such rights offering divided by (b) the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we, at any time while the public warrants are outstanding and unexpired, pay a dividend or make a distribution in cash, securities or other assets to the holders of Class A common stock on account of such shares of Class A common stock (or other shares of our capital stock into which the public warrants are convertible), other than (i) as described above; or (ii) certain ordinary cash dividends, then the warrant exercise price will be decreased, effective immediately after the effective date of such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event, by the amount of cash and/or the fair market value of any securities or other assets paid on each share of Class A common stock in respect of such event.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Whenever the number of shares of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Additionally,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public warrants have been issued in registered form under a warrant agreement between Continental Stock Transfer &amp; Trust Company, as warrant agent, and us. You should review a copy of the warrant agreement, which is filed as an exhibit to the registration statement of which this prospectus forms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Warrants may be exercised only for a whole number of shares of Class A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warrant holder. As a result, warrant holders not purchasing public warrants in multiples of three warrants will not obtain value from the fractional interest that will not be issued.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Private Placement 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private placement warrants are identical to the public warrants, except that (1) the private placement warrants are exercisable on a cashless basis, (2) the private placement warrants are non-redeemable (except as described above in “Redemption of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Warrants When the Price per Share of Class A Common Stock Equals or Exceeds $10.00”) so long as they are held by the initial purchasers or their permitted transferees, and (3) the holders of the private placement warrants and the Class A common stock issuable upon the exercise of the private placement warrants have certain registration rights. If the private placement warrants are held by someone other than the initial purchasers or their permitted transferees, the private placement warrants are redeemable by us and exercisable by such holders on the same basis as the public warrants.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Warrant Agent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 agent for our public warrants and private placement warrants is Continental Stock Transfer &amp; Trust Company.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Nasdaq Global Select Market listing</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public warrants are traded on The Nasdaq Global Select Market under the symbol “SMFRW.”</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Additional 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issue additional warrants for the purchase of our debt securities, preferred stock, Class A common stock, or any combination thereof. Warrants may be issued independently or together with our debt securities, preferred stock or Class A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Debt Warrants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prospectus supplement relating to a particular issue of warrants to purchase debt securities will describe the terms of the debt warrants, including the following: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title of the debt warrants;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offering price for the debt warrants, if any;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aggregate number of the debt warrants;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designation and terms of the debt securities, including any conversion rights, purchasable upon exercise of the debt warrants;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applicable, the date from and after which the debt warrants and any debt securities issued with them will be separately transferable;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principal amount of debt securities that may be purchased upon exercise of a debt warrant and the exercise price for the warrants, which may be payable in cash, securities or other property;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dates on which the right to exercise the debt warrants will commence and expire;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applicable, the minimum or maximum amount of the debt warrants that may be exercised at any one time;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the debt warrants represented by the debt warrant certificates or debt securities that may be issued upon exercise of the debt warrants will be issued in registered or bearer form;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information with respect to book-entry procedures, if any;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currency or currency units in which the offering price, if any, and the exercise price are payable;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applicable, a discussion of material U.S. federal income tax considerations;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antidilution provisions of the debt warrants, if any;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redemption or call provisions, if any, applicable to the debt warrants;</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provisions with respect to the holder’s right to require us to repurchase the debt warrants upon a change in control or similar event;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additional terms of the debt warrants, including procedures and limitations relating to the exchange, exercise, and settlement of the debt 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Equity Warrants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prospectus supplement relating to a particular series of warrants to purchase our Class A common stock or preferred stock will describe the terms of the warrants, including the following: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title of the warrants;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offering price for the warrants, if any;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aggregate number of warrants;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designation and terms of the Class A common stock or preferred stock that may be purchased upon exercise of the warrants;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applicable, the designation and terms of the securities with which the warrants are issued and the number of warrants issued with each security;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applicable, the date from and after which the warrants and any securities issued with the warrants will be separately transferable;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number of shares of Class A common stock or preferred stock that may be purchased upon exercise of a warrant and the exercise price for the warrants;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dates on which the right to exercise the warrants shall commence and expire;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applicable, the minimum or maximum amount of the warrants that may be exercised at any one time;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currency or currency units in which the offering price, if any, and the exercise price are payable;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applicable, a discussion of material U.S. federal income tax considerations;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antidilution provisions of the warrants, if any;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redemption or call provisions, if any, applicable to the warrants;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provisions with respect to a holder’s right to require us to repurchase the warrants upon a change in control or similar event;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additional terms of the warrants, including procedures and limitations relating to the exchange, exercise and settlement of the 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equity warrants will not be entitled to: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vote, consent, or receive dividends;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receive notice as stockholders with respect to any meeting of stockholders for the election of our directors or any other matter;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exercise any rights as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DESCRIPTION OF SUBSCRIPTION RIGHTS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issue subscription rights to purchase our Class A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prospectus supplement relating to any subscription rights we offer, if any, will, to the extent applicable, include specific terms relating to the offering, including some or all of the following: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price, if any, for the subscription rights;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exercise price payable for our Class A common stock, preferred stock or debt securities upon the exercise of the subscription rights;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number of subscription rights to be issued to each stockholder;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number and terms of our Class A common stock, preferred stock or debt securities which may be purchased per each subscription right;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extent to which the subscription rights are transferable;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other terms of the subscription rights, including the terms, procedures and limitations relating to the exchange and exercise of the subscription rights;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date on which the right to exercise the subscription rights shall commence, and the date on which the subscription rights shall expire;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extent to which the subscription rights may include an over-subscription privilege with respect to unsubscribed securities or an over-allotment privilege to the extent the securities are fully subscribed;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applicable, the material terms of any standby underwriting or purchase arrangement which may be entered into by us in connection with the offering of subscription rights.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DESCRIPTION OF UNITS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issue units consisting of some or all of the securities described above, in any combination, including Class A common stock, preferred stock, warrants and/or debt securities. The terms of these units will be set forth in a prospectus supplement. The description of the terms of these units in the applicable prospectus supplement will not be complete. You should refer to the applicable form of unit and unit agreement for complete information with respect to these units.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LEGAL MATTERS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Fenwick &amp; West LLP, New York, New York, will issue an opinion about certain legal matters with respect to the securities. Any underwriters or agents will be advised about legal matters relating to any offering by their own counsel.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EXPERTS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of Sema4 Holdings Corp. appearing in Sema4 Holdings Corp.’s Annual Report (Form 10-K) for the year ended December 31, 2021,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pStyle w:val="TextBody"/>
        <w:bidi w:val="0"/>
        <w:spacing w:lineRule="auto" w:line="288" w:before="0" w:after="180"/>
        <w:jc w:val="both"/>
        <w:rPr/>
      </w:pPr>
      <w:r>
        <w:rPr>
          <w:rFonts w:ascii="Times New Roman;sans-serif" w:hAnsi="Times New Roman;sans-serif"/>
          <w:b w:val="false"/>
          <w:color w:val="000000"/>
          <w:sz w:val="20"/>
          <w:shd w:fill="FFFFFF" w:val="clear"/>
        </w:rPr>
        <w:t xml:space="preserve">The combined carve out financial statements of GeneDx, Inc. and subsidiary at December 31, 2021 and 2020, and for each of the two years in the period ended December 31, 2021, </w:t>
      </w:r>
      <w:r>
        <w:rPr>
          <w:rFonts w:ascii="Times New Roman;sans-serif" w:hAnsi="Times New Roman;sans-serif"/>
          <w:b w:val="false"/>
          <w:color w:val="000000"/>
          <w:sz w:val="20"/>
        </w:rPr>
        <w:t>included in the Proxy Statement of Sema4 Holdings Corp. dated March 31, 2022</w:t>
      </w:r>
      <w:r>
        <w:rPr>
          <w:rFonts w:ascii="Times New Roman;sans-serif" w:hAnsi="Times New Roman;sans-serif"/>
          <w:b w:val="false"/>
          <w:color w:val="000000"/>
          <w:sz w:val="20"/>
          <w:shd w:fill="FFFFFF" w:val="clear"/>
        </w:rPr>
        <w:t>, incorporated by reference in this Prospectus and Registration Statement have been audited by Ernst &amp; Young LLP, independent auditors, as set forth in their report thereon, and are incorporated herein by reference in reliance upon such report given on the authority of such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0" w:after="180"/>
        <w:jc w:val="center"/>
        <w:rPr/>
      </w:pPr>
      <w:r>
        <w:rPr/>
        <w:drawing>
          <wp:inline distT="0" distB="0" distL="0" distR="0">
            <wp:extent cx="1600200" cy="552450"/>
            <wp:effectExtent l="0" t="0" r="0" b="0"/>
            <wp:docPr id="4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 descr=""/>
                    <pic:cNvPicPr>
                      <a:picLocks noChangeAspect="1" noChangeArrowheads="1"/>
                    </pic:cNvPicPr>
                  </pic:nvPicPr>
                  <pic:blipFill>
                    <a:blip r:embed="rId22"/>
                    <a:stretch>
                      <a:fillRect/>
                    </a:stretch>
                  </pic:blipFill>
                  <pic:spPr bwMode="auto">
                    <a:xfrm>
                      <a:off x="0" y="0"/>
                      <a:ext cx="1600200" cy="552450"/>
                    </a:xfrm>
                    <a:prstGeom prst="rect">
                      <a:avLst/>
                    </a:prstGeom>
                  </pic:spPr>
                </pic:pic>
              </a:graphicData>
            </a:graphic>
          </wp:inline>
        </w:drawing>
      </w:r>
    </w:p>
    <w:p>
      <w:pPr>
        <w:pStyle w:val="TextBody"/>
        <w:bidi w:val="0"/>
        <w:spacing w:lineRule="auto" w:line="333" w:before="0" w:after="180"/>
        <w:jc w:val="center"/>
        <w:rPr>
          <w:rFonts w:ascii="Times New Roman;sans-serif" w:hAnsi="Times New Roman;sans-serif"/>
          <w:b/>
          <w:color w:val="000000"/>
          <w:sz w:val="24"/>
        </w:rPr>
      </w:pPr>
      <w:r>
        <w:rPr>
          <w:rFonts w:ascii="Times New Roman;sans-serif" w:hAnsi="Times New Roman;sans-serif"/>
          <w:b/>
          <w:color w:val="000000"/>
          <w:sz w:val="24"/>
        </w:rPr>
        <w:t>Up to $75,000,000</w:t>
      </w:r>
    </w:p>
    <w:p>
      <w:pPr>
        <w:pStyle w:val="TextBody"/>
        <w:bidi w:val="0"/>
        <w:spacing w:lineRule="auto" w:line="333" w:before="0" w:after="2000"/>
        <w:jc w:val="center"/>
        <w:rPr>
          <w:rFonts w:ascii="Times New Roman;sans-serif" w:hAnsi="Times New Roman;sans-serif"/>
          <w:b/>
          <w:color w:val="000000"/>
          <w:sz w:val="24"/>
        </w:rPr>
      </w:pPr>
      <w:r>
        <w:rPr>
          <w:rFonts w:ascii="Times New Roman;sans-serif" w:hAnsi="Times New Roman;sans-serif"/>
          <w:b/>
          <w:color w:val="000000"/>
          <w:sz w:val="24"/>
        </w:rPr>
        <w:t xml:space="preserve">Class A Common Stock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4"/>
        </w:rPr>
      </w:pPr>
      <w:r>
        <w:rPr>
          <w:rFonts w:ascii="Times New Roman;sans-serif" w:hAnsi="Times New Roman;sans-serif"/>
          <w:b w:val="false"/>
          <w:color w:val="000000"/>
          <w:sz w:val="24"/>
        </w:rPr>
        <w:t>PROSPECTUS SUPPLEMENT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0" w:after="2000"/>
        <w:jc w:val="center"/>
        <w:rPr>
          <w:rFonts w:ascii="Times New Roman;sans-serif" w:hAnsi="Times New Roman;sans-serif"/>
          <w:b/>
          <w:color w:val="000000"/>
          <w:sz w:val="24"/>
        </w:rPr>
      </w:pPr>
      <w:r>
        <w:rPr>
          <w:rFonts w:ascii="Times New Roman;sans-serif" w:hAnsi="Times New Roman;sans-serif"/>
          <w:b/>
          <w:color w:val="000000"/>
          <w:sz w:val="24"/>
        </w:rPr>
        <w:t>TD COWEN</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April 29,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18331/000181833124000008/wgs-20231231.htm" TargetMode="External"/><Relationship Id="rId4" Type="http://schemas.openxmlformats.org/officeDocument/2006/relationships/hyperlink" Target="https://www.sec.gov/Archives/edgar/data/1818331/000181833124000023/wgs-20240331.htm" TargetMode="External"/><Relationship Id="rId5" Type="http://schemas.openxmlformats.org/officeDocument/2006/relationships/hyperlink" Target="https://www.sec.gov/Archives/edgar/data/1818331/000181833124000025/genedx-2024annualmeetingxd.htm" TargetMode="External"/><Relationship Id="rId6" Type="http://schemas.openxmlformats.org/officeDocument/2006/relationships/hyperlink" Target="https://www.sec.gov/Archives/edgar/data/1818331/000121390020024549/ea126225-8a12b_cmlifescience.htm" TargetMode="External"/><Relationship Id="rId7" Type="http://schemas.openxmlformats.org/officeDocument/2006/relationships/hyperlink" Target="https://www.sec.gov/Archives/edgar/data/1818331/000181833124000008/wgs-20231231.htm" TargetMode="External"/><Relationship Id="rId8" Type="http://schemas.openxmlformats.org/officeDocument/2006/relationships/image" Target="media/image2.jpeg"/><Relationship Id="rId9" Type="http://schemas.openxmlformats.org/officeDocument/2006/relationships/hyperlink" Target="https://www.sec.gov/ix?doc=/Archives/edgar/data/1818331/000181833122000037/cmlf-20211231.htm" TargetMode="External"/><Relationship Id="rId10" Type="http://schemas.openxmlformats.org/officeDocument/2006/relationships/hyperlink" Target="https://www.sec.gov/ix?doc=/Archives/edgar/data/1818331/000181833122000046/cmlf-20220331.htm" TargetMode="External"/><Relationship Id="rId11" Type="http://schemas.openxmlformats.org/officeDocument/2006/relationships/hyperlink" Target="https://www.sec.gov/ix?doc=/Archives/edgar/data/1818331/000181833122000069/cmlf-20220630.htm" TargetMode="External"/><Relationship Id="rId12" Type="http://schemas.openxmlformats.org/officeDocument/2006/relationships/hyperlink" Target="https://www.sec.gov/ix?doc=/Archives/edgar/data/0001818331/000181833122000010/smfr-20220114.htm" TargetMode="External"/><Relationship Id="rId13" Type="http://schemas.openxmlformats.org/officeDocument/2006/relationships/hyperlink" Target="https://www.sec.gov/ix?doc=/Archives/edgar/data/0001818331/000181833122000022/smfr-20220125.htm" TargetMode="External"/><Relationship Id="rId14" Type="http://schemas.openxmlformats.org/officeDocument/2006/relationships/hyperlink" Target="https://www.sec.gov/ix?doc=/Archives/edgar/data/0001818331/000181833122000035/smfr-20220310.htm" TargetMode="External"/><Relationship Id="rId15" Type="http://schemas.openxmlformats.org/officeDocument/2006/relationships/hyperlink" Target="https://www.sec.gov/ix?doc=/Archives/edgar/data/0001818331/000162828022010817/smfr-20220427.htm" TargetMode="External"/><Relationship Id="rId16" Type="http://schemas.openxmlformats.org/officeDocument/2006/relationships/hyperlink" Target="https://www.sec.gov/ix?doc=/Archives/edgar/data/0001818331/000162828022011605/smfr-20220429.htm" TargetMode="External"/><Relationship Id="rId17" Type="http://schemas.openxmlformats.org/officeDocument/2006/relationships/hyperlink" Target="https://www.sec.gov/ix?doc=/Archives/edgar/data/1818331/000181833122000053/smfr-20220610.htm" TargetMode="External"/><Relationship Id="rId18" Type="http://schemas.openxmlformats.org/officeDocument/2006/relationships/hyperlink" Target="https://www.sec.gov/ix?doc=/Archives/edgar/data/1818331/000181833122000060/smfr-20220627.htm" TargetMode="External"/><Relationship Id="rId19" Type="http://schemas.openxmlformats.org/officeDocument/2006/relationships/hyperlink" Target="https://www.sec.gov/ix?doc=/Archives/edgar/data/0001818331/000162828022023779/smfr-20220825.htm" TargetMode="External"/><Relationship Id="rId20" Type="http://schemas.openxmlformats.org/officeDocument/2006/relationships/hyperlink" Target="https://www.sec.gov/Archives/edgar/data/0001818331/000121390020024549/ea126225-8a12b_cmlifescience.htm" TargetMode="External"/><Relationship Id="rId21" Type="http://schemas.openxmlformats.org/officeDocument/2006/relationships/hyperlink" Target="https://www.sec.gov/ix?doc=/Archives/edgar/data/1818331/000181833122000037/cmlf-20211231.htm" TargetMode="External"/><Relationship Id="rId22" Type="http://schemas.openxmlformats.org/officeDocument/2006/relationships/image" Target="media/image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22898</Words>
  <Characters>120300</Characters>
  <CharactersWithSpaces>142693</CharactersWithSpaces>
  <Paragraphs>678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