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vMerge w:val="restart"/>
          </w:tcPr>
          <w:p>
            <w:pPr>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Assad Shawn</w:t>
              </w:r>
            </w:hyperlink>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6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2"/>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12/01/2021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85"/>
        <w:spacing w:after="0"/>
        <w:rPr>
          <w:sz w:val="20"/>
          <w:szCs w:val="20"/>
          <w:color w:val="auto"/>
        </w:rPr>
      </w:pPr>
      <w:r>
        <w:rPr>
          <w:rFonts w:ascii="Arial" w:cs="Arial" w:eastAsia="Arial" w:hAnsi="Arial"/>
          <w:sz w:val="17"/>
          <w:szCs w:val="17"/>
          <w:color w:val="0000FF"/>
        </w:rPr>
        <w:t>Chief Accounting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249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18,049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82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5.52</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17,967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indicated shares were issued to Reporting Person as a stock bonus in connection with the elimination of Issuer's sabbatical leave program, in which all employees of Issuer hired on or before June 30, 2021 were provided an opportunity to receive a stock bonus in lieu of their continued eligibility to take sabbatical leave. The stock bonus was fully vested as of the date of issuance.</w:t>
      </w: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required to be sold by the Reporting Person to cover certain tax obligation in connection with the stock bonus granted to the reporting person.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$5.51 to $5.69,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8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2021-12-03T18:12:46Z</dcterms:created>
  <dcterms:modified xsi:type="dcterms:W3CDTF">2021-12-03T18:12:46Z</dcterms:modified>
</cp:coreProperties>
</file>