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Prentice Anthony</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w w:val="95"/>
              </w:rPr>
              <w:t>C/O SEMA4 HOLDINGS CORP.</w:t>
            </w:r>
          </w:p>
        </w:tc>
        <w:tc>
          <w:tcPr>
            <w:tcW w:w="1260" w:type="dxa"/>
            <w:vAlign w:val="bottom"/>
          </w:tcPr>
          <w:p>
            <w:pPr>
              <w:spacing w:after="0"/>
              <w:rPr>
                <w:sz w:val="18"/>
                <w:szCs w:val="18"/>
                <w:color w:val="auto"/>
              </w:rPr>
            </w:pPr>
          </w:p>
        </w:tc>
        <w:tc>
          <w:tcPr>
            <w:tcW w:w="206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54"/>
        <w:spacing w:after="0"/>
        <w:rPr>
          <w:sz w:val="20"/>
          <w:szCs w:val="20"/>
          <w:color w:val="auto"/>
        </w:rPr>
      </w:pPr>
      <w:r>
        <w:rPr>
          <w:rFonts w:ascii="Arial" w:cs="Arial" w:eastAsia="Arial" w:hAnsi="Arial"/>
          <w:sz w:val="17"/>
          <w:szCs w:val="17"/>
          <w:color w:val="0000FF"/>
        </w:rPr>
        <w:t>Chief Product Officer</w:t>
      </w:r>
    </w:p>
    <w:p>
      <w:pPr>
        <w:spacing w:after="0" w:line="391" w:lineRule="exact"/>
        <w:rPr>
          <w:sz w:val="20"/>
          <w:szCs w:val="20"/>
          <w:color w:val="auto"/>
        </w:rPr>
      </w:pPr>
    </w:p>
    <w:p>
      <w:pPr>
        <w:sectPr>
          <w:pgSz w:w="11900" w:h="16838" w:orient="portrait"/>
          <w:cols w:equalWidth="0" w:num="2">
            <w:col w:w="7660" w:space="66"/>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88"/>
              </w:rPr>
              <w:t>CT</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06902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10/25/2021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0000FF"/>
                <w:w w:val="89"/>
              </w:rPr>
              <w:t>3,940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3,940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10/25/2021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1,620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8.09</w:t>
            </w:r>
          </w:p>
        </w:tc>
        <w:tc>
          <w:tcPr>
            <w:tcW w:w="132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2,320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3,940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3,940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59,109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four-year period commencing on July 25, 2021 until fully vested, subject to the Reporting Person's continued service to the Issuer on each vesting 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Daniel Clark,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90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2021-11-02T19:32:41Z</dcterms:created>
  <dcterms:modified xsi:type="dcterms:W3CDTF">2021-11-02T19:32:41Z</dcterms:modified>
</cp:coreProperties>
</file>