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2978150</wp:posOffset>
            </wp:positionH>
            <wp:positionV relativeFrom="paragraph">
              <wp:posOffset>36195</wp:posOffset>
            </wp:positionV>
            <wp:extent cx="1217295" cy="371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295" cy="371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Sema4 Holdings Corp.</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258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001-39482</w:t>
            </w:r>
          </w:p>
        </w:tc>
        <w:tc>
          <w:tcPr>
            <w:tcW w:w="60" w:type="dxa"/>
            <w:vAlign w:val="bottom"/>
          </w:tcPr>
          <w:p>
            <w:pPr>
              <w:spacing w:after="0"/>
              <w:rPr>
                <w:sz w:val="15"/>
                <w:szCs w:val="15"/>
                <w:color w:val="auto"/>
              </w:rPr>
            </w:pPr>
          </w:p>
        </w:tc>
        <w:tc>
          <w:tcPr>
            <w:tcW w:w="4320" w:type="dxa"/>
            <w:vAlign w:val="bottom"/>
          </w:tcPr>
          <w:p>
            <w:pPr>
              <w:jc w:val="right"/>
              <w:ind w:right="1800"/>
              <w:spacing w:after="0"/>
              <w:rPr>
                <w:sz w:val="20"/>
                <w:szCs w:val="20"/>
                <w:color w:val="auto"/>
              </w:rPr>
            </w:pPr>
            <w:r>
              <w:rPr>
                <w:rFonts w:ascii="Times New Roman" w:cs="Times New Roman" w:eastAsia="Times New Roman" w:hAnsi="Times New Roman"/>
                <w:sz w:val="12"/>
                <w:szCs w:val="12"/>
                <w:b w:val="1"/>
                <w:bCs w:val="1"/>
                <w:color w:val="auto"/>
              </w:rPr>
              <w:t>85-1966622</w:t>
            </w:r>
          </w:p>
        </w:tc>
      </w:tr>
      <w:tr>
        <w:trPr>
          <w:trHeight w:val="153"/>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(State or other jurisdiction of incorporation or organization)</w:t>
            </w:r>
          </w:p>
        </w:tc>
        <w:tc>
          <w:tcPr>
            <w:tcW w:w="80" w:type="dxa"/>
            <w:vAlign w:val="bottom"/>
          </w:tcPr>
          <w:p>
            <w:pPr>
              <w:spacing w:after="0"/>
              <w:rPr>
                <w:sz w:val="13"/>
                <w:szCs w:val="13"/>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60" w:type="dxa"/>
            <w:vAlign w:val="bottom"/>
          </w:tcPr>
          <w:p>
            <w:pPr>
              <w:spacing w:after="0"/>
              <w:rPr>
                <w:sz w:val="13"/>
                <w:szCs w:val="13"/>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205"/>
        </w:trPr>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333 Ludlow Street, North Tower, 8th Floor</w:t>
            </w: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189"/>
        </w:trPr>
        <w:tc>
          <w:tcPr>
            <w:tcW w:w="43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2"/>
                <w:szCs w:val="12"/>
                <w:b w:val="1"/>
                <w:bCs w:val="1"/>
                <w:color w:val="auto"/>
              </w:rPr>
              <w:t>Stamford, Connecticut</w:t>
            </w: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20" w:type="dxa"/>
            <w:vAlign w:val="bottom"/>
            <w:tcBorders>
              <w:bottom w:val="single" w:sz="8" w:color="auto"/>
            </w:tcBorders>
          </w:tcPr>
          <w:p>
            <w:pPr>
              <w:jc w:val="right"/>
              <w:ind w:right="1940"/>
              <w:spacing w:after="0"/>
              <w:rPr>
                <w:sz w:val="20"/>
                <w:szCs w:val="20"/>
                <w:color w:val="auto"/>
              </w:rPr>
            </w:pPr>
            <w:r>
              <w:rPr>
                <w:rFonts w:ascii="Times New Roman" w:cs="Times New Roman" w:eastAsia="Times New Roman" w:hAnsi="Times New Roman"/>
                <w:sz w:val="12"/>
                <w:szCs w:val="12"/>
                <w:b w:val="1"/>
                <w:bCs w:val="1"/>
                <w:color w:val="auto"/>
              </w:rPr>
              <w:t>06902</w:t>
            </w:r>
          </w:p>
        </w:tc>
      </w:tr>
      <w:tr>
        <w:trPr>
          <w:trHeight w:val="144"/>
        </w:trPr>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(Address of Principal Executive Offices)</w:t>
            </w: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(800) 298-6470</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231F20"/>
        </w:rPr>
        <w:t>(Former name or former address, if changed since last report.)</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32"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41"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141"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right="5780" w:firstLine="19"/>
        <w:spacing w:after="0" w:line="481" w:lineRule="auto"/>
        <w:tabs>
          <w:tab w:leader="none" w:pos="1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 xml:space="preserve">Pre-commencement communications pursuant to Rule 13e-4(c) under the Exchange Act (17 CFR 240.13e-4(c)) </w:t>
      </w:r>
      <w:r>
        <w:rPr>
          <w:rFonts w:ascii="Times New Roman" w:cs="Times New Roman" w:eastAsia="Times New Roman" w:hAnsi="Times New Roman"/>
          <w:sz w:val="12"/>
          <w:szCs w:val="12"/>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4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Class A common stock, par value $0.0001 per share</w:t>
            </w:r>
          </w:p>
        </w:tc>
        <w:tc>
          <w:tcPr>
            <w:tcW w:w="6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SMFR</w:t>
            </w:r>
          </w:p>
        </w:tc>
        <w:tc>
          <w:tcPr>
            <w:tcW w:w="80" w:type="dxa"/>
            <w:vAlign w:val="bottom"/>
            <w:tcBorders>
              <w:top w:val="single" w:sz="8" w:color="CCEEFF"/>
            </w:tcBorders>
            <w:shd w:val="clear" w:color="auto" w:fill="CCEEFF"/>
          </w:tcPr>
          <w:p>
            <w:pPr>
              <w:spacing w:after="0"/>
              <w:rPr>
                <w:sz w:val="12"/>
                <w:szCs w:val="12"/>
                <w:color w:val="auto"/>
              </w:rPr>
            </w:pPr>
          </w:p>
        </w:tc>
        <w:tc>
          <w:tcPr>
            <w:tcW w:w="4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r>
      <w:tr>
        <w:trPr>
          <w:trHeight w:val="117"/>
        </w:trPr>
        <w:tc>
          <w:tcPr>
            <w:tcW w:w="468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$11.50</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20" w:type="dxa"/>
            <w:vAlign w:val="bottom"/>
          </w:tcPr>
          <w:p>
            <w:pPr>
              <w:spacing w:after="0"/>
              <w:rPr>
                <w:sz w:val="10"/>
                <w:szCs w:val="10"/>
                <w:color w:val="auto"/>
              </w:rPr>
            </w:pPr>
          </w:p>
        </w:tc>
      </w:tr>
      <w:tr>
        <w:trPr>
          <w:trHeight w:val="162"/>
        </w:trPr>
        <w:tc>
          <w:tcPr>
            <w:tcW w:w="4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6"/>
              </w:rPr>
              <w:t>per share</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SMFRW</w:t>
            </w:r>
          </w:p>
        </w:tc>
        <w:tc>
          <w:tcPr>
            <w:tcW w:w="4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r>
    </w:tbl>
    <w:p>
      <w:pPr>
        <w:spacing w:after="0" w:line="16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34"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448310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21" w:right="299" w:bottom="1440" w:gutter="0" w:footer="0" w:header="0"/>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3"/>
          <w:szCs w:val="13"/>
          <w:b w:val="1"/>
          <w:bCs w:val="1"/>
          <w:color w:val="auto"/>
        </w:rPr>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1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On August 15, 2022, Sema4 Holdings Corp. (“Sema4 Holdings” or the “Company”) issued a press release (the “Press Release”) and will hold a conference call announcing the Company's financial results for the three and six months ended June 30, 2022. Copies of the Press Release and Earnings Presentation are furnished as Exhibits 99.1 and 99.2, respectively, to this Current Report on Form 8-K.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68"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3"/>
          <w:szCs w:val="13"/>
          <w:color w:val="auto"/>
        </w:rPr>
        <w:t>On August 15, 2022, the Company also issued a press release announcing certain changes to its research &amp; development leadership team. A copy of this press release is furnished as Exhibits 99.3 to this Current Report on Form 8-K.</w:t>
      </w:r>
    </w:p>
    <w:p>
      <w:pPr>
        <w:spacing w:after="0" w:line="11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3"/>
          <w:szCs w:val="13"/>
          <w:color w:val="auto"/>
        </w:rPr>
        <w:t>The information furnished under Items 2.02 and 7.01 of this Current Report on Form 8-K, including Exhibits 99.1, 99.2 and 99.3, respectively,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 and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 Exhibits.</w:t>
            </w:r>
          </w:p>
        </w:tc>
        <w:tc>
          <w:tcPr>
            <w:tcW w:w="2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0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86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420" w:type="dxa"/>
            <w:vAlign w:val="bottom"/>
          </w:tcPr>
          <w:p>
            <w:pPr>
              <w:spacing w:after="0"/>
              <w:rPr>
                <w:sz w:val="13"/>
                <w:szCs w:val="13"/>
                <w:color w:val="auto"/>
              </w:rPr>
            </w:pPr>
          </w:p>
        </w:tc>
        <w:tc>
          <w:tcPr>
            <w:tcW w:w="7660" w:type="dxa"/>
            <w:vAlign w:val="bottom"/>
            <w:gridSpan w:val="5"/>
            <w:vMerge w:val="restart"/>
          </w:tcPr>
          <w:p>
            <w:pPr>
              <w:ind w:left="15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gridSpan w:val="3"/>
          </w:tcPr>
          <w:p>
            <w:pPr>
              <w:jc w:val="center"/>
              <w:ind w:left="314"/>
              <w:spacing w:after="0"/>
              <w:rPr>
                <w:sz w:val="20"/>
                <w:szCs w:val="20"/>
                <w:color w:val="auto"/>
              </w:rPr>
            </w:pPr>
            <w:r>
              <w:rPr>
                <w:rFonts w:ascii="Times New Roman" w:cs="Times New Roman" w:eastAsia="Times New Roman" w:hAnsi="Times New Roman"/>
                <w:sz w:val="13"/>
                <w:szCs w:val="13"/>
                <w:color w:val="auto"/>
              </w:rPr>
              <w:t>99.1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Press Release, dated August 15, 2022, regarding the Registrant’s results for the quarter ended June 30, 2022</w:t>
            </w:r>
          </w:p>
        </w:tc>
        <w:tc>
          <w:tcPr>
            <w:tcW w:w="0" w:type="dxa"/>
            <w:vAlign w:val="bottom"/>
          </w:tcPr>
          <w:p>
            <w:pPr>
              <w:spacing w:after="0"/>
              <w:rPr>
                <w:sz w:val="1"/>
                <w:szCs w:val="1"/>
                <w:color w:val="auto"/>
              </w:rPr>
            </w:pPr>
          </w:p>
        </w:tc>
      </w:tr>
      <w:tr>
        <w:trPr>
          <w:trHeight w:val="232"/>
        </w:trPr>
        <w:tc>
          <w:tcPr>
            <w:tcW w:w="820" w:type="dxa"/>
            <w:vAlign w:val="bottom"/>
            <w:gridSpan w:val="3"/>
            <w:vMerge w:val="restart"/>
          </w:tcPr>
          <w:p>
            <w:pPr>
              <w:jc w:val="center"/>
              <w:ind w:left="314"/>
              <w:spacing w:after="0"/>
              <w:rPr>
                <w:sz w:val="20"/>
                <w:szCs w:val="20"/>
                <w:color w:val="auto"/>
              </w:rPr>
            </w:pPr>
            <w:r>
              <w:rPr>
                <w:rFonts w:ascii="Times New Roman" w:cs="Times New Roman" w:eastAsia="Times New Roman" w:hAnsi="Times New Roman"/>
                <w:sz w:val="13"/>
                <w:szCs w:val="13"/>
                <w:color w:val="auto"/>
              </w:rPr>
              <w:t>99.2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rPr>
              <w:t>Earnings Presentation, dated August 15, 2022</w:t>
            </w:r>
          </w:p>
        </w:tc>
        <w:tc>
          <w:tcPr>
            <w:tcW w:w="1540" w:type="dxa"/>
            <w:vAlign w:val="bottom"/>
            <w:tcBorders>
              <w:top w:val="single" w:sz="8" w:color="0000FF"/>
              <w:bottom w:val="single" w:sz="8" w:color="0000FF"/>
            </w:tcBorders>
          </w:tcPr>
          <w:p>
            <w:pPr>
              <w:spacing w:after="0"/>
              <w:rPr>
                <w:sz w:val="20"/>
                <w:szCs w:val="20"/>
                <w:color w:val="auto"/>
              </w:rPr>
            </w:pPr>
          </w:p>
        </w:tc>
        <w:tc>
          <w:tcPr>
            <w:tcW w:w="640" w:type="dxa"/>
            <w:vAlign w:val="bottom"/>
            <w:tcBorders>
              <w:top w:val="single" w:sz="8" w:color="0000FF"/>
              <w:bottom w:val="single" w:sz="8" w:color="0000FF"/>
            </w:tcBorders>
          </w:tcPr>
          <w:p>
            <w:pPr>
              <w:spacing w:after="0"/>
              <w:rPr>
                <w:sz w:val="20"/>
                <w:szCs w:val="20"/>
                <w:color w:val="auto"/>
              </w:rPr>
            </w:pPr>
          </w:p>
        </w:tc>
        <w:tc>
          <w:tcPr>
            <w:tcW w:w="1100" w:type="dxa"/>
            <w:vAlign w:val="bottom"/>
            <w:tcBorders>
              <w:top w:val="single" w:sz="8" w:color="0000FF"/>
              <w:bottom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6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color w:val="0000FF"/>
              </w:rPr>
              <w:t>Press Release, dated August 15, 2022, regarding Changes to the Registrant’s Research &amp; Development Leadership</w:t>
            </w:r>
          </w:p>
        </w:tc>
        <w:tc>
          <w:tcPr>
            <w:tcW w:w="40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20" w:type="dxa"/>
            <w:vAlign w:val="bottom"/>
            <w:gridSpan w:val="3"/>
            <w:vMerge w:val="restart"/>
          </w:tcPr>
          <w:p>
            <w:pPr>
              <w:jc w:val="center"/>
              <w:ind w:left="314"/>
              <w:spacing w:after="0"/>
              <w:rPr>
                <w:sz w:val="20"/>
                <w:szCs w:val="20"/>
                <w:color w:val="auto"/>
              </w:rPr>
            </w:pPr>
            <w:r>
              <w:rPr>
                <w:rFonts w:ascii="Times New Roman" w:cs="Times New Roman" w:eastAsia="Times New Roman" w:hAnsi="Times New Roman"/>
                <w:sz w:val="13"/>
                <w:szCs w:val="13"/>
                <w:color w:val="auto"/>
              </w:rPr>
              <w:t>99.3</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60" w:type="dxa"/>
            <w:vAlign w:val="bottom"/>
            <w:tcBorders>
              <w:bottom w:val="single" w:sz="8" w:color="0000FF"/>
            </w:tcBorders>
            <w:gridSpan w:val="5"/>
            <w:vMerge w:val="continue"/>
          </w:tcPr>
          <w:p>
            <w:pPr>
              <w:spacing w:after="0"/>
              <w:rPr>
                <w:sz w:val="16"/>
                <w:szCs w:val="16"/>
                <w:color w:val="auto"/>
              </w:rPr>
            </w:pP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8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r>
        <w:trPr>
          <w:trHeight w:val="216"/>
        </w:trPr>
        <w:tc>
          <w:tcPr>
            <w:tcW w:w="820" w:type="dxa"/>
            <w:vAlign w:val="bottom"/>
            <w:gridSpan w:val="3"/>
          </w:tcPr>
          <w:p>
            <w:pPr>
              <w:jc w:val="center"/>
              <w:ind w:left="314"/>
              <w:spacing w:after="0"/>
              <w:rPr>
                <w:sz w:val="20"/>
                <w:szCs w:val="20"/>
                <w:color w:val="auto"/>
              </w:rPr>
            </w:pPr>
            <w:r>
              <w:rPr>
                <w:rFonts w:ascii="Times New Roman" w:cs="Times New Roman" w:eastAsia="Times New Roman" w:hAnsi="Times New Roman"/>
                <w:sz w:val="13"/>
                <w:szCs w:val="13"/>
                <w:color w:val="auto"/>
              </w:rPr>
              <w:t>104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5" w:right="299"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7580" w:type="dxa"/>
            <w:vAlign w:val="bottom"/>
            <w:gridSpan w:val="2"/>
          </w:tcPr>
          <w:p>
            <w:pPr>
              <w:ind w:left="1640"/>
              <w:spacing w:after="0"/>
              <w:rPr>
                <w:sz w:val="20"/>
                <w:szCs w:val="20"/>
                <w:color w:val="auto"/>
              </w:rPr>
            </w:pPr>
            <w:r>
              <w:rPr>
                <w:rFonts w:ascii="Times New Roman" w:cs="Times New Roman" w:eastAsia="Times New Roman" w:hAnsi="Times New Roman"/>
                <w:sz w:val="13"/>
                <w:szCs w:val="13"/>
                <w:b w:val="1"/>
                <w:bCs w:val="1"/>
                <w:color w:val="auto"/>
              </w:rPr>
              <w:t>Sema4 Holdings Corp.</w:t>
            </w:r>
          </w:p>
        </w:tc>
      </w:tr>
      <w:tr>
        <w:trPr>
          <w:trHeight w:val="351"/>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Date: August 15, 2022</w:t>
            </w:r>
          </w:p>
        </w:tc>
        <w:tc>
          <w:tcPr>
            <w:tcW w:w="264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Katherine Stueland</w:t>
            </w:r>
          </w:p>
        </w:tc>
      </w:tr>
      <w:tr>
        <w:trPr>
          <w:trHeight w:val="159"/>
        </w:trPr>
        <w:tc>
          <w:tcPr>
            <w:tcW w:w="2840" w:type="dxa"/>
            <w:vAlign w:val="bottom"/>
          </w:tcPr>
          <w:p>
            <w:pPr>
              <w:spacing w:after="0"/>
              <w:rPr>
                <w:sz w:val="13"/>
                <w:szCs w:val="13"/>
                <w:color w:val="auto"/>
              </w:rPr>
            </w:pPr>
          </w:p>
        </w:tc>
        <w:tc>
          <w:tcPr>
            <w:tcW w:w="264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Katherine Stueland</w:t>
            </w:r>
          </w:p>
        </w:tc>
      </w:tr>
      <w:tr>
        <w:trPr>
          <w:trHeight w:val="172"/>
        </w:trPr>
        <w:tc>
          <w:tcPr>
            <w:tcW w:w="2840" w:type="dxa"/>
            <w:vAlign w:val="bottom"/>
          </w:tcPr>
          <w:p>
            <w:pPr>
              <w:spacing w:after="0"/>
              <w:rPr>
                <w:sz w:val="14"/>
                <w:szCs w:val="14"/>
                <w:color w:val="auto"/>
              </w:rPr>
            </w:pPr>
          </w:p>
        </w:tc>
        <w:tc>
          <w:tcPr>
            <w:tcW w:w="264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11100"/>
          </w:cols>
          <w:pgMar w:left="500" w:top="98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Sema4 Announces Continued Restructuring, Business Highlights, and Reports Second Quarter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2022 Financial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New management team implements significant restructuring to focus on profitable growth, efficiency, and scale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19% pro forma</w:t>
      </w:r>
      <w:r>
        <w:rPr>
          <w:rFonts w:ascii="Times New Roman" w:cs="Times New Roman" w:eastAsia="Times New Roman" w:hAnsi="Times New Roman"/>
          <w:sz w:val="14"/>
          <w:szCs w:val="14"/>
          <w:i w:val="1"/>
          <w:iCs w:val="1"/>
          <w:color w:val="auto"/>
          <w:vertAlign w:val="superscript"/>
        </w:rPr>
        <w:t>1</w:t>
      </w:r>
      <w:r>
        <w:rPr>
          <w:rFonts w:ascii="Times New Roman" w:cs="Times New Roman" w:eastAsia="Times New Roman" w:hAnsi="Times New Roman"/>
          <w:sz w:val="11"/>
          <w:szCs w:val="11"/>
          <w:i w:val="1"/>
          <w:iCs w:val="1"/>
          <w:color w:val="auto"/>
        </w:rPr>
        <w:t xml:space="preserve"> volume growth vs. 2Q 2021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Sema4 to host a conference call today at 4:30 p.m. 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 xml:space="preserve">STAMFORD, CT — August 15, 2022 — </w:t>
      </w:r>
      <w:r>
        <w:rPr>
          <w:rFonts w:ascii="Times New Roman" w:cs="Times New Roman" w:eastAsia="Times New Roman" w:hAnsi="Times New Roman"/>
          <w:sz w:val="10"/>
          <w:szCs w:val="10"/>
          <w:color w:val="0563C1"/>
        </w:rPr>
        <w:t>Sema4</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Holdings Corp. (Nasdaq: SMFR) (“Sema4”), a health insights company, today announced a series of corporate realignments, business highlights, and financial results for the second quarter ended June 30,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saw strong volume growth in both our reproductive health and recently acquired pediatrics and rare disease businesses, which delivered on record volumes. The underlying performance of the legacy GeneDx business is meeting our internal expectations</w:t>
      </w:r>
    </w:p>
    <w:p>
      <w:pPr>
        <w:spacing w:after="0" w:line="56"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1"/>
          <w:szCs w:val="11"/>
          <w:color w:val="auto"/>
        </w:rPr>
        <w:t xml:space="preserve">and tracking ahead of our previously issued guidance. In order to drive Sema4 toward profitable growth, we have made strategic decisions since last updating the market during our first quarter 2022 conference call in May,” said </w:t>
      </w:r>
      <w:r>
        <w:rPr>
          <w:rFonts w:ascii="Times New Roman" w:cs="Times New Roman" w:eastAsia="Times New Roman" w:hAnsi="Times New Roman"/>
          <w:sz w:val="11"/>
          <w:szCs w:val="11"/>
          <w:u w:val="single" w:color="auto"/>
          <w:color w:val="0000FF"/>
        </w:rPr>
        <w:t>Katherine Stueland</w:t>
      </w:r>
      <w:r>
        <w:rPr>
          <w:rFonts w:ascii="Times New Roman" w:cs="Times New Roman" w:eastAsia="Times New Roman" w:hAnsi="Times New Roman"/>
          <w:sz w:val="11"/>
          <w:szCs w:val="11"/>
          <w:color w:val="auto"/>
        </w:rPr>
        <w:t>, Chief Executive Officer of Sema4.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6972935</wp:posOffset>
            </wp:positionH>
            <wp:positionV relativeFrom="paragraph">
              <wp:posOffset>-193675</wp:posOffset>
            </wp:positionV>
            <wp:extent cx="194310" cy="80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310" cy="80010"/>
                    </a:xfrm>
                    <a:prstGeom prst="rect">
                      <a:avLst/>
                    </a:prstGeom>
                    <a:noFill/>
                  </pic:spPr>
                </pic:pic>
              </a:graphicData>
            </a:graphic>
          </wp:anchor>
        </w:drawing>
      </w:r>
    </w:p>
    <w:p>
      <w:pPr>
        <w:spacing w:after="0" w:line="9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1"/>
          <w:szCs w:val="11"/>
          <w:color w:val="auto"/>
        </w:rPr>
        <w:t>The company is on track to deliver against its previously announced cost savings target of approximately $50 million in 2022. With additional initiatives underway, the company will be on target to achieve more than $150 million in annualized savings and approximately $200 million in cumulative savings by the end of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Led by Sema4’s new Transformation Management Office, the actions taken by the company include:</w:t>
      </w:r>
    </w:p>
    <w:p>
      <w:pPr>
        <w:spacing w:after="0" w:line="162" w:lineRule="exact"/>
        <w:rPr>
          <w:sz w:val="20"/>
          <w:szCs w:val="20"/>
          <w:color w:val="auto"/>
        </w:rPr>
      </w:pPr>
    </w:p>
    <w:p>
      <w:pPr>
        <w:ind w:left="420" w:hanging="212"/>
        <w:spacing w:after="0" w:line="273" w:lineRule="auto"/>
        <w:tabs>
          <w:tab w:leader="none" w:pos="413"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Exiting the somatic tumor testing business, including the planned closure of the clinical laboratory in Branford, CT, effective December 31, 2022. This business line represents less than 1% of the company’s revenue and approximately $35 million in annual expense.</w:t>
      </w:r>
    </w:p>
    <w:p>
      <w:pPr>
        <w:ind w:left="420" w:hanging="212"/>
        <w:spacing w:after="0"/>
        <w:tabs>
          <w:tab w:leader="none" w:pos="42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Eliminating approximately 250 positions, representing approximately 13% of its workforce. Combined with the prior reductions in force in the first half of 2022, the company has eliminated approximately 30% of roles from the legacy Sema4 business.</w:t>
      </w:r>
    </w:p>
    <w:p>
      <w:pPr>
        <w:spacing w:after="0" w:line="29" w:lineRule="exact"/>
        <w:rPr>
          <w:rFonts w:ascii="Times New Roman" w:cs="Times New Roman" w:eastAsia="Times New Roman" w:hAnsi="Times New Roman"/>
          <w:sz w:val="10"/>
          <w:szCs w:val="10"/>
          <w:color w:val="auto"/>
        </w:rPr>
      </w:pPr>
    </w:p>
    <w:p>
      <w:pPr>
        <w:ind w:left="420" w:hanging="212"/>
        <w:spacing w:after="0" w:line="273" w:lineRule="auto"/>
        <w:tabs>
          <w:tab w:leader="none" w:pos="413"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Moving hereditary cancer testing operations from Stamford, CT to Gaithersburg, MD at the end of the third quarter of 2022. The company believes this effort will improve gross margins by leveraging superior automation capabilities in the clinical laboratory in Gaithersburg.</w:t>
      </w:r>
    </w:p>
    <w:p>
      <w:pPr>
        <w:ind w:left="420" w:hanging="212"/>
        <w:spacing w:after="0"/>
        <w:tabs>
          <w:tab w:leader="none" w:pos="42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Reorganizing the commercial team to deploy a more productive and data-driven strategy in support of profitable growth.</w:t>
      </w:r>
    </w:p>
    <w:p>
      <w:pPr>
        <w:spacing w:after="0" w:line="16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1"/>
          <w:szCs w:val="11"/>
          <w:color w:val="auto"/>
        </w:rPr>
        <w:t>Moving forward, Sema4 will focus on building the company’s health insights business by delivering a portfolio of genomic and data solutions to guide patients through their family health journey. With new leadership and strategy, Sema4 will also work with its founding health system partners to develop scalable plans for data generation and broad utilization of testing services, as well as productize offerings for biopharma partnerships.</w:t>
      </w:r>
    </w:p>
    <w:p>
      <w:pPr>
        <w:spacing w:after="0" w:line="11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1"/>
          <w:szCs w:val="11"/>
          <w:color w:val="auto"/>
        </w:rPr>
        <w:t>“Our mission is to unlock insights from data, leading to healthier lives. To do that, we’re making pivotal decisions to strengthen our foundation and finances. Since May, our new management team has been assessing the overall operating model, looking at the profitability profile of each line of business. We are clear-eyed about the opportunities we have today to make a positive impact on more patients by focusing on our strengths and in areas where we have operational scale, competitive advantage, and scientific leadership,” said Ms. Stueland. “As we look forward, Sema4 will have a dramatically improved cost structure and a more targeted commercial effort supported by an optimized product development strategy. This will enable us to continue to accelerate the use of genomics and leverage clinical data to enhance the standard of care through the more extensive use of precision medicine.”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Second Quarter &amp; Recent Highlights</w:t>
      </w:r>
    </w:p>
    <w:p>
      <w:pPr>
        <w:spacing w:after="0" w:line="16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1"/>
          <w:szCs w:val="11"/>
          <w:color w:val="auto"/>
        </w:rPr>
        <w:t xml:space="preserve">“During the second quarter, we experienced strong underlying demand for our core testing services, including carrier screening, non-invasive prenatal screening, and our pediatric and rare disease franchises, with pro forma volume growth of 19%,” said </w:t>
      </w:r>
      <w:r>
        <w:rPr>
          <w:rFonts w:ascii="Times New Roman" w:cs="Times New Roman" w:eastAsia="Times New Roman" w:hAnsi="Times New Roman"/>
          <w:sz w:val="11"/>
          <w:szCs w:val="11"/>
          <w:u w:val="single" w:color="auto"/>
          <w:color w:val="0000FF"/>
        </w:rPr>
        <w:t>Rich</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0000FF"/>
        </w:rPr>
        <w:t>Miao</w:t>
      </w:r>
      <w:r>
        <w:rPr>
          <w:rFonts w:ascii="Times New Roman" w:cs="Times New Roman" w:eastAsia="Times New Roman" w:hAnsi="Times New Roman"/>
          <w:sz w:val="11"/>
          <w:szCs w:val="11"/>
          <w:color w:val="000000"/>
          <w:highlight w:val="white"/>
        </w:rPr>
        <w:t>, Interim Chief Financial Officer of Sema4.</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438"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1"/>
          <w:szCs w:val="11"/>
          <w:color w:val="auto"/>
        </w:rPr>
        <w:t>Highlights include:</w:t>
      </w:r>
    </w:p>
    <w:p>
      <w:pPr>
        <w:spacing w:after="0" w:line="27" w:lineRule="exact"/>
        <w:rPr>
          <w:sz w:val="20"/>
          <w:szCs w:val="20"/>
          <w:color w:val="auto"/>
        </w:rPr>
      </w:pPr>
    </w:p>
    <w:p>
      <w:pPr>
        <w:ind w:left="420" w:hanging="212"/>
        <w:spacing w:after="0"/>
        <w:tabs>
          <w:tab w:leader="none" w:pos="420" w:val="left"/>
        </w:tabs>
        <w:numPr>
          <w:ilvl w:val="0"/>
          <w:numId w:val="3"/>
        </w:numPr>
        <w:rPr>
          <w:rFonts w:ascii="Calibri" w:cs="Calibri" w:eastAsia="Calibri" w:hAnsi="Calibri"/>
          <w:sz w:val="12"/>
          <w:szCs w:val="12"/>
          <w:color w:val="auto"/>
        </w:rPr>
      </w:pPr>
      <w:r>
        <w:rPr>
          <w:rFonts w:ascii="Times New Roman" w:cs="Times New Roman" w:eastAsia="Times New Roman" w:hAnsi="Times New Roman"/>
          <w:sz w:val="11"/>
          <w:szCs w:val="11"/>
          <w:color w:val="auto"/>
        </w:rPr>
        <w:t>Testing volumes on a pro forma basis were up 19% in the second quarter of 2022 compared to the same period of 2021, with 132,622 tests resulted (excluding COVID-19 tests)</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w:t>
      </w:r>
    </w:p>
    <w:p>
      <w:pPr>
        <w:spacing w:after="0" w:line="11" w:lineRule="exact"/>
        <w:rPr>
          <w:rFonts w:ascii="Calibri" w:cs="Calibri" w:eastAsia="Calibri" w:hAnsi="Calibri"/>
          <w:sz w:val="12"/>
          <w:szCs w:val="12"/>
          <w:color w:val="auto"/>
        </w:rPr>
      </w:pPr>
    </w:p>
    <w:p>
      <w:pPr>
        <w:ind w:left="420" w:hanging="212"/>
        <w:spacing w:after="0" w:line="225" w:lineRule="auto"/>
        <w:tabs>
          <w:tab w:leader="none" w:pos="420" w:val="left"/>
        </w:tabs>
        <w:numPr>
          <w:ilvl w:val="0"/>
          <w:numId w:val="3"/>
        </w:numPr>
        <w:rPr>
          <w:rFonts w:ascii="Calibri" w:cs="Calibri" w:eastAsia="Calibri" w:hAnsi="Calibri"/>
          <w:sz w:val="12"/>
          <w:szCs w:val="12"/>
          <w:color w:val="auto"/>
        </w:rPr>
      </w:pPr>
      <w:r>
        <w:rPr>
          <w:rFonts w:ascii="Times New Roman" w:cs="Times New Roman" w:eastAsia="Times New Roman" w:hAnsi="Times New Roman"/>
          <w:sz w:val="11"/>
          <w:szCs w:val="11"/>
          <w:color w:val="auto"/>
        </w:rPr>
        <w:t>Testing volumes on a reported basis were up 63% in the second quarter of 2022 compared to the same period of 2021, with 117,838 tests resulted (excluding COVID-19 tests)</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w:t>
      </w:r>
    </w:p>
    <w:p>
      <w:pPr>
        <w:ind w:left="420" w:hanging="212"/>
        <w:spacing w:after="0" w:line="210" w:lineRule="auto"/>
        <w:tabs>
          <w:tab w:leader="none" w:pos="420" w:val="left"/>
        </w:tabs>
        <w:numPr>
          <w:ilvl w:val="0"/>
          <w:numId w:val="3"/>
        </w:numPr>
        <w:rPr>
          <w:rFonts w:ascii="Calibri" w:cs="Calibri" w:eastAsia="Calibri" w:hAnsi="Calibri"/>
          <w:sz w:val="12"/>
          <w:szCs w:val="12"/>
          <w:color w:val="auto"/>
        </w:rPr>
      </w:pPr>
      <w:r>
        <w:rPr>
          <w:rFonts w:ascii="Times New Roman" w:cs="Times New Roman" w:eastAsia="Times New Roman" w:hAnsi="Times New Roman"/>
          <w:sz w:val="11"/>
          <w:szCs w:val="11"/>
          <w:color w:val="auto"/>
        </w:rPr>
        <w:t>Workforce reduced to approximately 1,600 employees and exiting the somatic testing business to help achieve the targeted $50 million of cost savings in 2022.</w:t>
      </w:r>
    </w:p>
    <w:p>
      <w:pPr>
        <w:spacing w:after="0" w:line="15" w:lineRule="exact"/>
        <w:rPr>
          <w:rFonts w:ascii="Calibri" w:cs="Calibri" w:eastAsia="Calibri" w:hAnsi="Calibri"/>
          <w:sz w:val="12"/>
          <w:szCs w:val="12"/>
          <w:color w:val="auto"/>
        </w:rPr>
      </w:pPr>
    </w:p>
    <w:p>
      <w:pPr>
        <w:ind w:left="420" w:hanging="212"/>
        <w:spacing w:after="0"/>
        <w:tabs>
          <w:tab w:leader="none" w:pos="420" w:val="left"/>
        </w:tabs>
        <w:numPr>
          <w:ilvl w:val="0"/>
          <w:numId w:val="3"/>
        </w:numPr>
        <w:rPr>
          <w:rFonts w:ascii="Calibri" w:cs="Calibri" w:eastAsia="Calibri" w:hAnsi="Calibri"/>
          <w:sz w:val="12"/>
          <w:szCs w:val="12"/>
          <w:color w:val="auto"/>
        </w:rPr>
      </w:pPr>
      <w:r>
        <w:rPr>
          <w:rFonts w:ascii="Times New Roman" w:cs="Times New Roman" w:eastAsia="Times New Roman" w:hAnsi="Times New Roman"/>
          <w:sz w:val="11"/>
          <w:szCs w:val="11"/>
          <w:color w:val="auto"/>
        </w:rPr>
        <w:t>Published the first data-driven study to predict preeclampsia events throughout the pregnancy journey with models developed from large-scale electronic medical record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Second Quarter 2022 Financial Results</w:t>
      </w:r>
    </w:p>
    <w:p>
      <w:pPr>
        <w:spacing w:after="0" w:line="16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1"/>
          <w:szCs w:val="11"/>
          <w:color w:val="auto"/>
        </w:rPr>
        <w:t>Total revenue for the second quarter of 2022 was $36.2 million compared to $47.0 million in the second quarter of 2021. Excluding the $30.1 million of prior period revenue adjustments recorded in the second quarter of 2022 due to our change in estimates, total revenue would have been $66.3 million for the quarter.</w:t>
      </w:r>
    </w:p>
    <w:p>
      <w:pPr>
        <w:spacing w:after="0" w:line="11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1"/>
          <w:szCs w:val="11"/>
          <w:color w:val="auto"/>
        </w:rPr>
        <w:t>Pro forma revenue in the second quarter of 2022, assuming GeneDx’s results were included for the full applicable quarter, excluding COVID-19 related revenue and the $30.1 million of prior period revenue adjustment would have been $78.1 million compared to $72.8 million in the second quarter of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Net loss in the second quarter of 2022 was ($85.7) million. Adjusted net loss for the second quarter of 2022 was ($72.9) million compared to ($43.5) million in the same period of 2021.</w:t>
      </w:r>
    </w:p>
    <w:p>
      <w:pPr>
        <w:spacing w:after="0" w:line="162"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1"/>
          <w:szCs w:val="11"/>
          <w:color w:val="auto"/>
        </w:rPr>
        <w:t>Total cash and cash equivalents were $285 million as of June 30, 2022 and the company’s $125 million revolving credit facility remains undrawn, bringing total liquidity to $410 million. As of August 9, 2022, Sema4 had 380,641,510 outstanding shares of Class A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Fiscal Year 2022 Guidance</w:t>
      </w:r>
    </w:p>
    <w:p>
      <w:pPr>
        <w:spacing w:after="0" w:line="16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1"/>
          <w:szCs w:val="11"/>
          <w:color w:val="auto"/>
        </w:rPr>
        <w:t>The company now expects fiscal year 2022 reported revenue to be $245-255 million, reflecting the inclusion of GeneDx’s results for the eight months of ownership in 2022. Embedded in this revenue guidance is a $24 million reduction in revenue due to our estimated change of Sema4’s revenue related to periods prior to 2022 and a more conservative outlook on volumes and pricing trends within our reproductive health product lines for the remainder of the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Sema4 is updating its 2022 adjusted gross margin target and now expects full year 2022 adjusted gross margin to be in the range of 4-9%, inclusive of the $24 million reduction in revenue due to our estimated change in revenue related to periods prior to 2022.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Excluding this revision would imply an adjusted gross margin in the range of 11-16%.</w:t>
      </w:r>
    </w:p>
    <w:p>
      <w:pPr>
        <w:spacing w:after="0" w:line="162"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1"/>
          <w:szCs w:val="11"/>
          <w:color w:val="auto"/>
        </w:rPr>
        <w:t>The company expects second half 2022 revenue in the range of $154-164 million, and second half 2022 adjusted gross margin in the range of 15-20%. The company expects to end 2022 with more than $165 million of cash and cash equivalents and total liquidity of over $290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Leadership Change</w:t>
      </w:r>
    </w:p>
    <w:p>
      <w:pPr>
        <w:spacing w:after="0" w:line="164"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Sema4 also announced changes to its management team and governance:</w:t>
      </w:r>
    </w:p>
    <w:p>
      <w:pPr>
        <w:spacing w:after="0" w:line="17" w:lineRule="exact"/>
        <w:rPr>
          <w:rFonts w:ascii="Times New Roman" w:cs="Times New Roman" w:eastAsia="Times New Roman" w:hAnsi="Times New Roman"/>
          <w:sz w:val="11"/>
          <w:szCs w:val="11"/>
          <w:color w:val="auto"/>
        </w:rPr>
      </w:pPr>
    </w:p>
    <w:p>
      <w:pPr>
        <w:ind w:left="840" w:hanging="200"/>
        <w:spacing w:after="0"/>
        <w:tabs>
          <w:tab w:leader="none" w:pos="840" w:val="left"/>
        </w:tabs>
        <w:numPr>
          <w:ilvl w:val="1"/>
          <w:numId w:val="4"/>
        </w:numPr>
        <w:rPr>
          <w:rFonts w:ascii="Courier New" w:cs="Courier New" w:eastAsia="Courier New" w:hAnsi="Courier New"/>
          <w:sz w:val="11"/>
          <w:szCs w:val="11"/>
          <w:color w:val="auto"/>
        </w:rPr>
      </w:pPr>
      <w:r>
        <w:rPr>
          <w:rFonts w:ascii="Times New Roman" w:cs="Times New Roman" w:eastAsia="Times New Roman" w:hAnsi="Times New Roman"/>
          <w:sz w:val="11"/>
          <w:szCs w:val="11"/>
          <w:color w:val="auto"/>
        </w:rPr>
        <w:t>Founder Eric Schadt is resigning from his roles as President and Chief Research &amp; Development Officer, as well as his position as a Director of the company, effective today.</w:t>
      </w:r>
    </w:p>
    <w:p>
      <w:pPr>
        <w:spacing w:after="0" w:line="29" w:lineRule="exact"/>
        <w:rPr>
          <w:rFonts w:ascii="Courier New" w:cs="Courier New" w:eastAsia="Courier New" w:hAnsi="Courier New"/>
          <w:sz w:val="11"/>
          <w:szCs w:val="11"/>
          <w:color w:val="auto"/>
        </w:rPr>
      </w:pPr>
    </w:p>
    <w:p>
      <w:pPr>
        <w:ind w:left="860" w:right="20" w:hanging="220"/>
        <w:spacing w:after="0" w:line="276" w:lineRule="auto"/>
        <w:tabs>
          <w:tab w:leader="none" w:pos="853" w:val="left"/>
        </w:tabs>
        <w:numPr>
          <w:ilvl w:val="1"/>
          <w:numId w:val="4"/>
        </w:numPr>
        <w:rPr>
          <w:rFonts w:ascii="Courier New" w:cs="Courier New" w:eastAsia="Courier New" w:hAnsi="Courier New"/>
          <w:sz w:val="11"/>
          <w:szCs w:val="11"/>
          <w:color w:val="auto"/>
        </w:rPr>
      </w:pPr>
      <w:r>
        <w:rPr>
          <w:rFonts w:ascii="Times New Roman" w:cs="Times New Roman" w:eastAsia="Times New Roman" w:hAnsi="Times New Roman"/>
          <w:sz w:val="11"/>
          <w:szCs w:val="11"/>
          <w:color w:val="auto"/>
        </w:rPr>
        <w:t>Matthew Davis, former Head of AI &amp; Data at Invitae Corp., is joining the company as Chief Technology &amp; Product Officer. Mr. Davis will work in close partnership with Chief Science Officer Gustavo Stolovitzky to drive scientific and product innovation to deliver on the company’s data strategy for health systems and biopharma partners.</w:t>
      </w:r>
    </w:p>
    <w:p>
      <w:pPr>
        <w:spacing w:after="0" w:line="12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1"/>
          <w:szCs w:val="11"/>
          <w:color w:val="auto"/>
        </w:rPr>
        <w:t>“We would not be where we are today without Eric’s vision. He conceived Sema4 and led its rapid growth from a spin out of Mount Sinai to a publicly held company,” said Ms. Stueland. “As we move into this new phase of commercial scale fueled by customer-centric</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1210" w:right="29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1"/>
          <w:szCs w:val="11"/>
          <w:color w:val="auto"/>
        </w:rPr>
        <w:t>scientific innovation, I’m excited about the essential role that Matt and Gustavo will play in helping us shape a truly pioneering future of healthcare.”</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Webcast and Conference Call Details</w:t>
      </w:r>
    </w:p>
    <w:p>
      <w:pPr>
        <w:spacing w:after="0" w:line="155" w:lineRule="exact"/>
        <w:rPr>
          <w:sz w:val="20"/>
          <w:szCs w:val="20"/>
          <w:color w:val="auto"/>
        </w:rPr>
      </w:pPr>
    </w:p>
    <w:p>
      <w:pPr>
        <w:ind w:left="8" w:right="20"/>
        <w:spacing w:after="0" w:line="235" w:lineRule="auto"/>
        <w:rPr>
          <w:sz w:val="20"/>
          <w:szCs w:val="20"/>
          <w:color w:val="auto"/>
        </w:rPr>
      </w:pPr>
      <w:r>
        <w:rPr>
          <w:rFonts w:ascii="Times New Roman" w:cs="Times New Roman" w:eastAsia="Times New Roman" w:hAnsi="Times New Roman"/>
          <w:sz w:val="11"/>
          <w:szCs w:val="11"/>
          <w:color w:val="auto"/>
        </w:rPr>
        <w:t xml:space="preserve">Sema4 will host a conference call today, August 15, 2022, at 4:30 p.m. Eastern Time. Investors interested in listening to the conference call are required to </w:t>
      </w:r>
      <w:r>
        <w:rPr>
          <w:rFonts w:ascii="Times New Roman" w:cs="Times New Roman" w:eastAsia="Times New Roman" w:hAnsi="Times New Roman"/>
          <w:sz w:val="11"/>
          <w:szCs w:val="11"/>
          <w:u w:val="single" w:color="auto"/>
          <w:color w:val="0000FF"/>
        </w:rPr>
        <w:t>register online</w:t>
      </w:r>
      <w:r>
        <w:rPr>
          <w:rFonts w:ascii="Times New Roman" w:cs="Times New Roman" w:eastAsia="Times New Roman" w:hAnsi="Times New Roman"/>
          <w:sz w:val="11"/>
          <w:szCs w:val="11"/>
          <w:color w:val="auto"/>
        </w:rPr>
        <w:t xml:space="preserve">. A live and archived webcast of the event will be available on the “Events” section of the Sema4 investor relations website at </w:t>
      </w:r>
      <w:r>
        <w:rPr>
          <w:rFonts w:ascii="Times New Roman" w:cs="Times New Roman" w:eastAsia="Times New Roman" w:hAnsi="Times New Roman"/>
          <w:sz w:val="11"/>
          <w:szCs w:val="11"/>
          <w:u w:val="single" w:color="auto"/>
          <w:color w:val="0000FF"/>
        </w:rPr>
        <w:t>https://ir.sema4.com/</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45" w:lineRule="exact"/>
        <w:rPr>
          <w:sz w:val="20"/>
          <w:szCs w:val="20"/>
          <w:color w:val="auto"/>
        </w:rPr>
      </w:pPr>
    </w:p>
    <w:p>
      <w:pPr>
        <w:ind w:left="8" w:hanging="8"/>
        <w:spacing w:after="0" w:line="237" w:lineRule="auto"/>
        <w:tabs>
          <w:tab w:leader="none" w:pos="82"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Pro forma metrics consolidate GeneDx operating results for the entirety of the compared periods. Pro forma metrics are presented for illustrative purposes only and are not necessarily indicative of the results that would have occurred had the GeneDx acquisition been completed on such dates or that may occur in the future. See Appendix for Historical Sema4 &amp; GeneDx Resulted Volumes &amp; Revenue.</w:t>
      </w:r>
    </w:p>
    <w:p>
      <w:pPr>
        <w:spacing w:after="0" w:line="200" w:lineRule="exact"/>
        <w:rPr>
          <w:sz w:val="20"/>
          <w:szCs w:val="20"/>
          <w:color w:val="auto"/>
        </w:rPr>
      </w:pPr>
    </w:p>
    <w:p>
      <w:pPr>
        <w:spacing w:after="0" w:line="2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Forward-Looking Statements</w:t>
      </w:r>
    </w:p>
    <w:p>
      <w:pPr>
        <w:spacing w:after="0" w:line="155" w:lineRule="exact"/>
        <w:rPr>
          <w:sz w:val="20"/>
          <w:szCs w:val="20"/>
          <w:color w:val="auto"/>
        </w:rPr>
      </w:pPr>
    </w:p>
    <w:p>
      <w:pPr>
        <w:jc w:val="both"/>
        <w:ind w:left="8"/>
        <w:spacing w:after="0" w:line="229" w:lineRule="auto"/>
        <w:rPr>
          <w:sz w:val="20"/>
          <w:szCs w:val="20"/>
          <w:color w:val="auto"/>
        </w:rPr>
      </w:pPr>
      <w:r>
        <w:rPr>
          <w:rFonts w:ascii="Times New Roman" w:cs="Times New Roman" w:eastAsia="Times New Roman" w:hAnsi="Times New Roman"/>
          <w:sz w:val="10"/>
          <w:szCs w:val="10"/>
          <w:color w:val="auto"/>
        </w:rPr>
        <w:t>This press release contains certain forward-looking statements within the meaning of the federal securities laws, including statements regarding our future performance and our market opportunity, including our expected full year and second half 2022 reported revenue and adjusted gross margin guidance, our expectations regarding our year end cash and cash equivalents and total liquidity, our expectations for our growth and future investment in our business, our expectations regarding our restructuring plans and the associated cost savings and impact on our gross margins, and our expectations of the anticipated benefits and synergies of the recently completed GeneDx acquisition.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ability to implement business plans, goals and forecasts, and identify and realize additional opportunities, (ii) the risk of downturns and a changing regulatory landscape in the highly competitive healthcare industry,</w:t>
      </w:r>
    </w:p>
    <w:p>
      <w:pPr>
        <w:spacing w:after="0" w:line="2" w:lineRule="exact"/>
        <w:rPr>
          <w:sz w:val="20"/>
          <w:szCs w:val="20"/>
          <w:color w:val="auto"/>
        </w:rPr>
      </w:pPr>
    </w:p>
    <w:p>
      <w:pPr>
        <w:jc w:val="both"/>
        <w:ind w:left="8" w:hanging="8"/>
        <w:spacing w:after="0" w:line="233" w:lineRule="auto"/>
        <w:tabs>
          <w:tab w:leader="none" w:pos="199"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size and growth of the market in which we operate, and (iv) our expectations regarding our restructuring plans and the associated cost savings and impact on our gross margins, (v) the risk that the anticipated benefits of the GeneDx acquisition may not be fully realized, if at all. The foregoing list of factors is not exhaustive. You should carefully consider the foregoing factors and the other risks and uncertainties described in the “Risk Factors” section of our Annual Report on Form 10-K for the fiscal year ended December 31, 2021, filed with the U.S. Securities and Exchange Commission (the “SEC”) on March 14, 2022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00" w:lineRule="exact"/>
        <w:rPr>
          <w:sz w:val="20"/>
          <w:szCs w:val="20"/>
          <w:color w:val="auto"/>
        </w:rPr>
      </w:pPr>
    </w:p>
    <w:p>
      <w:pPr>
        <w:spacing w:after="0" w:line="2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About Sema4</w:t>
      </w:r>
    </w:p>
    <w:p>
      <w:pPr>
        <w:spacing w:after="0" w:line="155" w:lineRule="exact"/>
        <w:rPr>
          <w:sz w:val="20"/>
          <w:szCs w:val="20"/>
          <w:color w:val="auto"/>
        </w:rPr>
      </w:pPr>
    </w:p>
    <w:p>
      <w:pPr>
        <w:jc w:val="both"/>
        <w:ind w:left="8"/>
        <w:spacing w:after="0" w:line="225" w:lineRule="auto"/>
        <w:rPr>
          <w:sz w:val="20"/>
          <w:szCs w:val="20"/>
          <w:color w:val="auto"/>
        </w:rPr>
      </w:pPr>
      <w:r>
        <w:rPr>
          <w:rFonts w:ascii="Times New Roman" w:cs="Times New Roman" w:eastAsia="Times New Roman" w:hAnsi="Times New Roman"/>
          <w:sz w:val="11"/>
          <w:szCs w:val="11"/>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xml:space="preserve">For more information, please visit sema4.com and connect with Sema4 on </w:t>
      </w:r>
      <w:r>
        <w:rPr>
          <w:rFonts w:ascii="Times New Roman" w:cs="Times New Roman" w:eastAsia="Times New Roman" w:hAnsi="Times New Roman"/>
          <w:sz w:val="11"/>
          <w:szCs w:val="11"/>
          <w:color w:val="0563C1"/>
        </w:rPr>
        <w:t>Twitter</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0563C1"/>
        </w:rPr>
        <w:t>LinkedIn</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0563C1"/>
        </w:rPr>
        <w:t>Facebook</w:t>
      </w:r>
      <w:r>
        <w:rPr>
          <w:rFonts w:ascii="Times New Roman" w:cs="Times New Roman" w:eastAsia="Times New Roman" w:hAnsi="Times New Roman"/>
          <w:sz w:val="11"/>
          <w:szCs w:val="11"/>
          <w:color w:val="auto"/>
        </w:rPr>
        <w:t xml:space="preserve"> and </w:t>
      </w:r>
      <w:r>
        <w:rPr>
          <w:rFonts w:ascii="Times New Roman" w:cs="Times New Roman" w:eastAsia="Times New Roman" w:hAnsi="Times New Roman"/>
          <w:sz w:val="11"/>
          <w:szCs w:val="11"/>
          <w:color w:val="0563C1"/>
        </w:rPr>
        <w:t>YouTube</w:t>
      </w:r>
      <w:r>
        <w:rPr>
          <w:rFonts w:ascii="Times New Roman" w:cs="Times New Roman" w:eastAsia="Times New Roman" w:hAnsi="Times New Roman"/>
          <w:sz w:val="11"/>
          <w:szCs w:val="11"/>
          <w:color w:val="auto"/>
        </w:rPr>
        <w:t>.</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Investor Relations Contact:</w:t>
      </w:r>
    </w:p>
    <w:p>
      <w:pPr>
        <w:spacing w:after="0" w:line="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Joel Kaufman</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u w:val="single" w:color="auto"/>
          <w:color w:val="0563C1"/>
        </w:rPr>
        <w:t>investors@sema4.com</w:t>
      </w:r>
    </w:p>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Media Contact:</w:t>
      </w:r>
    </w:p>
    <w:p>
      <w:pPr>
        <w:spacing w:after="0" w:line="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Radley Moss</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u w:val="single" w:color="auto"/>
          <w:color w:val="0563C1"/>
        </w:rPr>
        <w:t>radley.moss@sema4.com</w:t>
      </w:r>
    </w:p>
    <w:p>
      <w:pPr>
        <w:spacing w:after="0" w:line="200" w:lineRule="exact"/>
        <w:rPr>
          <w:sz w:val="20"/>
          <w:szCs w:val="20"/>
          <w:color w:val="auto"/>
        </w:rPr>
      </w:pPr>
    </w:p>
    <w:p>
      <w:pPr>
        <w:spacing w:after="0" w:line="2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8"/>
          </w:cols>
          <w:pgMar w:left="292" w:top="121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color w:val="auto"/>
        </w:rPr>
        <w:t>Historical Pro Forma Resulted Volume and Revenue</w:t>
      </w:r>
      <w:r>
        <w:rPr>
          <w:rFonts w:ascii="Times New Roman" w:cs="Times New Roman" w:eastAsia="Times New Roman" w:hAnsi="Times New Roman"/>
          <w:sz w:val="16"/>
          <w:szCs w:val="16"/>
          <w:b w:val="1"/>
          <w:bCs w:val="1"/>
          <w:color w:val="auto"/>
          <w:vertAlign w:val="superscript"/>
        </w:rPr>
        <w:t>1</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33"/>
        </w:trPr>
        <w:tc>
          <w:tcPr>
            <w:tcW w:w="5240" w:type="dxa"/>
            <w:vAlign w:val="bottom"/>
            <w:tcBorders>
              <w:top w:val="single" w:sz="8" w:color="auto"/>
              <w:left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1Q21</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2Q21</w:t>
            </w: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3Q21</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4Q21</w:t>
            </w:r>
          </w:p>
        </w:tc>
        <w:tc>
          <w:tcPr>
            <w:tcW w:w="1040" w:type="dxa"/>
            <w:vAlign w:val="bottom"/>
            <w:tcBorders>
              <w:top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1Q22</w:t>
            </w:r>
          </w:p>
        </w:tc>
        <w:tc>
          <w:tcPr>
            <w:tcW w:w="1000" w:type="dxa"/>
            <w:vAlign w:val="bottom"/>
            <w:tcBorders>
              <w:top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1"/>
                <w:szCs w:val="11"/>
                <w:b w:val="1"/>
                <w:bCs w:val="1"/>
                <w:color w:val="auto"/>
                <w:w w:val="94"/>
              </w:rPr>
              <w:t>2Q22</w:t>
            </w:r>
            <w:r>
              <w:rPr>
                <w:rFonts w:ascii="Times New Roman" w:cs="Times New Roman" w:eastAsia="Times New Roman" w:hAnsi="Times New Roman"/>
                <w:sz w:val="14"/>
                <w:szCs w:val="14"/>
                <w:b w:val="1"/>
                <w:bCs w:val="1"/>
                <w:color w:val="auto"/>
                <w:w w:val="94"/>
                <w:vertAlign w:val="superscript"/>
              </w:rPr>
              <w:t>4</w:t>
            </w:r>
          </w:p>
        </w:tc>
      </w:tr>
      <w:tr>
        <w:trPr>
          <w:trHeight w:val="144"/>
        </w:trPr>
        <w:tc>
          <w:tcPr>
            <w:tcW w:w="5240" w:type="dxa"/>
            <w:vAlign w:val="bottom"/>
            <w:tcBorders>
              <w:left w:val="single" w:sz="8" w:color="auto"/>
              <w:right w:val="single" w:sz="8" w:color="auto"/>
            </w:tcBorders>
            <w:shd w:val="clear" w:color="auto" w:fill="E7E6E6"/>
          </w:tcPr>
          <w:p>
            <w:pPr>
              <w:ind w:left="40"/>
              <w:spacing w:after="0" w:line="144" w:lineRule="exact"/>
              <w:rPr>
                <w:sz w:val="20"/>
                <w:szCs w:val="20"/>
                <w:color w:val="auto"/>
              </w:rPr>
            </w:pPr>
            <w:r>
              <w:rPr>
                <w:rFonts w:ascii="Times New Roman" w:cs="Times New Roman" w:eastAsia="Times New Roman" w:hAnsi="Times New Roman"/>
                <w:sz w:val="11"/>
                <w:szCs w:val="11"/>
                <w:b w:val="1"/>
                <w:bCs w:val="1"/>
                <w:color w:val="auto"/>
              </w:rPr>
              <w:t>Pro Forma Resulted Volumes</w:t>
            </w:r>
            <w:r>
              <w:rPr>
                <w:rFonts w:ascii="Times New Roman" w:cs="Times New Roman" w:eastAsia="Times New Roman" w:hAnsi="Times New Roman"/>
                <w:sz w:val="14"/>
                <w:szCs w:val="14"/>
                <w:b w:val="1"/>
                <w:bCs w:val="1"/>
                <w:color w:val="auto"/>
                <w:vertAlign w:val="superscript"/>
              </w:rPr>
              <w:t>2</w:t>
            </w:r>
          </w:p>
        </w:tc>
        <w:tc>
          <w:tcPr>
            <w:tcW w:w="90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c>
          <w:tcPr>
            <w:tcW w:w="102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c>
          <w:tcPr>
            <w:tcW w:w="1000" w:type="dxa"/>
            <w:vAlign w:val="bottom"/>
            <w:tcBorders>
              <w:right w:val="single" w:sz="8" w:color="auto"/>
            </w:tcBorders>
            <w:shd w:val="clear" w:color="auto" w:fill="E7E6E6"/>
          </w:tcPr>
          <w:p>
            <w:pPr>
              <w:spacing w:after="0"/>
              <w:rPr>
                <w:sz w:val="12"/>
                <w:szCs w:val="12"/>
                <w:color w:val="auto"/>
              </w:rPr>
            </w:pPr>
          </w:p>
        </w:tc>
      </w:tr>
      <w:tr>
        <w:trPr>
          <w:trHeight w:val="140"/>
        </w:trPr>
        <w:tc>
          <w:tcPr>
            <w:tcW w:w="5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Complex Reproductive Health</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46,052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50,155</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49,475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61,741</w:t>
            </w:r>
          </w:p>
        </w:tc>
        <w:tc>
          <w:tcPr>
            <w:tcW w:w="104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67,907</w:t>
            </w:r>
          </w:p>
        </w:tc>
        <w:tc>
          <w:tcPr>
            <w:tcW w:w="100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73,288</w:t>
            </w:r>
          </w:p>
        </w:tc>
      </w:tr>
      <w:tr>
        <w:trPr>
          <w:trHeight w:val="144"/>
        </w:trPr>
        <w:tc>
          <w:tcPr>
            <w:tcW w:w="5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Whole Exome, Whole Genome &amp; NICU</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3,344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6,698</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6,162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6,619</w:t>
            </w:r>
          </w:p>
        </w:tc>
        <w:tc>
          <w:tcPr>
            <w:tcW w:w="1040" w:type="dxa"/>
            <w:vAlign w:val="bottom"/>
            <w:tcBorders>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7,395</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7,572</w:t>
            </w:r>
          </w:p>
        </w:tc>
      </w:tr>
      <w:tr>
        <w:trPr>
          <w:trHeight w:val="146"/>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Other Diagnostic Testing (Excluding COVID)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49,230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54,412</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51,780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53,387</w:t>
            </w:r>
          </w:p>
        </w:tc>
        <w:tc>
          <w:tcPr>
            <w:tcW w:w="104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51,057</w:t>
            </w:r>
          </w:p>
        </w:tc>
        <w:tc>
          <w:tcPr>
            <w:tcW w:w="100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51,802</w:t>
            </w:r>
          </w:p>
        </w:tc>
      </w:tr>
      <w:tr>
        <w:trPr>
          <w:trHeight w:val="142"/>
        </w:trPr>
        <w:tc>
          <w:tcPr>
            <w:tcW w:w="5240" w:type="dxa"/>
            <w:vAlign w:val="bottom"/>
            <w:tcBorders>
              <w:left w:val="single" w:sz="8" w:color="auto"/>
              <w:bottom w:val="single" w:sz="8" w:color="auto"/>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1"/>
                <w:szCs w:val="11"/>
                <w:color w:val="auto"/>
              </w:rPr>
              <w:t>Total Excluding COVID</w:t>
            </w:r>
            <w:r>
              <w:rPr>
                <w:rFonts w:ascii="Times New Roman" w:cs="Times New Roman" w:eastAsia="Times New Roman" w:hAnsi="Times New Roman"/>
                <w:sz w:val="14"/>
                <w:szCs w:val="14"/>
                <w:color w:val="auto"/>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98,626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111,265</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107,417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121,747</w:t>
            </w:r>
          </w:p>
        </w:tc>
        <w:tc>
          <w:tcPr>
            <w:tcW w:w="104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4"/>
              </w:rPr>
              <w:t>126,359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132,662</w:t>
            </w:r>
          </w:p>
        </w:tc>
      </w:tr>
      <w:tr>
        <w:trPr>
          <w:trHeight w:val="284"/>
        </w:trPr>
        <w:tc>
          <w:tcPr>
            <w:tcW w:w="5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Sema4 (Excluding COVID)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66,945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72,083</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69,895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82,966</w:t>
            </w:r>
          </w:p>
        </w:tc>
        <w:tc>
          <w:tcPr>
            <w:tcW w:w="104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84,925</w:t>
            </w:r>
          </w:p>
        </w:tc>
        <w:tc>
          <w:tcPr>
            <w:tcW w:w="100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87,094</w:t>
            </w:r>
          </w:p>
        </w:tc>
      </w:tr>
      <w:tr>
        <w:trPr>
          <w:trHeight w:val="146"/>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GeneDx</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31,681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39,182</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37,522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38,781</w:t>
            </w:r>
          </w:p>
        </w:tc>
        <w:tc>
          <w:tcPr>
            <w:tcW w:w="104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41,434</w:t>
            </w:r>
          </w:p>
        </w:tc>
        <w:tc>
          <w:tcPr>
            <w:tcW w:w="100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45,568</w:t>
            </w:r>
          </w:p>
        </w:tc>
      </w:tr>
      <w:tr>
        <w:trPr>
          <w:trHeight w:val="142"/>
        </w:trPr>
        <w:tc>
          <w:tcPr>
            <w:tcW w:w="5240" w:type="dxa"/>
            <w:vAlign w:val="bottom"/>
            <w:tcBorders>
              <w:left w:val="single" w:sz="8" w:color="auto"/>
              <w:bottom w:val="single" w:sz="8" w:color="auto"/>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1"/>
                <w:szCs w:val="11"/>
                <w:color w:val="auto"/>
              </w:rPr>
              <w:t>Total Excluding COVID</w:t>
            </w:r>
            <w:r>
              <w:rPr>
                <w:rFonts w:ascii="Times New Roman" w:cs="Times New Roman" w:eastAsia="Times New Roman" w:hAnsi="Times New Roman"/>
                <w:sz w:val="14"/>
                <w:szCs w:val="14"/>
                <w:color w:val="auto"/>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98,626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111,265</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107,417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121,747</w:t>
            </w:r>
          </w:p>
        </w:tc>
        <w:tc>
          <w:tcPr>
            <w:tcW w:w="104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4"/>
              </w:rPr>
              <w:t>126,359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132,662</w:t>
            </w:r>
          </w:p>
        </w:tc>
      </w:tr>
      <w:tr>
        <w:trPr>
          <w:trHeight w:val="144"/>
        </w:trPr>
        <w:tc>
          <w:tcPr>
            <w:tcW w:w="524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44"/>
        </w:trPr>
        <w:tc>
          <w:tcPr>
            <w:tcW w:w="5240" w:type="dxa"/>
            <w:vAlign w:val="bottom"/>
            <w:tcBorders>
              <w:left w:val="single" w:sz="8" w:color="auto"/>
              <w:right w:val="single" w:sz="8" w:color="auto"/>
            </w:tcBorders>
            <w:shd w:val="clear" w:color="auto" w:fill="E7E6E6"/>
          </w:tcPr>
          <w:p>
            <w:pPr>
              <w:ind w:left="40"/>
              <w:spacing w:after="0" w:line="144" w:lineRule="exact"/>
              <w:rPr>
                <w:sz w:val="20"/>
                <w:szCs w:val="20"/>
                <w:color w:val="auto"/>
              </w:rPr>
            </w:pPr>
            <w:r>
              <w:rPr>
                <w:rFonts w:ascii="Times New Roman" w:cs="Times New Roman" w:eastAsia="Times New Roman" w:hAnsi="Times New Roman"/>
                <w:sz w:val="11"/>
                <w:szCs w:val="11"/>
                <w:b w:val="1"/>
                <w:bCs w:val="1"/>
                <w:color w:val="auto"/>
              </w:rPr>
              <w:t>Pro Forma Revenue</w:t>
            </w:r>
            <w:r>
              <w:rPr>
                <w:rFonts w:ascii="Times New Roman" w:cs="Times New Roman" w:eastAsia="Times New Roman" w:hAnsi="Times New Roman"/>
                <w:sz w:val="14"/>
                <w:szCs w:val="14"/>
                <w:b w:val="1"/>
                <w:bCs w:val="1"/>
                <w:color w:val="auto"/>
                <w:vertAlign w:val="superscript"/>
              </w:rPr>
              <w:t>2</w:t>
            </w:r>
          </w:p>
        </w:tc>
        <w:tc>
          <w:tcPr>
            <w:tcW w:w="90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c>
          <w:tcPr>
            <w:tcW w:w="102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c>
          <w:tcPr>
            <w:tcW w:w="1000" w:type="dxa"/>
            <w:vAlign w:val="bottom"/>
            <w:tcBorders>
              <w:right w:val="single" w:sz="8" w:color="auto"/>
            </w:tcBorders>
            <w:shd w:val="clear" w:color="auto" w:fill="E7E6E6"/>
          </w:tcPr>
          <w:p>
            <w:pPr>
              <w:spacing w:after="0"/>
              <w:rPr>
                <w:sz w:val="12"/>
                <w:szCs w:val="12"/>
                <w:color w:val="auto"/>
              </w:rPr>
            </w:pPr>
          </w:p>
        </w:tc>
      </w:tr>
      <w:tr>
        <w:trPr>
          <w:trHeight w:val="140"/>
        </w:trPr>
        <w:tc>
          <w:tcPr>
            <w:tcW w:w="5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Complex Reproductive Health</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$46.5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$41.3</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$37.6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$46.2</w:t>
            </w:r>
          </w:p>
        </w:tc>
        <w:tc>
          <w:tcPr>
            <w:tcW w:w="1040" w:type="dxa"/>
            <w:vAlign w:val="bottom"/>
            <w:tcBorders>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$48.3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$8.2</w:t>
            </w:r>
          </w:p>
        </w:tc>
      </w:tr>
      <w:tr>
        <w:trPr>
          <w:trHeight w:val="144"/>
        </w:trPr>
        <w:tc>
          <w:tcPr>
            <w:tcW w:w="5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Whole Exome, Whole Genome &amp; NICU</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$8.4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$13.5</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$14.2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$15.3</w:t>
            </w:r>
          </w:p>
        </w:tc>
        <w:tc>
          <w:tcPr>
            <w:tcW w:w="1040" w:type="dxa"/>
            <w:vAlign w:val="bottom"/>
            <w:tcBorders>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$18.4</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$21.1</w:t>
            </w:r>
          </w:p>
        </w:tc>
      </w:tr>
      <w:tr>
        <w:trPr>
          <w:trHeight w:val="144"/>
        </w:trPr>
        <w:tc>
          <w:tcPr>
            <w:tcW w:w="5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Other Diagnostic Testing (Excluding COVID)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$14.8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$15.7</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$15.2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$15.7</w:t>
            </w:r>
          </w:p>
        </w:tc>
        <w:tc>
          <w:tcPr>
            <w:tcW w:w="1040" w:type="dxa"/>
            <w:vAlign w:val="bottom"/>
            <w:tcBorders>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$17.9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$16.5</w:t>
            </w:r>
          </w:p>
        </w:tc>
      </w:tr>
      <w:tr>
        <w:trPr>
          <w:trHeight w:val="144"/>
        </w:trPr>
        <w:tc>
          <w:tcPr>
            <w:tcW w:w="5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COVID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$15.9</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$3.8</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$4.2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$10.5</w:t>
            </w:r>
          </w:p>
        </w:tc>
        <w:tc>
          <w:tcPr>
            <w:tcW w:w="104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3"/>
              </w:rPr>
              <w:t>$3.8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$0.3</w:t>
            </w:r>
          </w:p>
        </w:tc>
      </w:tr>
      <w:tr>
        <w:trPr>
          <w:trHeight w:val="146"/>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Pharma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$1.4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$2.2</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$1.8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$2.4</w:t>
            </w:r>
          </w:p>
        </w:tc>
        <w:tc>
          <w:tcPr>
            <w:tcW w:w="104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3"/>
              </w:rPr>
              <w:t>$1.6</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$2.3</w:t>
            </w:r>
          </w:p>
        </w:tc>
      </w:tr>
      <w:tr>
        <w:trPr>
          <w:trHeight w:val="142"/>
        </w:trPr>
        <w:tc>
          <w:tcPr>
            <w:tcW w:w="5240" w:type="dxa"/>
            <w:vAlign w:val="bottom"/>
            <w:tcBorders>
              <w:left w:val="single" w:sz="8" w:color="auto"/>
              <w:bottom w:val="single" w:sz="8" w:color="auto"/>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1"/>
                <w:szCs w:val="11"/>
                <w:color w:val="auto"/>
              </w:rPr>
              <w:t>Total</w:t>
            </w:r>
            <w:r>
              <w:rPr>
                <w:rFonts w:ascii="Times New Roman" w:cs="Times New Roman" w:eastAsia="Times New Roman" w:hAnsi="Times New Roman"/>
                <w:sz w:val="14"/>
                <w:szCs w:val="14"/>
                <w:color w:val="auto"/>
                <w:vertAlign w:val="superscript"/>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$87.0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$76.7</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$90.1</w:t>
            </w:r>
          </w:p>
        </w:tc>
        <w:tc>
          <w:tcPr>
            <w:tcW w:w="104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$90.1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$48.3</w:t>
            </w:r>
          </w:p>
        </w:tc>
      </w:tr>
      <w:tr>
        <w:trPr>
          <w:trHeight w:val="144"/>
        </w:trPr>
        <w:tc>
          <w:tcPr>
            <w:tcW w:w="5240" w:type="dxa"/>
            <w:vAlign w:val="bottom"/>
            <w:tcBorders>
              <w:left w:val="single" w:sz="8" w:color="auto"/>
              <w:bottom w:val="single" w:sz="8" w:color="auto"/>
              <w:right w:val="single" w:sz="8" w:color="auto"/>
            </w:tcBorders>
          </w:tcPr>
          <w:p>
            <w:pPr>
              <w:ind w:left="160"/>
              <w:spacing w:after="0" w:line="144" w:lineRule="exact"/>
              <w:rPr>
                <w:sz w:val="20"/>
                <w:szCs w:val="20"/>
                <w:color w:val="auto"/>
              </w:rPr>
            </w:pPr>
            <w:r>
              <w:rPr>
                <w:rFonts w:ascii="Times New Roman" w:cs="Times New Roman" w:eastAsia="Times New Roman" w:hAnsi="Times New Roman"/>
                <w:sz w:val="11"/>
                <w:szCs w:val="11"/>
                <w:color w:val="auto"/>
              </w:rPr>
              <w:t>2Q 2022 Prior Period Revenue Adjustment</w:t>
            </w:r>
            <w:r>
              <w:rPr>
                <w:rFonts w:ascii="Times New Roman" w:cs="Times New Roman" w:eastAsia="Times New Roman" w:hAnsi="Times New Roman"/>
                <w:sz w:val="14"/>
                <w:szCs w:val="14"/>
                <w:color w:val="auto"/>
                <w:vertAlign w:val="superscript"/>
              </w:rPr>
              <w:t>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($30.1)</w:t>
            </w:r>
          </w:p>
        </w:tc>
      </w:tr>
      <w:tr>
        <w:trPr>
          <w:trHeight w:val="131"/>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Adjusted Total</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$87.0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$76.7</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$90.1</w:t>
            </w:r>
          </w:p>
        </w:tc>
        <w:tc>
          <w:tcPr>
            <w:tcW w:w="104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$90.1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$78.4</w:t>
            </w:r>
          </w:p>
        </w:tc>
      </w:tr>
      <w:tr>
        <w:trPr>
          <w:trHeight w:val="142"/>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Adjusted Total Excluding COVID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$71.1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$72.8</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$68.8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$79.6</w:t>
            </w:r>
          </w:p>
        </w:tc>
        <w:tc>
          <w:tcPr>
            <w:tcW w:w="104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$86.3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$78.1</w:t>
            </w:r>
          </w:p>
        </w:tc>
      </w:tr>
      <w:tr>
        <w:trPr>
          <w:trHeight w:val="284"/>
        </w:trPr>
        <w:tc>
          <w:tcPr>
            <w:tcW w:w="5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Sema4</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$64.2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$47.0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$43.2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$57.8</w:t>
            </w:r>
          </w:p>
        </w:tc>
        <w:tc>
          <w:tcPr>
            <w:tcW w:w="1040" w:type="dxa"/>
            <w:vAlign w:val="bottom"/>
            <w:tcBorders>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$53.9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$10.0</w:t>
            </w:r>
          </w:p>
        </w:tc>
      </w:tr>
      <w:tr>
        <w:trPr>
          <w:trHeight w:val="144"/>
        </w:trPr>
        <w:tc>
          <w:tcPr>
            <w:tcW w:w="52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Sema4 Diagnostic Testing (Excluding COVID)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$48.3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$43.2</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$39.0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$47.3</w:t>
            </w:r>
          </w:p>
        </w:tc>
        <w:tc>
          <w:tcPr>
            <w:tcW w:w="1040" w:type="dxa"/>
            <w:vAlign w:val="bottom"/>
            <w:tcBorders>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$50.1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$9.8</w:t>
            </w:r>
          </w:p>
        </w:tc>
      </w:tr>
      <w:tr>
        <w:trPr>
          <w:trHeight w:val="144"/>
        </w:trPr>
        <w:tc>
          <w:tcPr>
            <w:tcW w:w="52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Sema4 COVID Testing</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$15.9</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$3.8</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$4.2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$10.5</w:t>
            </w:r>
          </w:p>
        </w:tc>
        <w:tc>
          <w:tcPr>
            <w:tcW w:w="104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3"/>
              </w:rPr>
              <w:t>$3.8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$0.3</w:t>
            </w:r>
          </w:p>
        </w:tc>
      </w:tr>
      <w:tr>
        <w:trPr>
          <w:trHeight w:val="144"/>
        </w:trPr>
        <w:tc>
          <w:tcPr>
            <w:tcW w:w="52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Sema4 Pharma</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$1.4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$2.2</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$1.7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$1.4</w:t>
            </w:r>
          </w:p>
        </w:tc>
        <w:tc>
          <w:tcPr>
            <w:tcW w:w="104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3"/>
              </w:rPr>
              <w:t>$1.4</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$1.7</w:t>
            </w:r>
          </w:p>
        </w:tc>
      </w:tr>
      <w:tr>
        <w:trPr>
          <w:trHeight w:val="146"/>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GeneDx</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$22.8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$29.6</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$29.8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$32.3</w:t>
            </w:r>
          </w:p>
        </w:tc>
        <w:tc>
          <w:tcPr>
            <w:tcW w:w="104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$36.1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$38.3</w:t>
            </w:r>
          </w:p>
        </w:tc>
      </w:tr>
      <w:tr>
        <w:trPr>
          <w:trHeight w:val="142"/>
        </w:trPr>
        <w:tc>
          <w:tcPr>
            <w:tcW w:w="5240" w:type="dxa"/>
            <w:vAlign w:val="bottom"/>
            <w:tcBorders>
              <w:left w:val="single" w:sz="8" w:color="auto"/>
              <w:bottom w:val="single" w:sz="8" w:color="auto"/>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1"/>
                <w:szCs w:val="11"/>
                <w:color w:val="auto"/>
              </w:rPr>
              <w:t>Total</w:t>
            </w:r>
            <w:r>
              <w:rPr>
                <w:rFonts w:ascii="Times New Roman" w:cs="Times New Roman" w:eastAsia="Times New Roman" w:hAnsi="Times New Roman"/>
                <w:sz w:val="14"/>
                <w:szCs w:val="14"/>
                <w:color w:val="auto"/>
                <w:vertAlign w:val="superscript"/>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$87.0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$76.7</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$90.1</w:t>
            </w:r>
          </w:p>
        </w:tc>
        <w:tc>
          <w:tcPr>
            <w:tcW w:w="104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$90.1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$48.3</w:t>
            </w:r>
          </w:p>
        </w:tc>
      </w:tr>
      <w:tr>
        <w:trPr>
          <w:trHeight w:val="144"/>
        </w:trPr>
        <w:tc>
          <w:tcPr>
            <w:tcW w:w="5240" w:type="dxa"/>
            <w:vAlign w:val="bottom"/>
            <w:tcBorders>
              <w:left w:val="single" w:sz="8" w:color="auto"/>
              <w:bottom w:val="single" w:sz="8" w:color="auto"/>
              <w:right w:val="single" w:sz="8" w:color="auto"/>
            </w:tcBorders>
          </w:tcPr>
          <w:p>
            <w:pPr>
              <w:ind w:left="160"/>
              <w:spacing w:after="0" w:line="144" w:lineRule="exact"/>
              <w:rPr>
                <w:sz w:val="20"/>
                <w:szCs w:val="20"/>
                <w:color w:val="auto"/>
              </w:rPr>
            </w:pPr>
            <w:r>
              <w:rPr>
                <w:rFonts w:ascii="Times New Roman" w:cs="Times New Roman" w:eastAsia="Times New Roman" w:hAnsi="Times New Roman"/>
                <w:sz w:val="11"/>
                <w:szCs w:val="11"/>
                <w:color w:val="auto"/>
              </w:rPr>
              <w:t>2Q 2022 Prior Period Revenue Adjustment</w:t>
            </w:r>
            <w:r>
              <w:rPr>
                <w:rFonts w:ascii="Times New Roman" w:cs="Times New Roman" w:eastAsia="Times New Roman" w:hAnsi="Times New Roman"/>
                <w:sz w:val="14"/>
                <w:szCs w:val="14"/>
                <w:color w:val="auto"/>
                <w:vertAlign w:val="superscript"/>
              </w:rPr>
              <w:t>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($30.1)</w:t>
            </w:r>
          </w:p>
        </w:tc>
      </w:tr>
      <w:tr>
        <w:trPr>
          <w:trHeight w:val="140"/>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Adjusted Total</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$87.0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$76.7</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$90.1</w:t>
            </w:r>
          </w:p>
        </w:tc>
        <w:tc>
          <w:tcPr>
            <w:tcW w:w="104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6"/>
              </w:rPr>
              <w:t>$90.1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$78.4</w:t>
            </w:r>
          </w:p>
        </w:tc>
      </w:tr>
      <w:tr>
        <w:trPr>
          <w:trHeight w:val="14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Adjusted Total Excluding COVID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$71.1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$72.8</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$68.8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$79.6</w:t>
            </w:r>
          </w:p>
        </w:tc>
        <w:tc>
          <w:tcPr>
            <w:tcW w:w="104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$86.3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$78.1</w:t>
            </w:r>
          </w:p>
        </w:tc>
      </w:tr>
    </w:tbl>
    <w:p>
      <w:pPr>
        <w:spacing w:after="0" w:line="238" w:lineRule="exact"/>
        <w:rPr>
          <w:sz w:val="20"/>
          <w:szCs w:val="20"/>
          <w:color w:val="auto"/>
        </w:rPr>
      </w:pPr>
    </w:p>
    <w:p>
      <w:pPr>
        <w:ind w:left="40" w:right="160" w:hanging="3"/>
        <w:spacing w:after="0" w:line="188" w:lineRule="auto"/>
        <w:tabs>
          <w:tab w:leader="none" w:pos="95" w:val="left"/>
        </w:tabs>
        <w:numPr>
          <w:ilvl w:val="0"/>
          <w:numId w:val="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Pro forma volume and revenue metrics assume GeneDx was owned for the entirety of the applicable quarter and are calculated based on the sum of each of Sema4’s and GeneDx’s historical volumes or revenues, as applicable. Pro forma metrics are presented for illustrative purposes only and are not necessarily indicative of the results that would have occurred had the GeneDx acquisition been completed on such dates or that may occur in the future.</w:t>
      </w:r>
    </w:p>
    <w:p>
      <w:pPr>
        <w:ind w:left="40"/>
        <w:spacing w:after="0" w:line="229"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6"/>
          <w:szCs w:val="6"/>
          <w:color w:val="auto"/>
        </w:rPr>
        <w:t xml:space="preserve">2 </w:t>
      </w:r>
      <w:r>
        <w:rPr>
          <w:rFonts w:ascii="Times New Roman" w:cs="Times New Roman" w:eastAsia="Times New Roman" w:hAnsi="Times New Roman"/>
          <w:sz w:val="9"/>
          <w:szCs w:val="9"/>
          <w:color w:val="auto"/>
        </w:rPr>
        <w:t>Represents aggregated Resulted Volume and Revenue from GeneDx and Sema4.</w:t>
      </w:r>
    </w:p>
    <w:p>
      <w:pPr>
        <w:ind w:left="40" w:right="7380"/>
        <w:spacing w:after="0" w:line="217"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2"/>
          <w:szCs w:val="12"/>
          <w:color w:val="auto"/>
          <w:vertAlign w:val="superscript"/>
        </w:rPr>
        <w:t>3</w:t>
      </w:r>
      <w:r>
        <w:rPr>
          <w:rFonts w:ascii="Times New Roman" w:cs="Times New Roman" w:eastAsia="Times New Roman" w:hAnsi="Times New Roman"/>
          <w:sz w:val="10"/>
          <w:szCs w:val="10"/>
          <w:color w:val="auto"/>
        </w:rPr>
        <w:t xml:space="preserve"> 30.1 million of revenue adjustments recorded related to prior periods due to our change in estimate. </w:t>
      </w:r>
      <w:r>
        <w:rPr>
          <w:rFonts w:ascii="Times New Roman" w:cs="Times New Roman" w:eastAsia="Times New Roman" w:hAnsi="Times New Roman"/>
          <w:sz w:val="12"/>
          <w:szCs w:val="12"/>
          <w:color w:val="auto"/>
          <w:vertAlign w:val="superscript"/>
        </w:rPr>
        <w:t>4</w:t>
      </w:r>
      <w:r>
        <w:rPr>
          <w:rFonts w:ascii="Times New Roman" w:cs="Times New Roman" w:eastAsia="Times New Roman" w:hAnsi="Times New Roman"/>
          <w:sz w:val="10"/>
          <w:szCs w:val="10"/>
          <w:color w:val="auto"/>
        </w:rPr>
        <w:t xml:space="preserve"> 2Q22 results include GeneDx for the entirety of the second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1217" w:right="319" w:bottom="1440" w:gutter="0" w:footer="0" w:header="0"/>
        </w:sectPr>
      </w:pPr>
    </w:p>
    <w:bookmarkStart w:id="7" w:name="page8"/>
    <w:bookmarkEnd w:id="7"/>
    <w:p>
      <w:pPr>
        <w:ind w:left="5060"/>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spacing w:after="0" w:line="3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8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620" w:type="dxa"/>
            <w:vAlign w:val="bottom"/>
            <w:gridSpan w:val="3"/>
          </w:tcPr>
          <w:p>
            <w:pPr>
              <w:jc w:val="center"/>
              <w:ind w:left="262"/>
              <w:spacing w:after="0"/>
              <w:rPr>
                <w:sz w:val="20"/>
                <w:szCs w:val="20"/>
                <w:color w:val="auto"/>
              </w:rPr>
            </w:pPr>
            <w:r>
              <w:rPr>
                <w:rFonts w:ascii="Times New Roman" w:cs="Times New Roman" w:eastAsia="Times New Roman" w:hAnsi="Times New Roman"/>
                <w:sz w:val="10"/>
                <w:szCs w:val="10"/>
                <w:b w:val="1"/>
                <w:bCs w:val="1"/>
                <w:color w:val="auto"/>
                <w:w w:val="95"/>
              </w:rPr>
              <w:t>June 30, 2022 (unaudited)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41"/>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43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20" w:type="dxa"/>
            <w:vAlign w:val="bottom"/>
            <w:gridSpan w:val="2"/>
            <w:shd w:val="clear" w:color="auto" w:fill="CCEEFF"/>
          </w:tcPr>
          <w:p>
            <w:pPr>
              <w:jc w:val="center"/>
              <w:ind w:left="516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284,647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400,569</w:t>
            </w:r>
          </w:p>
        </w:tc>
      </w:tr>
      <w:tr>
        <w:trPr>
          <w:trHeight w:val="153"/>
        </w:trPr>
        <w:tc>
          <w:tcPr>
            <w:tcW w:w="3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net</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45,803</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26,509</w:t>
            </w:r>
          </w:p>
        </w:tc>
      </w:tr>
      <w:tr>
        <w:trPr>
          <w:trHeight w:val="15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Due from related parties</w:t>
            </w:r>
          </w:p>
        </w:tc>
        <w:tc>
          <w:tcPr>
            <w:tcW w:w="4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53"/>
        </w:trPr>
        <w:tc>
          <w:tcPr>
            <w:tcW w:w="3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Inventory, net</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41,601</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33,456</w:t>
            </w:r>
          </w:p>
        </w:tc>
      </w:tr>
      <w:tr>
        <w:trPr>
          <w:trHeight w:val="15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w:t>
            </w:r>
          </w:p>
        </w:tc>
        <w:tc>
          <w:tcPr>
            <w:tcW w:w="4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21,547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19,154</w:t>
            </w:r>
          </w:p>
        </w:tc>
      </w:tr>
      <w:tr>
        <w:trPr>
          <w:trHeight w:val="153"/>
        </w:trPr>
        <w:tc>
          <w:tcPr>
            <w:tcW w:w="3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current assets</w:t>
            </w:r>
          </w:p>
        </w:tc>
        <w:tc>
          <w:tcPr>
            <w:tcW w:w="43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7,993</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3,802</w:t>
            </w:r>
          </w:p>
        </w:tc>
      </w:tr>
      <w:tr>
        <w:trPr>
          <w:trHeight w:val="142"/>
        </w:trPr>
        <w:tc>
          <w:tcPr>
            <w:tcW w:w="38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43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ind w:left="86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402,701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483,544</w:t>
            </w: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44,038</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4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89,455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62,719</w:t>
            </w: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193,663</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4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181,184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14,370</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w:t>
            </w:r>
          </w:p>
        </w:tc>
      </w:tr>
      <w:tr>
        <w:trPr>
          <w:trHeight w:val="15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43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7,869</w:t>
            </w:r>
          </w:p>
        </w:tc>
        <w:tc>
          <w:tcPr>
            <w:tcW w:w="1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6,930</w:t>
            </w:r>
          </w:p>
        </w:tc>
      </w:tr>
      <w:tr>
        <w:trPr>
          <w:trHeight w:val="158"/>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assets</w:t>
            </w:r>
          </w:p>
        </w:tc>
        <w:tc>
          <w:tcPr>
            <w:tcW w:w="43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ind w:left="86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933,280</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554,093</w:t>
            </w:r>
          </w:p>
        </w:tc>
      </w:tr>
      <w:tr>
        <w:trPr>
          <w:trHeight w:val="135"/>
        </w:trPr>
        <w:tc>
          <w:tcPr>
            <w:tcW w:w="38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4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5320" w:type="dxa"/>
            <w:vAlign w:val="bottom"/>
            <w:gridSpan w:val="2"/>
            <w:shd w:val="clear" w:color="auto" w:fill="CCEEFF"/>
          </w:tcPr>
          <w:p>
            <w:pPr>
              <w:jc w:val="center"/>
              <w:ind w:left="516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115,878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64,801</w:t>
            </w:r>
          </w:p>
        </w:tc>
      </w:tr>
      <w:tr>
        <w:trPr>
          <w:trHeight w:val="153"/>
        </w:trPr>
        <w:tc>
          <w:tcPr>
            <w:tcW w:w="3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Due to related parties</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2,354</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2,623</w:t>
            </w:r>
          </w:p>
        </w:tc>
      </w:tr>
      <w:tr>
        <w:trPr>
          <w:trHeight w:val="15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Contract liabilities</w:t>
            </w:r>
          </w:p>
        </w:tc>
        <w:tc>
          <w:tcPr>
            <w:tcW w:w="4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r>
      <w:tr>
        <w:trPr>
          <w:trHeight w:val="153"/>
        </w:trPr>
        <w:tc>
          <w:tcPr>
            <w:tcW w:w="3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4,755</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43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81,619</w:t>
            </w:r>
          </w:p>
        </w:tc>
        <w:tc>
          <w:tcPr>
            <w:tcW w:w="1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33,387</w:t>
            </w:r>
          </w:p>
        </w:tc>
      </w:tr>
      <w:tr>
        <w:trPr>
          <w:trHeight w:val="142"/>
        </w:trPr>
        <w:tc>
          <w:tcPr>
            <w:tcW w:w="382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4300" w:type="dxa"/>
            <w:vAlign w:val="bottom"/>
          </w:tcPr>
          <w:p>
            <w:pPr>
              <w:spacing w:after="0"/>
              <w:rPr>
                <w:sz w:val="12"/>
                <w:szCs w:val="12"/>
                <w:color w:val="auto"/>
              </w:rPr>
            </w:pPr>
          </w:p>
        </w:tc>
        <w:tc>
          <w:tcPr>
            <w:tcW w:w="1020" w:type="dxa"/>
            <w:vAlign w:val="bottom"/>
          </w:tcPr>
          <w:p>
            <w:pPr>
              <w:jc w:val="center"/>
              <w:ind w:left="86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204,606</w:t>
            </w: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101,284</w:t>
            </w:r>
          </w:p>
        </w:tc>
      </w:tr>
      <w:tr>
        <w:trPr>
          <w:trHeight w:val="15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4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11,000</w:t>
            </w: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62,806</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4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21,907</w:t>
            </w: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2,668</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4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21,555</w:t>
            </w:r>
          </w:p>
        </w:tc>
      </w:tr>
      <w:tr>
        <w:trPr>
          <w:trHeight w:val="153"/>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Earn-out contingent liabilities</w:t>
            </w:r>
          </w:p>
        </w:tc>
        <w:tc>
          <w:tcPr>
            <w:tcW w:w="43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7,168</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10,244</w:t>
            </w:r>
          </w:p>
        </w:tc>
      </w:tr>
      <w:tr>
        <w:trPr>
          <w:trHeight w:val="162"/>
        </w:trPr>
        <w:tc>
          <w:tcPr>
            <w:tcW w:w="3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4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left="86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296,006</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165,990</w:t>
            </w:r>
          </w:p>
        </w:tc>
      </w:tr>
      <w:tr>
        <w:trPr>
          <w:trHeight w:val="131"/>
        </w:trPr>
        <w:tc>
          <w:tcPr>
            <w:tcW w:w="382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4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4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80"/>
        </w:trPr>
        <w:tc>
          <w:tcPr>
            <w:tcW w:w="3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4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7"/>
        </w:trPr>
        <w:tc>
          <w:tcPr>
            <w:tcW w:w="38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7"/>
        </w:trPr>
        <w:tc>
          <w:tcPr>
            <w:tcW w:w="3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A common stock</w:t>
            </w:r>
          </w:p>
        </w:tc>
        <w:tc>
          <w:tcPr>
            <w:tcW w:w="4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80"/>
        </w:trPr>
        <w:tc>
          <w:tcPr>
            <w:tcW w:w="3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4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1,375,315</w:t>
            </w:r>
          </w:p>
        </w:tc>
        <w:tc>
          <w:tcPr>
            <w:tcW w:w="100" w:type="dxa"/>
            <w:vAlign w:val="bottom"/>
          </w:tcPr>
          <w:p>
            <w:pPr>
              <w:spacing w:after="0"/>
              <w:rPr>
                <w:sz w:val="15"/>
                <w:szCs w:val="15"/>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7"/>
              </w:rPr>
              <w:t>963,520</w:t>
            </w:r>
          </w:p>
        </w:tc>
      </w:tr>
      <w:tr>
        <w:trPr>
          <w:trHeight w:val="27"/>
        </w:trPr>
        <w:tc>
          <w:tcPr>
            <w:tcW w:w="38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5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43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(738,079)</w:t>
            </w:r>
          </w:p>
        </w:tc>
        <w:tc>
          <w:tcPr>
            <w:tcW w:w="1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(575,441)</w:t>
            </w:r>
          </w:p>
        </w:tc>
      </w:tr>
      <w:tr>
        <w:trPr>
          <w:trHeight w:val="142"/>
        </w:trPr>
        <w:tc>
          <w:tcPr>
            <w:tcW w:w="3820" w:type="dxa"/>
            <w:vAlign w:val="bottom"/>
            <w:tcBorders>
              <w:bottom w:val="single" w:sz="8" w:color="CCEEFF"/>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43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637,274</w:t>
            </w: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388,103</w:t>
            </w:r>
          </w:p>
        </w:tc>
      </w:tr>
      <w:tr>
        <w:trPr>
          <w:trHeight w:val="178"/>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5320" w:type="dxa"/>
            <w:vAlign w:val="bottom"/>
            <w:gridSpan w:val="2"/>
            <w:shd w:val="clear" w:color="auto" w:fill="CCEEFF"/>
          </w:tcPr>
          <w:p>
            <w:pPr>
              <w:jc w:val="center"/>
              <w:ind w:left="516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933,280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554,093</w:t>
            </w:r>
          </w:p>
        </w:tc>
      </w:tr>
      <w:tr>
        <w:trPr>
          <w:trHeight w:val="484"/>
        </w:trPr>
        <w:tc>
          <w:tcPr>
            <w:tcW w:w="3820" w:type="dxa"/>
            <w:vAlign w:val="bottom"/>
            <w:tcBorders>
              <w:top w:val="single" w:sz="8" w:color="CCEEFF"/>
            </w:tcBorders>
          </w:tcPr>
          <w:p>
            <w:pPr>
              <w:spacing w:after="0"/>
              <w:rPr>
                <w:sz w:val="24"/>
                <w:szCs w:val="24"/>
                <w:color w:val="auto"/>
              </w:rPr>
            </w:pPr>
          </w:p>
        </w:tc>
        <w:tc>
          <w:tcPr>
            <w:tcW w:w="4300" w:type="dxa"/>
            <w:vAlign w:val="bottom"/>
            <w:tcBorders>
              <w:top w:val="single" w:sz="8" w:color="CCEEFF"/>
            </w:tcBorders>
          </w:tcPr>
          <w:p>
            <w:pPr>
              <w:jc w:val="right"/>
              <w:ind w:right="2380"/>
              <w:spacing w:after="0"/>
              <w:rPr>
                <w:sz w:val="20"/>
                <w:szCs w:val="20"/>
                <w:color w:val="auto"/>
              </w:rPr>
            </w:pPr>
            <w:r>
              <w:rPr>
                <w:rFonts w:ascii="Times New Roman" w:cs="Times New Roman" w:eastAsia="Times New Roman" w:hAnsi="Times New Roman"/>
                <w:sz w:val="12"/>
                <w:szCs w:val="12"/>
                <w:color w:val="auto"/>
              </w:rPr>
              <w:t>5</w:t>
            </w: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bl>
    <w:p>
      <w:pPr>
        <w:sectPr>
          <w:pgSz w:w="11900" w:h="16838" w:orient="portrait"/>
          <w:cols w:equalWidth="0" w:num="1">
            <w:col w:w="11280"/>
          </w:cols>
          <w:pgMar w:left="300" w:top="1331" w:right="319" w:bottom="1440" w:gutter="0" w:footer="0" w:header="0"/>
        </w:sectPr>
      </w:pPr>
    </w:p>
    <w:bookmarkStart w:id="8" w:name="page9"/>
    <w:bookmarkEnd w:id="8"/>
    <w:p>
      <w:pPr>
        <w:ind w:left="5068"/>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spacing w:after="0" w:line="33" w:lineRule="exact"/>
        <w:rPr>
          <w:sz w:val="20"/>
          <w:szCs w:val="20"/>
          <w:color w:val="auto"/>
        </w:rPr>
      </w:pPr>
    </w:p>
    <w:p>
      <w:pPr>
        <w:ind w:left="3688"/>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spacing w:after="0" w:line="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48"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360" w:type="dxa"/>
            <w:vAlign w:val="bottom"/>
          </w:tcPr>
          <w:p>
            <w:pPr>
              <w:spacing w:after="0"/>
              <w:rPr>
                <w:sz w:val="11"/>
                <w:szCs w:val="11"/>
                <w:color w:val="auto"/>
              </w:rPr>
            </w:pPr>
          </w:p>
        </w:tc>
        <w:tc>
          <w:tcPr>
            <w:tcW w:w="230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0"/>
                <w:szCs w:val="10"/>
                <w:b w:val="1"/>
                <w:bCs w:val="1"/>
                <w:color w:val="auto"/>
                <w:w w:val="98"/>
              </w:rPr>
              <w:t>Three months ended June 30,</w:t>
            </w:r>
          </w:p>
        </w:tc>
        <w:tc>
          <w:tcPr>
            <w:tcW w:w="5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r>
        <w:trPr>
          <w:trHeight w:val="128"/>
        </w:trPr>
        <w:tc>
          <w:tcPr>
            <w:tcW w:w="436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2021 (1)</w:t>
            </w:r>
          </w:p>
        </w:tc>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rPr>
              <w:t>2021 (1)</w:t>
            </w:r>
          </w:p>
        </w:tc>
        <w:tc>
          <w:tcPr>
            <w:tcW w:w="500" w:type="dxa"/>
            <w:vAlign w:val="bottom"/>
            <w:tcBorders>
              <w:bottom w:val="single" w:sz="8" w:color="auto"/>
            </w:tcBorders>
          </w:tcPr>
          <w:p>
            <w:pPr>
              <w:spacing w:after="0"/>
              <w:rPr>
                <w:sz w:val="11"/>
                <w:szCs w:val="11"/>
                <w:color w:val="auto"/>
              </w:rPr>
            </w:pPr>
          </w:p>
        </w:tc>
      </w:tr>
      <w:tr>
        <w:trPr>
          <w:trHeight w:val="1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0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207"/>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Diagnostic test revenue</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34,004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44,803</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86,499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107,563</w:t>
            </w:r>
          </w:p>
        </w:tc>
      </w:tr>
      <w:tr>
        <w:trPr>
          <w:trHeight w:val="207"/>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w:t>
            </w:r>
          </w:p>
        </w:tc>
        <w:tc>
          <w:tcPr>
            <w:tcW w:w="10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2,165</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2,212</w:t>
            </w:r>
          </w:p>
        </w:tc>
        <w:tc>
          <w:tcPr>
            <w:tcW w:w="4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w:t>
            </w: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3,653</w:t>
            </w:r>
          </w:p>
        </w:tc>
      </w:tr>
      <w:tr>
        <w:trPr>
          <w:trHeight w:val="142"/>
        </w:trPr>
        <w:tc>
          <w:tcPr>
            <w:tcW w:w="4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10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36,169</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47,015</w:t>
            </w:r>
          </w:p>
        </w:tc>
        <w:tc>
          <w:tcPr>
            <w:tcW w:w="4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90,110</w:t>
            </w: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111,216</w:t>
            </w:r>
          </w:p>
        </w:tc>
      </w:tr>
      <w:tr>
        <w:trPr>
          <w:trHeight w:val="17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10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65,767</w:t>
            </w:r>
          </w:p>
        </w:tc>
        <w:tc>
          <w:tcPr>
            <w:tcW w:w="3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48,179</w:t>
            </w:r>
          </w:p>
        </w:tc>
        <w:tc>
          <w:tcPr>
            <w:tcW w:w="4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114,083</w:t>
            </w:r>
          </w:p>
        </w:tc>
        <w:tc>
          <w:tcPr>
            <w:tcW w:w="2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116,703</w:t>
            </w:r>
          </w:p>
        </w:tc>
      </w:tr>
      <w:tr>
        <w:trPr>
          <w:trHeight w:val="142"/>
        </w:trPr>
        <w:tc>
          <w:tcPr>
            <w:tcW w:w="4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Gross profit (loss)</w:t>
            </w:r>
          </w:p>
        </w:tc>
        <w:tc>
          <w:tcPr>
            <w:tcW w:w="10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(29,598)</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4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(23,973)</w:t>
            </w: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(5,487)</w:t>
            </w:r>
          </w:p>
        </w:tc>
      </w:tr>
      <w:tr>
        <w:trPr>
          <w:trHeight w:val="14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27,168</w:t>
            </w: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11,952</w:t>
            </w: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48,483</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65,085</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10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36,118</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18,574</w:t>
            </w: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65,665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53,940</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68,034</w:t>
            </w: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12,870</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110,818</w:t>
            </w: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114,908</w:t>
            </w:r>
          </w:p>
        </w:tc>
      </w:tr>
      <w:tr>
        <w:trPr>
          <w:trHeight w:val="153"/>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Related party expenses</w:t>
            </w:r>
          </w:p>
        </w:tc>
        <w:tc>
          <w:tcPr>
            <w:tcW w:w="10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1,731</w:t>
            </w:r>
          </w:p>
        </w:tc>
        <w:tc>
          <w:tcPr>
            <w:tcW w:w="3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888</w:t>
            </w:r>
          </w:p>
        </w:tc>
        <w:tc>
          <w:tcPr>
            <w:tcW w:w="4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3,015</w:t>
            </w:r>
          </w:p>
        </w:tc>
        <w:tc>
          <w:tcPr>
            <w:tcW w:w="2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2,685</w:t>
            </w:r>
          </w:p>
        </w:tc>
      </w:tr>
      <w:tr>
        <w:trPr>
          <w:trHeight w:val="142"/>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Loss from operations</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(162,649)</w:t>
            </w:r>
          </w:p>
        </w:tc>
        <w:tc>
          <w:tcPr>
            <w:tcW w:w="3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(45,448)</w:t>
            </w:r>
          </w:p>
        </w:tc>
        <w:tc>
          <w:tcPr>
            <w:tcW w:w="4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(251,954)</w:t>
            </w: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(242,105)</w:t>
            </w:r>
          </w:p>
        </w:tc>
      </w:tr>
      <w:tr>
        <w:trPr>
          <w:trHeight w:val="151"/>
        </w:trPr>
        <w:tc>
          <w:tcPr>
            <w:tcW w:w="4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53"/>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market value of warrant and earn-out contingent liabilities</w:t>
            </w:r>
          </w:p>
        </w:tc>
        <w:tc>
          <w:tcPr>
            <w:tcW w:w="10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28,182</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41,372</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3"/>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0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w:t>
            </w: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(1,598)</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w:t>
            </w:r>
          </w:p>
        </w:tc>
      </w:tr>
      <w:tr>
        <w:trPr>
          <w:trHeight w:val="153"/>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5,584</w:t>
            </w:r>
          </w:p>
        </w:tc>
      </w:tr>
      <w:tr>
        <w:trPr>
          <w:trHeight w:val="142"/>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10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27,830</w:t>
            </w:r>
          </w:p>
        </w:tc>
        <w:tc>
          <w:tcPr>
            <w:tcW w:w="3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(713)</w:t>
            </w:r>
          </w:p>
        </w:tc>
        <w:tc>
          <w:tcPr>
            <w:tcW w:w="4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40,239</w:t>
            </w:r>
          </w:p>
        </w:tc>
        <w:tc>
          <w:tcPr>
            <w:tcW w:w="2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4,169</w:t>
            </w:r>
          </w:p>
        </w:tc>
      </w:tr>
      <w:tr>
        <w:trPr>
          <w:trHeight w:val="14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(134,819)</w:t>
            </w: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(46,161)</w:t>
            </w: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(211,715)</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(237,936)</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10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49,077</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49,077</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and comprehensive loss</w:t>
            </w:r>
          </w:p>
        </w:tc>
        <w:tc>
          <w:tcPr>
            <w:tcW w:w="10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(85,742)</w:t>
            </w:r>
          </w:p>
        </w:tc>
        <w:tc>
          <w:tcPr>
            <w:tcW w:w="3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(46,161)</w:t>
            </w:r>
          </w:p>
        </w:tc>
        <w:tc>
          <w:tcPr>
            <w:tcW w:w="4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(162,638)</w:t>
            </w: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(237,936)</w:t>
            </w:r>
          </w:p>
        </w:tc>
      </w:tr>
      <w:tr>
        <w:trPr>
          <w:trHeight w:val="142"/>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337,752,029</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1,100,734</w:t>
            </w:r>
          </w:p>
        </w:tc>
        <w:tc>
          <w:tcPr>
            <w:tcW w:w="420" w:type="dxa"/>
            <w:vAlign w:val="bottom"/>
          </w:tcPr>
          <w:p>
            <w:pPr>
              <w:spacing w:after="0"/>
              <w:rPr>
                <w:sz w:val="12"/>
                <w:szCs w:val="12"/>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291,318,351</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826,778</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loss per share, Class A common stock</w:t>
            </w:r>
          </w:p>
        </w:tc>
        <w:tc>
          <w:tcPr>
            <w:tcW w:w="10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(41.94)</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(0.56)</w:t>
            </w: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(287.79)</w:t>
            </w:r>
          </w:p>
        </w:tc>
      </w:tr>
    </w:tbl>
    <w:p>
      <w:pPr>
        <w:spacing w:after="0" w:line="162" w:lineRule="exact"/>
        <w:rPr>
          <w:sz w:val="20"/>
          <w:szCs w:val="20"/>
          <w:color w:val="auto"/>
        </w:rPr>
      </w:pPr>
    </w:p>
    <w:p>
      <w:pPr>
        <w:ind w:left="8" w:right="240" w:hanging="8"/>
        <w:spacing w:after="0" w:line="282" w:lineRule="auto"/>
        <w:tabs>
          <w:tab w:leader="none" w:pos="161"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8"/>
          </w:cols>
          <w:pgMar w:left="292" w:top="953" w:right="299" w:bottom="1440" w:gutter="0" w:footer="0" w:header="0"/>
        </w:sectPr>
      </w:pPr>
    </w:p>
    <w:bookmarkStart w:id="9" w:name="page10"/>
    <w:bookmarkEnd w:id="9"/>
    <w:p>
      <w:pPr>
        <w:ind w:left="5060"/>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spacing w:after="0" w:line="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0"/>
          <w:szCs w:val="10"/>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00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6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6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2021 (1)</w:t>
            </w:r>
          </w:p>
        </w:tc>
      </w:tr>
      <w:tr>
        <w:trPr>
          <w:trHeight w:val="13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r>
      <w:tr>
        <w:trPr>
          <w:trHeight w:val="153"/>
        </w:trPr>
        <w:tc>
          <w:tcPr>
            <w:tcW w:w="8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(162,638)</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(237,936)</w:t>
            </w: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53"/>
        </w:trPr>
        <w:tc>
          <w:tcPr>
            <w:tcW w:w="8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53"/>
        </w:trPr>
        <w:tc>
          <w:tcPr>
            <w:tcW w:w="8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14,767</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10,521</w:t>
            </w:r>
          </w:p>
        </w:tc>
      </w:tr>
      <w:tr>
        <w:trPr>
          <w:trHeight w:val="153"/>
        </w:trPr>
        <w:tc>
          <w:tcPr>
            <w:tcW w:w="8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40,280</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164,443</w:t>
            </w:r>
          </w:p>
        </w:tc>
      </w:tr>
      <w:tr>
        <w:trPr>
          <w:trHeight w:val="153"/>
        </w:trPr>
        <w:tc>
          <w:tcPr>
            <w:tcW w:w="8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Change in fair value of warrant and earn-out contingent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(41,372)</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2B2A29"/>
              </w:rPr>
              <w:t>Income tax benefit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(49,077)</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Provision for excess and obsolete inventory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2,466</w:t>
            </w:r>
          </w:p>
        </w:tc>
      </w:tr>
      <w:tr>
        <w:trPr>
          <w:trHeight w:val="153"/>
        </w:trPr>
        <w:tc>
          <w:tcPr>
            <w:tcW w:w="8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Non-cash lease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r>
      <w:tr>
        <w:trPr>
          <w:trHeight w:val="153"/>
        </w:trPr>
        <w:tc>
          <w:tcPr>
            <w:tcW w:w="8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Amortization of deferred debt issuance costs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Change in operating assets and liabilities, net of effects from purchase of</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63"/>
        </w:trPr>
        <w:tc>
          <w:tcPr>
            <w:tcW w:w="8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business: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1"/>
        </w:trPr>
        <w:tc>
          <w:tcPr>
            <w:tcW w:w="8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2,357</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7,476</w:t>
            </w:r>
          </w:p>
        </w:tc>
      </w:tr>
      <w:tr>
        <w:trPr>
          <w:trHeight w:val="153"/>
        </w:trPr>
        <w:tc>
          <w:tcPr>
            <w:tcW w:w="89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(6,632)</w:t>
            </w:r>
          </w:p>
        </w:tc>
      </w:tr>
      <w:tr>
        <w:trPr>
          <w:trHeight w:val="153"/>
        </w:trPr>
        <w:tc>
          <w:tcPr>
            <w:tcW w:w="8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2,910</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(9,697)</w:t>
            </w:r>
          </w:p>
        </w:tc>
      </w:tr>
      <w:tr>
        <w:trPr>
          <w:trHeight w:val="153"/>
        </w:trPr>
        <w:tc>
          <w:tcPr>
            <w:tcW w:w="89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Due to/from related parties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(1,325)</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r>
      <w:tr>
        <w:trPr>
          <w:trHeight w:val="153"/>
        </w:trPr>
        <w:tc>
          <w:tcPr>
            <w:tcW w:w="8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9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35,712</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10,028</w:t>
            </w:r>
          </w:p>
        </w:tc>
      </w:tr>
      <w:tr>
        <w:trPr>
          <w:trHeight w:val="153"/>
        </w:trPr>
        <w:tc>
          <w:tcPr>
            <w:tcW w:w="8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Contract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w:t>
            </w:r>
          </w:p>
        </w:tc>
      </w:tr>
      <w:tr>
        <w:trPr>
          <w:trHeight w:val="153"/>
        </w:trPr>
        <w:tc>
          <w:tcPr>
            <w:tcW w:w="89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(4,807)</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(7,824)</w:t>
            </w:r>
          </w:p>
        </w:tc>
      </w:tr>
      <w:tr>
        <w:trPr>
          <w:trHeight w:val="142"/>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9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(166,139)</w:t>
            </w:r>
          </w:p>
        </w:tc>
        <w:tc>
          <w:tcPr>
            <w:tcW w:w="8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(67,509)</w:t>
            </w:r>
          </w:p>
        </w:tc>
      </w:tr>
      <w:tr>
        <w:trPr>
          <w:trHeight w:val="178"/>
        </w:trPr>
        <w:tc>
          <w:tcPr>
            <w:tcW w:w="8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53"/>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153"/>
        </w:trPr>
        <w:tc>
          <w:tcPr>
            <w:tcW w:w="8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Purchase of business, net of cash acquired</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(127,004)</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(2,748)</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(3,320)</w:t>
            </w:r>
          </w:p>
        </w:tc>
      </w:tr>
      <w:tr>
        <w:trPr>
          <w:trHeight w:val="153"/>
        </w:trPr>
        <w:tc>
          <w:tcPr>
            <w:tcW w:w="8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Development of internal-use software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(4,458)</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(6,155)</w:t>
            </w:r>
          </w:p>
        </w:tc>
      </w:tr>
      <w:tr>
        <w:trPr>
          <w:trHeight w:val="142"/>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(134,210)</w:t>
            </w:r>
          </w:p>
        </w:tc>
        <w:tc>
          <w:tcPr>
            <w:tcW w:w="8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(9,475)</w:t>
            </w:r>
          </w:p>
        </w:tc>
      </w:tr>
      <w:tr>
        <w:trPr>
          <w:trHeight w:val="178"/>
        </w:trPr>
        <w:tc>
          <w:tcPr>
            <w:tcW w:w="8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53"/>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153"/>
        </w:trPr>
        <w:tc>
          <w:tcPr>
            <w:tcW w:w="8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from PIPE issuance, net of 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197,712</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 of deferred transaction costs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(2,779)</w:t>
            </w:r>
          </w:p>
        </w:tc>
      </w:tr>
      <w:tr>
        <w:trPr>
          <w:trHeight w:val="153"/>
        </w:trPr>
        <w:tc>
          <w:tcPr>
            <w:tcW w:w="8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lease principal 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(1,634)</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(1,994)</w:t>
            </w:r>
          </w:p>
        </w:tc>
      </w:tr>
      <w:tr>
        <w:trPr>
          <w:trHeight w:val="153"/>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principal payments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w:t>
            </w:r>
          </w:p>
        </w:tc>
      </w:tr>
      <w:tr>
        <w:trPr>
          <w:trHeight w:val="153"/>
        </w:trPr>
        <w:tc>
          <w:tcPr>
            <w:tcW w:w="8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1,819</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w:t>
            </w:r>
          </w:p>
        </w:tc>
      </w:tr>
      <w:tr>
        <w:trPr>
          <w:trHeight w:val="142"/>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9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197,897</w:t>
            </w:r>
          </w:p>
        </w:tc>
        <w:tc>
          <w:tcPr>
            <w:tcW w:w="8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(4,647)</w:t>
            </w:r>
          </w:p>
        </w:tc>
      </w:tr>
    </w:tbl>
    <w:p>
      <w:pPr>
        <w:spacing w:after="0" w:line="187" w:lineRule="exact"/>
        <w:rPr>
          <w:sz w:val="20"/>
          <w:szCs w:val="20"/>
          <w:color w:val="auto"/>
        </w:rPr>
      </w:pPr>
    </w:p>
    <w:p>
      <w:pPr>
        <w:sectPr>
          <w:pgSz w:w="11900" w:h="16838" w:orient="portrait"/>
          <w:cols w:equalWidth="0" w:num="1">
            <w:col w:w="11300"/>
          </w:cols>
          <w:pgMar w:left="300" w:top="953" w:right="29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78040" cy="97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p>
      <w:pPr>
        <w:spacing w:after="0" w:line="20" w:lineRule="exact"/>
        <w:rPr>
          <w:sz w:val="20"/>
          <w:szCs w:val="20"/>
          <w:color w:val="auto"/>
        </w:rPr>
      </w:pPr>
      <w:r>
        <w:rPr>
          <w:sz w:val="20"/>
          <w:szCs w:val="20"/>
          <w:color w:val="auto"/>
        </w:rPr>
        <w:br w:type="column"/>
      </w:r>
    </w:p>
    <w:p>
      <w:pPr>
        <w:jc w:val="right"/>
        <w:ind w:right="454"/>
        <w:spacing w:after="0"/>
        <w:rPr>
          <w:sz w:val="20"/>
          <w:szCs w:val="20"/>
          <w:color w:val="auto"/>
        </w:rPr>
      </w:pPr>
      <w:r>
        <w:rPr>
          <w:rFonts w:ascii="Times New Roman" w:cs="Times New Roman" w:eastAsia="Times New Roman" w:hAnsi="Times New Roman"/>
          <w:sz w:val="12"/>
          <w:szCs w:val="12"/>
          <w:color w:val="auto"/>
        </w:rPr>
        <w:t>(102,452)</w:t>
      </w:r>
    </w:p>
    <w:p>
      <w:pPr>
        <w:spacing w:after="0" w:line="17" w:lineRule="exact"/>
        <w:rPr>
          <w:sz w:val="20"/>
          <w:szCs w:val="20"/>
          <w:color w:val="auto"/>
        </w:rPr>
      </w:pPr>
    </w:p>
    <w:p>
      <w:pPr>
        <w:jc w:val="right"/>
        <w:ind w:right="454"/>
        <w:spacing w:after="0"/>
        <w:rPr>
          <w:sz w:val="20"/>
          <w:szCs w:val="20"/>
          <w:color w:val="auto"/>
        </w:rPr>
      </w:pPr>
      <w:r>
        <w:rPr>
          <w:rFonts w:ascii="Times New Roman" w:cs="Times New Roman" w:eastAsia="Times New Roman" w:hAnsi="Times New Roman"/>
          <w:sz w:val="12"/>
          <w:szCs w:val="12"/>
          <w:color w:val="auto"/>
        </w:rPr>
        <w:t>401,469</w:t>
      </w:r>
    </w:p>
    <w:p>
      <w:pPr>
        <w:spacing w:after="0" w:line="22" w:lineRule="exact"/>
        <w:rPr>
          <w:sz w:val="20"/>
          <w:szCs w:val="20"/>
          <w:color w:val="auto"/>
        </w:rPr>
      </w:pPr>
    </w:p>
    <w:p>
      <w:pPr>
        <w:ind w:left="180" w:hanging="178"/>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299,017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27940</wp:posOffset>
            </wp:positionV>
            <wp:extent cx="102298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298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Times New Roman" w:cs="Times New Roman" w:eastAsia="Times New Roman" w:hAnsi="Times New Roman"/>
          <w:sz w:val="12"/>
          <w:szCs w:val="12"/>
          <w:color w:val="auto"/>
        </w:rPr>
        <w:t>(81,631)</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2"/>
          <w:szCs w:val="12"/>
          <w:color w:val="auto"/>
        </w:rPr>
        <w:t>118,960</w:t>
      </w:r>
    </w:p>
    <w:p>
      <w:pPr>
        <w:spacing w:after="0" w:line="22" w:lineRule="exact"/>
        <w:rPr>
          <w:sz w:val="20"/>
          <w:szCs w:val="20"/>
          <w:color w:val="auto"/>
        </w:rPr>
      </w:pPr>
    </w:p>
    <w:p>
      <w:pPr>
        <w:ind w:left="186" w:hanging="186"/>
        <w:spacing w:after="0"/>
        <w:tabs>
          <w:tab w:leader="none" w:pos="186"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37,329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34925</wp:posOffset>
            </wp:positionV>
            <wp:extent cx="102298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2985" cy="571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8300" w:space="720"/>
            <w:col w:w="1034" w:space="720"/>
            <w:col w:w="526"/>
          </w:cols>
          <w:pgMar w:left="300" w:top="953"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5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interest</w:t>
            </w:r>
          </w:p>
        </w:tc>
        <w:tc>
          <w:tcPr>
            <w:tcW w:w="5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1,193</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1,445</w:t>
            </w:r>
          </w:p>
        </w:tc>
      </w:tr>
      <w:tr>
        <w:trPr>
          <w:trHeight w:val="1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taxes</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365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810"/>
        </w:trPr>
        <w:tc>
          <w:tcPr>
            <w:tcW w:w="4100" w:type="dxa"/>
            <w:vAlign w:val="bottom"/>
          </w:tcPr>
          <w:p>
            <w:pPr>
              <w:spacing w:after="0"/>
              <w:rPr>
                <w:sz w:val="24"/>
                <w:szCs w:val="24"/>
                <w:color w:val="auto"/>
              </w:rPr>
            </w:pPr>
          </w:p>
        </w:tc>
        <w:tc>
          <w:tcPr>
            <w:tcW w:w="5200" w:type="dxa"/>
            <w:vAlign w:val="bottom"/>
          </w:tcPr>
          <w:p>
            <w:pPr>
              <w:jc w:val="right"/>
              <w:ind w:right="3560"/>
              <w:spacing w:after="0"/>
              <w:rPr>
                <w:sz w:val="20"/>
                <w:szCs w:val="20"/>
                <w:color w:val="auto"/>
              </w:rPr>
            </w:pPr>
            <w:r>
              <w:rPr>
                <w:rFonts w:ascii="Times New Roman" w:cs="Times New Roman" w:eastAsia="Times New Roman" w:hAnsi="Times New Roman"/>
                <w:sz w:val="12"/>
                <w:szCs w:val="12"/>
                <w:color w:val="auto"/>
              </w:rPr>
              <w:t>7</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300"/>
          </w:cols>
          <w:pgMar w:left="300" w:top="953" w:right="299" w:bottom="1440" w:gutter="0" w:footer="0" w:header="0"/>
          <w:type w:val="continuous"/>
        </w:sectPr>
      </w:pPr>
    </w:p>
    <w:bookmarkStart w:id="10" w:name="page11"/>
    <w:bookmarkEnd w:id="1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Stock consideration paid for purchase of business</w:t>
            </w:r>
          </w:p>
        </w:tc>
        <w:tc>
          <w:tcPr>
            <w:tcW w:w="2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2"/>
                <w:szCs w:val="12"/>
                <w:color w:val="auto"/>
              </w:rPr>
              <w:t>172,000</w:t>
            </w:r>
          </w:p>
        </w:tc>
        <w:tc>
          <w:tcPr>
            <w:tcW w:w="7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5"/>
        </w:trPr>
        <w:tc>
          <w:tcPr>
            <w:tcW w:w="656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property and equipment in accounts payable and accrued expenses</w:t>
            </w:r>
          </w:p>
        </w:tc>
        <w:tc>
          <w:tcPr>
            <w:tcW w:w="2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3,243</w:t>
            </w: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0" w:type="dxa"/>
            <w:vAlign w:val="bottom"/>
          </w:tcPr>
          <w:p>
            <w:pPr>
              <w:spacing w:after="0"/>
              <w:rPr>
                <w:sz w:val="1"/>
                <w:szCs w:val="1"/>
                <w:color w:val="auto"/>
              </w:rPr>
            </w:pP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Software development costs in accounts payable and accrued expenses</w:t>
            </w:r>
          </w:p>
        </w:tc>
        <w:tc>
          <w:tcPr>
            <w:tcW w:w="25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1,118</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1,225</w:t>
            </w:r>
          </w:p>
        </w:tc>
        <w:tc>
          <w:tcPr>
            <w:tcW w:w="0" w:type="dxa"/>
            <w:vAlign w:val="bottom"/>
          </w:tcPr>
          <w:p>
            <w:pPr>
              <w:spacing w:after="0"/>
              <w:rPr>
                <w:sz w:val="1"/>
                <w:szCs w:val="1"/>
                <w:color w:val="auto"/>
              </w:rPr>
            </w:pP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Unpaid deferred transaction costs included in accounts payable and accrued expenses</w:t>
            </w:r>
          </w:p>
        </w:tc>
        <w:tc>
          <w:tcPr>
            <w:tcW w:w="2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53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5,799</w:t>
            </w:r>
          </w:p>
        </w:tc>
        <w:tc>
          <w:tcPr>
            <w:tcW w:w="0" w:type="dxa"/>
            <w:vAlign w:val="bottom"/>
          </w:tcPr>
          <w:p>
            <w:pPr>
              <w:spacing w:after="0"/>
              <w:rPr>
                <w:sz w:val="1"/>
                <w:szCs w:val="1"/>
                <w:color w:val="auto"/>
              </w:rPr>
            </w:pPr>
          </w:p>
        </w:tc>
      </w:tr>
      <w:tr>
        <w:trPr>
          <w:trHeight w:val="155"/>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Non-cash impact of shares reclass into APIC</w:t>
            </w: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1,483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 w:right="20" w:hanging="8"/>
        <w:spacing w:after="0" w:line="299" w:lineRule="auto"/>
        <w:tabs>
          <w:tab w:leader="none" w:pos="144"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As previously disclosed in Note 2, “Summary of Significant Accounting Policies” to our consolidated financial statements included in our Annual Report on Form 10-K for the year ended December 31, 2021, certain adjustments were made to certain liability accounts previously reported in the condensed balance sheets as of June 30, 2021. The adjustments are reflected accordingly as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8"/>
          </w:cols>
          <w:pgMar w:left="292" w:top="903"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jc w:val="center"/>
        <w:ind w:right="20"/>
        <w:spacing w:after="0" w:line="219" w:lineRule="auto"/>
        <w:rPr>
          <w:sz w:val="20"/>
          <w:szCs w:val="20"/>
          <w:color w:val="auto"/>
        </w:rPr>
      </w:pPr>
      <w:r>
        <w:rPr>
          <w:rFonts w:ascii="Times New Roman" w:cs="Times New Roman" w:eastAsia="Times New Roman" w:hAnsi="Times New Roman"/>
          <w:sz w:val="12"/>
          <w:szCs w:val="12"/>
          <w:b w:val="1"/>
          <w:bCs w:val="1"/>
          <w:color w:val="auto"/>
        </w:rPr>
        <w:t>Reconciliation of Revenue to our Adjusted Gross Profit, Adjusted EBITDA, &amp; Adjusted Net Loss</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The following is a reconciliation of revenue to our Adjusted Gross Profit, Adjusted Gross Margin, Adjusted Research &amp; Development, Adjusted Selling &amp; Marketing, Adjusted General &amp; Administrative and</w:t>
      </w:r>
    </w:p>
    <w:p>
      <w:pPr>
        <w:ind w:left="180"/>
        <w:spacing w:after="0" w:line="202" w:lineRule="auto"/>
        <w:rPr>
          <w:sz w:val="20"/>
          <w:szCs w:val="20"/>
          <w:color w:val="auto"/>
        </w:rPr>
      </w:pPr>
      <w:r>
        <w:rPr>
          <w:rFonts w:ascii="Times New Roman" w:cs="Times New Roman" w:eastAsia="Times New Roman" w:hAnsi="Times New Roman"/>
          <w:sz w:val="13"/>
          <w:szCs w:val="13"/>
          <w:color w:val="auto"/>
        </w:rPr>
        <w:t>Related Party Expense, Adjusted Loss from Operations, and Adjusted Net Income (Loss) for the three and six months ended June 30, 2022 and 2021. Please see the footnotes in the reconciliation to Adjusted</w:t>
      </w:r>
    </w:p>
    <w:p>
      <w:pPr>
        <w:jc w:val="center"/>
        <w:ind w:right="20"/>
        <w:spacing w:after="0"/>
        <w:rPr>
          <w:sz w:val="20"/>
          <w:szCs w:val="20"/>
          <w:color w:val="auto"/>
        </w:rPr>
      </w:pPr>
      <w:r>
        <w:rPr>
          <w:rFonts w:ascii="Times New Roman" w:cs="Times New Roman" w:eastAsia="Times New Roman" w:hAnsi="Times New Roman"/>
          <w:sz w:val="13"/>
          <w:szCs w:val="13"/>
          <w:color w:val="auto"/>
        </w:rPr>
        <w:t>EBITDA for additional detail on the following adjustments: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4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26"/>
        </w:trPr>
        <w:tc>
          <w:tcPr>
            <w:tcW w:w="44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2021</w:t>
            </w: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24"/>
        </w:trPr>
        <w:tc>
          <w:tcPr>
            <w:tcW w:w="44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5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5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Diagnostic test revenue</w:t>
            </w:r>
          </w:p>
        </w:tc>
        <w:tc>
          <w:tcPr>
            <w:tcW w:w="3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34,004</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44,803</w:t>
            </w:r>
          </w:p>
        </w:tc>
      </w:tr>
      <w:tr>
        <w:trPr>
          <w:trHeight w:val="15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36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2,165</w:t>
            </w:r>
          </w:p>
        </w:tc>
        <w:tc>
          <w:tcPr>
            <w:tcW w:w="1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2,212</w:t>
            </w:r>
          </w:p>
        </w:tc>
      </w:tr>
      <w:tr>
        <w:trPr>
          <w:trHeight w:val="142"/>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3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36,169</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47,015</w:t>
            </w:r>
          </w:p>
        </w:tc>
      </w:tr>
      <w:tr>
        <w:trPr>
          <w:trHeight w:val="153"/>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w:t>
            </w:r>
          </w:p>
        </w:tc>
        <w:tc>
          <w:tcPr>
            <w:tcW w:w="36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65,767</w:t>
            </w: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48,179</w:t>
            </w:r>
          </w:p>
        </w:tc>
      </w:tr>
      <w:tr>
        <w:trPr>
          <w:trHeight w:val="158"/>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Gross (Loss) Profit</w:t>
            </w:r>
          </w:p>
        </w:tc>
        <w:tc>
          <w:tcPr>
            <w:tcW w:w="36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(29,598)</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(1,164)</w:t>
            </w:r>
          </w:p>
        </w:tc>
      </w:tr>
      <w:tr>
        <w:trPr>
          <w:trHeight w:val="15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99"/>
        </w:trPr>
        <w:tc>
          <w:tcPr>
            <w:tcW w:w="44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gridSpan w:val="2"/>
          </w:tcPr>
          <w:p>
            <w:pPr>
              <w:spacing w:after="0"/>
              <w:rPr>
                <w:sz w:val="8"/>
                <w:szCs w:val="8"/>
                <w:color w:val="auto"/>
              </w:rPr>
            </w:pPr>
          </w:p>
        </w:tc>
      </w:tr>
      <w:tr>
        <w:trPr>
          <w:trHeight w:val="153"/>
        </w:trPr>
        <w:tc>
          <w:tcPr>
            <w:tcW w:w="4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1,810</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w:t>
            </w:r>
          </w:p>
        </w:tc>
      </w:tr>
      <w:tr>
        <w:trPr>
          <w:trHeight w:val="153"/>
        </w:trPr>
        <w:tc>
          <w:tcPr>
            <w:tcW w:w="44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3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(Loss) Profit</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(27,583)</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(1,470)</w:t>
            </w:r>
          </w:p>
        </w:tc>
      </w:tr>
      <w:tr>
        <w:trPr>
          <w:trHeight w:val="153"/>
        </w:trPr>
        <w:tc>
          <w:tcPr>
            <w:tcW w:w="44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Adjusted Gross Margin</w:t>
            </w:r>
          </w:p>
        </w:tc>
        <w:tc>
          <w:tcPr>
            <w:tcW w:w="3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(76)</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99"/>
        </w:trPr>
        <w:tc>
          <w:tcPr>
            <w:tcW w:w="4480" w:type="dxa"/>
            <w:vAlign w:val="bottom"/>
            <w:shd w:val="clear" w:color="auto" w:fill="CCEEFF"/>
          </w:tcPr>
          <w:p>
            <w:pPr>
              <w:spacing w:after="0"/>
              <w:rPr>
                <w:sz w:val="8"/>
                <w:szCs w:val="8"/>
                <w:color w:val="auto"/>
              </w:rPr>
            </w:pPr>
          </w:p>
        </w:tc>
        <w:tc>
          <w:tcPr>
            <w:tcW w:w="36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40" w:type="dxa"/>
            <w:vAlign w:val="bottom"/>
            <w:gridSpan w:val="2"/>
            <w:shd w:val="clear" w:color="auto" w:fill="CCEEFF"/>
          </w:tcPr>
          <w:p>
            <w:pPr>
              <w:spacing w:after="0"/>
              <w:rPr>
                <w:sz w:val="8"/>
                <w:szCs w:val="8"/>
                <w:color w:val="auto"/>
              </w:rPr>
            </w:pPr>
          </w:p>
        </w:tc>
      </w:tr>
      <w:tr>
        <w:trPr>
          <w:trHeight w:val="15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Research &amp; Development</w:t>
            </w:r>
          </w:p>
        </w:tc>
        <w:tc>
          <w:tcPr>
            <w:tcW w:w="3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27,168</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11,952</w:t>
            </w:r>
          </w:p>
        </w:tc>
      </w:tr>
      <w:tr>
        <w:trPr>
          <w:trHeight w:val="153"/>
        </w:trPr>
        <w:tc>
          <w:tcPr>
            <w:tcW w:w="4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(6,515)</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370</w:t>
            </w:r>
          </w:p>
        </w:tc>
      </w:tr>
      <w:tr>
        <w:trPr>
          <w:trHeight w:val="153"/>
        </w:trPr>
        <w:tc>
          <w:tcPr>
            <w:tcW w:w="4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36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(1,005)</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Research &amp; Development</w:t>
            </w:r>
          </w:p>
        </w:tc>
        <w:tc>
          <w:tcPr>
            <w:tcW w:w="36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19,648</w:t>
            </w: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12,322</w:t>
            </w:r>
          </w:p>
        </w:tc>
      </w:tr>
      <w:tr>
        <w:trPr>
          <w:trHeight w:val="90"/>
        </w:trPr>
        <w:tc>
          <w:tcPr>
            <w:tcW w:w="44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15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&amp; Marketing</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36,118</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18,574</w:t>
            </w:r>
          </w:p>
        </w:tc>
      </w:tr>
      <w:tr>
        <w:trPr>
          <w:trHeight w:val="153"/>
        </w:trPr>
        <w:tc>
          <w:tcPr>
            <w:tcW w:w="44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3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(1,485)</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(1,065)</w:t>
            </w:r>
          </w:p>
        </w:tc>
      </w:tr>
      <w:tr>
        <w:trPr>
          <w:trHeight w:val="153"/>
        </w:trPr>
        <w:tc>
          <w:tcPr>
            <w:tcW w:w="4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36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(2,293)</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Selling &amp; Marketing</w:t>
            </w:r>
          </w:p>
        </w:tc>
        <w:tc>
          <w:tcPr>
            <w:tcW w:w="36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31,523</w:t>
            </w: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17,509</w:t>
            </w:r>
          </w:p>
        </w:tc>
      </w:tr>
      <w:tr>
        <w:trPr>
          <w:trHeight w:val="90"/>
        </w:trPr>
        <w:tc>
          <w:tcPr>
            <w:tcW w:w="44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15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&amp; Administrative &amp; Related Party Expense</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69,765</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13,758</w:t>
            </w:r>
          </w:p>
        </w:tc>
      </w:tr>
      <w:tr>
        <w:trPr>
          <w:trHeight w:val="153"/>
        </w:trPr>
        <w:tc>
          <w:tcPr>
            <w:tcW w:w="44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3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(12,911)</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908</w:t>
            </w:r>
          </w:p>
        </w:tc>
      </w:tr>
      <w:tr>
        <w:trPr>
          <w:trHeight w:val="153"/>
        </w:trPr>
        <w:tc>
          <w:tcPr>
            <w:tcW w:w="4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(1,520)</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business integration and restructuring costs</w:t>
            </w:r>
          </w:p>
        </w:tc>
        <w:tc>
          <w:tcPr>
            <w:tcW w:w="36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(12,428)</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r>
      <w:tr>
        <w:trPr>
          <w:trHeight w:val="158"/>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General &amp; Administrative &amp; Related Party</w:t>
            </w:r>
          </w:p>
        </w:tc>
        <w:tc>
          <w:tcPr>
            <w:tcW w:w="36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42,906</w:t>
            </w: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14,666</w:t>
            </w:r>
          </w:p>
        </w:tc>
      </w:tr>
      <w:tr>
        <w:trPr>
          <w:trHeight w:val="90"/>
        </w:trPr>
        <w:tc>
          <w:tcPr>
            <w:tcW w:w="44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15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Adjusted Operating Expenses</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94,077</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44,497</w:t>
            </w:r>
          </w:p>
        </w:tc>
      </w:tr>
      <w:tr>
        <w:trPr>
          <w:trHeight w:val="99"/>
        </w:trPr>
        <w:tc>
          <w:tcPr>
            <w:tcW w:w="44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gridSpan w:val="2"/>
          </w:tcPr>
          <w:p>
            <w:pPr>
              <w:spacing w:after="0"/>
              <w:rPr>
                <w:sz w:val="8"/>
                <w:szCs w:val="8"/>
                <w:color w:val="auto"/>
              </w:rPr>
            </w:pPr>
          </w:p>
        </w:tc>
      </w:tr>
      <w:tr>
        <w:trPr>
          <w:trHeight w:val="15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(162,649)</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(45,448)</w:t>
            </w:r>
          </w:p>
        </w:tc>
      </w:tr>
      <w:tr>
        <w:trPr>
          <w:trHeight w:val="153"/>
        </w:trPr>
        <w:tc>
          <w:tcPr>
            <w:tcW w:w="44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3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22,721</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(519)</w:t>
            </w:r>
          </w:p>
        </w:tc>
      </w:tr>
      <w:tr>
        <w:trPr>
          <w:trHeight w:val="153"/>
        </w:trPr>
        <w:tc>
          <w:tcPr>
            <w:tcW w:w="4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acquired intangibles</w:t>
            </w:r>
          </w:p>
        </w:tc>
        <w:tc>
          <w:tcPr>
            <w:tcW w:w="3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2,337</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business integration and restructuring costs</w:t>
            </w:r>
          </w:p>
        </w:tc>
        <w:tc>
          <w:tcPr>
            <w:tcW w:w="36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15,931</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3,151</w:t>
            </w:r>
          </w:p>
        </w:tc>
      </w:tr>
      <w:tr>
        <w:trPr>
          <w:trHeight w:val="14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loss from operations</w:t>
            </w:r>
          </w:p>
        </w:tc>
        <w:tc>
          <w:tcPr>
            <w:tcW w:w="36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(121,660)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(42,816)</w:t>
            </w:r>
          </w:p>
        </w:tc>
      </w:tr>
      <w:tr>
        <w:trPr>
          <w:trHeight w:val="801"/>
        </w:trPr>
        <w:tc>
          <w:tcPr>
            <w:tcW w:w="4480" w:type="dxa"/>
            <w:vAlign w:val="bottom"/>
          </w:tcPr>
          <w:p>
            <w:pPr>
              <w:spacing w:after="0"/>
              <w:rPr>
                <w:sz w:val="24"/>
                <w:szCs w:val="24"/>
                <w:color w:val="auto"/>
              </w:rPr>
            </w:pPr>
          </w:p>
        </w:tc>
        <w:tc>
          <w:tcPr>
            <w:tcW w:w="3680" w:type="dxa"/>
            <w:vAlign w:val="bottom"/>
          </w:tcPr>
          <w:p>
            <w:pPr>
              <w:jc w:val="right"/>
              <w:ind w:right="2420"/>
              <w:spacing w:after="0"/>
              <w:rPr>
                <w:sz w:val="20"/>
                <w:szCs w:val="20"/>
                <w:color w:val="auto"/>
              </w:rPr>
            </w:pPr>
            <w:r>
              <w:rPr>
                <w:rFonts w:ascii="Times New Roman" w:cs="Times New Roman" w:eastAsia="Times New Roman" w:hAnsi="Times New Roman"/>
                <w:sz w:val="12"/>
                <w:szCs w:val="12"/>
                <w:color w:val="auto"/>
              </w:rPr>
              <w:t>9</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300"/>
          </w:cols>
          <w:pgMar w:left="300" w:top="813" w:right="299" w:bottom="1440" w:gutter="0" w:footer="0" w:header="0"/>
        </w:sectPr>
      </w:pPr>
    </w:p>
    <w:bookmarkStart w:id="12" w:name="page13"/>
    <w:bookmarkEnd w:id="1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81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Three months ended June 30,</w:t>
            </w:r>
          </w:p>
        </w:tc>
        <w:tc>
          <w:tcPr>
            <w:tcW w:w="4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r>
      <w:tr>
        <w:trPr>
          <w:trHeight w:val="128"/>
        </w:trPr>
        <w:tc>
          <w:tcPr>
            <w:tcW w:w="8160" w:type="dxa"/>
            <w:vAlign w:val="bottom"/>
          </w:tcPr>
          <w:p>
            <w:pPr>
              <w:spacing w:after="0"/>
              <w:rPr>
                <w:sz w:val="11"/>
                <w:szCs w:val="11"/>
                <w:color w:val="auto"/>
              </w:rPr>
            </w:pPr>
          </w:p>
        </w:tc>
        <w:tc>
          <w:tcPr>
            <w:tcW w:w="9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2022</w:t>
            </w: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r>
      <w:tr>
        <w:trPr>
          <w:trHeight w:val="124"/>
        </w:trPr>
        <w:tc>
          <w:tcPr>
            <w:tcW w:w="8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5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(85,742)</w:t>
            </w:r>
          </w:p>
        </w:tc>
        <w:tc>
          <w:tcPr>
            <w:tcW w:w="180" w:type="dxa"/>
            <w:vAlign w:val="bottom"/>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(46,161)</w:t>
            </w:r>
          </w:p>
        </w:tc>
      </w:tr>
      <w:tr>
        <w:trPr>
          <w:trHeight w:val="20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Interest expense, net </w:t>
            </w:r>
            <w:r>
              <w:rPr>
                <w:rFonts w:ascii="Times New Roman" w:cs="Times New Roman" w:eastAsia="Times New Roman" w:hAnsi="Times New Roman"/>
                <w:sz w:val="15"/>
                <w:szCs w:val="15"/>
                <w:color w:val="auto"/>
                <w:vertAlign w:val="superscript"/>
              </w:rPr>
              <w:t>(1)</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w:t>
            </w: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(49,077)</w:t>
            </w:r>
          </w:p>
        </w:tc>
        <w:tc>
          <w:tcPr>
            <w:tcW w:w="180" w:type="dxa"/>
            <w:vAlign w:val="bottom"/>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8,964</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5,619</w:t>
            </w: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22,721</w:t>
            </w:r>
          </w:p>
        </w:tc>
        <w:tc>
          <w:tcPr>
            <w:tcW w:w="180" w:type="dxa"/>
            <w:vAlign w:val="bottom"/>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w:t>
            </w:r>
          </w:p>
        </w:tc>
      </w:tr>
      <w:tr>
        <w:trPr>
          <w:trHeight w:val="20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Transaction, acquisition and business integration costs </w:t>
            </w:r>
            <w:r>
              <w:rPr>
                <w:rFonts w:ascii="Times New Roman" w:cs="Times New Roman" w:eastAsia="Times New Roman" w:hAnsi="Times New Roman"/>
                <w:sz w:val="15"/>
                <w:szCs w:val="15"/>
                <w:color w:val="auto"/>
                <w:vertAlign w:val="superscript"/>
              </w:rPr>
              <w:t>(2)</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9,099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3,151</w:t>
            </w:r>
          </w:p>
        </w:tc>
      </w:tr>
      <w:tr>
        <w:trPr>
          <w:trHeight w:val="20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Restructuring costs </w:t>
            </w:r>
            <w:r>
              <w:rPr>
                <w:rFonts w:ascii="Times New Roman" w:cs="Times New Roman" w:eastAsia="Times New Roman" w:hAnsi="Times New Roman"/>
                <w:sz w:val="15"/>
                <w:szCs w:val="15"/>
                <w:color w:val="auto"/>
                <w:vertAlign w:val="superscript"/>
              </w:rPr>
              <w:t>(3)</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6,832</w:t>
            </w:r>
          </w:p>
        </w:tc>
        <w:tc>
          <w:tcPr>
            <w:tcW w:w="18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Change in fair market value of warrant and earn-out contingent liabilities </w:t>
            </w:r>
            <w:r>
              <w:rPr>
                <w:rFonts w:ascii="Times New Roman" w:cs="Times New Roman" w:eastAsia="Times New Roman" w:hAnsi="Times New Roman"/>
                <w:sz w:val="15"/>
                <w:szCs w:val="15"/>
                <w:color w:val="auto"/>
                <w:vertAlign w:val="superscript"/>
              </w:rPr>
              <w:t>(4)</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(28,182)</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9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80" w:type="dxa"/>
            <w:vAlign w:val="bottom"/>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(115,033)</w:t>
            </w:r>
          </w:p>
        </w:tc>
        <w:tc>
          <w:tcPr>
            <w:tcW w:w="1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(37,197)</w:t>
            </w:r>
          </w:p>
        </w:tc>
      </w:tr>
      <w:tr>
        <w:trPr>
          <w:trHeight w:val="20"/>
        </w:trPr>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__________________</w:t>
      </w:r>
    </w:p>
    <w:p>
      <w:pPr>
        <w:spacing w:after="0" w:line="11" w:lineRule="exact"/>
        <w:rPr>
          <w:sz w:val="20"/>
          <w:szCs w:val="20"/>
          <w:color w:val="auto"/>
        </w:rPr>
      </w:pPr>
    </w:p>
    <w:p>
      <w:pPr>
        <w:ind w:left="208" w:right="220" w:hanging="208"/>
        <w:spacing w:after="0" w:line="281" w:lineRule="auto"/>
        <w:tabs>
          <w:tab w:leader="none" w:pos="203"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ind w:left="208" w:right="440" w:hanging="208"/>
        <w:spacing w:after="0" w:line="281" w:lineRule="auto"/>
        <w:tabs>
          <w:tab w:leader="none" w:pos="203"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professional service costs incurred in connection with pursuing the business combination transaction that did not meet the requirement for capitalization in 2021. For the second quarter of 2022, this represents professional service costs incurred in connection with the Acquisition transaction, which include due diligence, legal and business integration costs.</w:t>
      </w:r>
    </w:p>
    <w:p>
      <w:pPr>
        <w:ind w:left="208" w:hanging="208"/>
        <w:spacing w:after="0"/>
        <w:tabs>
          <w:tab w:leader="none" w:pos="20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costs incurred for restructuring activities, which include severance packages offered to impacted employees and third party consulting costs incurred in the second quarter of 2022.</w:t>
      </w:r>
    </w:p>
    <w:p>
      <w:pPr>
        <w:spacing w:after="0" w:line="11"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change in fair market value of the liabilities associated with our public warrants and private placement warrants and the earn-out shares issuable under the terms of the merger agreement related to our business combination with CMLS.</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81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jc w:val="center"/>
              <w:ind w:right="904"/>
              <w:spacing w:after="0"/>
              <w:rPr>
                <w:sz w:val="20"/>
                <w:szCs w:val="20"/>
                <w:color w:val="auto"/>
              </w:rPr>
            </w:pPr>
            <w:r>
              <w:rPr>
                <w:rFonts w:ascii="Times New Roman" w:cs="Times New Roman" w:eastAsia="Times New Roman" w:hAnsi="Times New Roman"/>
                <w:sz w:val="10"/>
                <w:szCs w:val="10"/>
                <w:b w:val="1"/>
                <w:bCs w:val="1"/>
                <w:color w:val="auto"/>
                <w:w w:val="96"/>
              </w:rPr>
              <w:t>Three months ended June 30,</w:t>
            </w:r>
          </w:p>
        </w:tc>
      </w:tr>
      <w:tr>
        <w:trPr>
          <w:trHeight w:val="128"/>
        </w:trPr>
        <w:tc>
          <w:tcPr>
            <w:tcW w:w="8160" w:type="dxa"/>
            <w:vAlign w:val="bottom"/>
          </w:tcPr>
          <w:p>
            <w:pPr>
              <w:spacing w:after="0"/>
              <w:rPr>
                <w:sz w:val="11"/>
                <w:szCs w:val="11"/>
                <w:color w:val="auto"/>
              </w:rPr>
            </w:pPr>
          </w:p>
        </w:tc>
        <w:tc>
          <w:tcPr>
            <w:tcW w:w="96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2180" w:type="dxa"/>
            <w:vAlign w:val="bottom"/>
            <w:tcBorders>
              <w:bottom w:val="single" w:sz="8" w:color="auto"/>
            </w:tcBorders>
          </w:tcPr>
          <w:p>
            <w:pPr>
              <w:jc w:val="center"/>
              <w:ind w:left="624"/>
              <w:spacing w:after="0"/>
              <w:rPr>
                <w:sz w:val="20"/>
                <w:szCs w:val="20"/>
                <w:color w:val="auto"/>
              </w:rPr>
            </w:pPr>
            <w:r>
              <w:rPr>
                <w:rFonts w:ascii="Times New Roman" w:cs="Times New Roman" w:eastAsia="Times New Roman" w:hAnsi="Times New Roman"/>
                <w:sz w:val="10"/>
                <w:szCs w:val="10"/>
                <w:b w:val="1"/>
                <w:bCs w:val="1"/>
                <w:color w:val="auto"/>
                <w:w w:val="89"/>
              </w:rPr>
              <w:t>2021</w:t>
            </w:r>
          </w:p>
        </w:tc>
      </w:tr>
      <w:tr>
        <w:trPr>
          <w:trHeight w:val="119"/>
        </w:trPr>
        <w:tc>
          <w:tcPr>
            <w:tcW w:w="8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80" w:type="dxa"/>
            <w:vAlign w:val="bottom"/>
          </w:tcPr>
          <w:p>
            <w:pPr>
              <w:jc w:val="center"/>
              <w:ind w:right="904"/>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r>
      <w:tr>
        <w:trPr>
          <w:trHeight w:val="163"/>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960" w:type="dxa"/>
            <w:vAlign w:val="bottom"/>
          </w:tcPr>
          <w:p>
            <w:pPr>
              <w:jc w:val="center"/>
              <w:ind w:left="482"/>
              <w:spacing w:after="0"/>
              <w:rPr>
                <w:sz w:val="20"/>
                <w:szCs w:val="20"/>
                <w:color w:val="auto"/>
              </w:rPr>
            </w:pPr>
            <w:r>
              <w:rPr>
                <w:rFonts w:ascii="Times New Roman" w:cs="Times New Roman" w:eastAsia="Times New Roman" w:hAnsi="Times New Roman"/>
                <w:sz w:val="12"/>
                <w:szCs w:val="12"/>
                <w:color w:val="auto"/>
              </w:rPr>
              <w:t>(85,742)</w:t>
            </w:r>
          </w:p>
        </w:tc>
        <w:tc>
          <w:tcPr>
            <w:tcW w:w="2180" w:type="dxa"/>
            <w:vAlign w:val="bottom"/>
          </w:tcPr>
          <w:p>
            <w:pPr>
              <w:jc w:val="center"/>
              <w:ind w:left="624"/>
              <w:spacing w:after="0"/>
              <w:rPr>
                <w:sz w:val="20"/>
                <w:szCs w:val="20"/>
                <w:color w:val="auto"/>
              </w:rPr>
            </w:pPr>
            <w:r>
              <w:rPr>
                <w:rFonts w:ascii="Times New Roman" w:cs="Times New Roman" w:eastAsia="Times New Roman" w:hAnsi="Times New Roman"/>
                <w:sz w:val="12"/>
                <w:szCs w:val="12"/>
                <w:color w:val="auto"/>
              </w:rPr>
              <w:t>(46,161)</w:t>
            </w:r>
          </w:p>
        </w:tc>
      </w:tr>
      <w:tr>
        <w:trPr>
          <w:trHeight w:val="15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6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2"/>
                <w:szCs w:val="12"/>
                <w:color w:val="auto"/>
              </w:rPr>
              <w:t>22,721</w:t>
            </w:r>
          </w:p>
        </w:tc>
        <w:tc>
          <w:tcPr>
            <w:tcW w:w="2180" w:type="dxa"/>
            <w:vAlign w:val="bottom"/>
            <w:shd w:val="clear" w:color="auto" w:fill="CCEEFF"/>
          </w:tcPr>
          <w:p>
            <w:pPr>
              <w:jc w:val="center"/>
              <w:ind w:left="624"/>
              <w:spacing w:after="0"/>
              <w:rPr>
                <w:sz w:val="20"/>
                <w:szCs w:val="20"/>
                <w:color w:val="auto"/>
              </w:rPr>
            </w:pPr>
            <w:r>
              <w:rPr>
                <w:rFonts w:ascii="Times New Roman" w:cs="Times New Roman" w:eastAsia="Times New Roman" w:hAnsi="Times New Roman"/>
                <w:sz w:val="12"/>
                <w:szCs w:val="12"/>
                <w:color w:val="auto"/>
                <w:w w:val="99"/>
              </w:rPr>
              <w:t>(519)</w:t>
            </w:r>
          </w:p>
        </w:tc>
      </w:tr>
      <w:tr>
        <w:trPr>
          <w:trHeight w:val="153"/>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Amortization of acquisition intangibles</w:t>
            </w:r>
          </w:p>
        </w:tc>
        <w:tc>
          <w:tcPr>
            <w:tcW w:w="960" w:type="dxa"/>
            <w:vAlign w:val="bottom"/>
          </w:tcPr>
          <w:p>
            <w:pPr>
              <w:jc w:val="center"/>
              <w:ind w:left="482"/>
              <w:spacing w:after="0"/>
              <w:rPr>
                <w:sz w:val="20"/>
                <w:szCs w:val="20"/>
                <w:color w:val="auto"/>
              </w:rPr>
            </w:pPr>
            <w:r>
              <w:rPr>
                <w:rFonts w:ascii="Times New Roman" w:cs="Times New Roman" w:eastAsia="Times New Roman" w:hAnsi="Times New Roman"/>
                <w:sz w:val="12"/>
                <w:szCs w:val="12"/>
                <w:color w:val="auto"/>
                <w:w w:val="96"/>
              </w:rPr>
              <w:t>2,337</w:t>
            </w:r>
          </w:p>
        </w:tc>
        <w:tc>
          <w:tcPr>
            <w:tcW w:w="2180" w:type="dxa"/>
            <w:vAlign w:val="bottom"/>
          </w:tcPr>
          <w:p>
            <w:pPr>
              <w:jc w:val="center"/>
              <w:ind w:left="644"/>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Change in fair market value of warrant and earn-out contingent liabilities</w:t>
            </w:r>
          </w:p>
        </w:tc>
        <w:tc>
          <w:tcPr>
            <w:tcW w:w="96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2"/>
                <w:szCs w:val="12"/>
                <w:color w:val="auto"/>
              </w:rPr>
              <w:t>(28,182)</w:t>
            </w:r>
          </w:p>
        </w:tc>
        <w:tc>
          <w:tcPr>
            <w:tcW w:w="2180" w:type="dxa"/>
            <w:vAlign w:val="bottom"/>
            <w:shd w:val="clear" w:color="auto" w:fill="CCEEFF"/>
          </w:tcPr>
          <w:p>
            <w:pPr>
              <w:jc w:val="center"/>
              <w:ind w:left="644"/>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8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business integration and restructuring costs</w:t>
            </w:r>
          </w:p>
        </w:tc>
        <w:tc>
          <w:tcPr>
            <w:tcW w:w="96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2"/>
                <w:szCs w:val="12"/>
                <w:color w:val="auto"/>
              </w:rPr>
              <w:t>15,931</w:t>
            </w:r>
          </w:p>
        </w:tc>
        <w:tc>
          <w:tcPr>
            <w:tcW w:w="2180" w:type="dxa"/>
            <w:vAlign w:val="bottom"/>
            <w:tcBorders>
              <w:bottom w:val="single" w:sz="8" w:color="auto"/>
            </w:tcBorders>
          </w:tcPr>
          <w:p>
            <w:pPr>
              <w:jc w:val="center"/>
              <w:ind w:left="624"/>
              <w:spacing w:after="0"/>
              <w:rPr>
                <w:sz w:val="20"/>
                <w:szCs w:val="20"/>
                <w:color w:val="auto"/>
              </w:rPr>
            </w:pPr>
            <w:r>
              <w:rPr>
                <w:rFonts w:ascii="Times New Roman" w:cs="Times New Roman" w:eastAsia="Times New Roman" w:hAnsi="Times New Roman"/>
                <w:sz w:val="12"/>
                <w:szCs w:val="12"/>
                <w:color w:val="auto"/>
                <w:w w:val="96"/>
              </w:rPr>
              <w:t>3,151</w:t>
            </w:r>
          </w:p>
        </w:tc>
      </w:tr>
      <w:tr>
        <w:trPr>
          <w:trHeight w:val="158"/>
        </w:trPr>
        <w:tc>
          <w:tcPr>
            <w:tcW w:w="8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Adjusted Net loss</w:t>
            </w:r>
          </w:p>
        </w:tc>
        <w:tc>
          <w:tcPr>
            <w:tcW w:w="960" w:type="dxa"/>
            <w:vAlign w:val="bottom"/>
            <w:tcBorders>
              <w:bottom w:val="single" w:sz="8" w:color="auto"/>
            </w:tcBorders>
            <w:shd w:val="clear" w:color="auto" w:fill="CCEEFF"/>
          </w:tcPr>
          <w:p>
            <w:pPr>
              <w:jc w:val="center"/>
              <w:ind w:left="482"/>
              <w:spacing w:after="0"/>
              <w:rPr>
                <w:sz w:val="20"/>
                <w:szCs w:val="20"/>
                <w:color w:val="auto"/>
              </w:rPr>
            </w:pPr>
            <w:r>
              <w:rPr>
                <w:rFonts w:ascii="Times New Roman" w:cs="Times New Roman" w:eastAsia="Times New Roman" w:hAnsi="Times New Roman"/>
                <w:sz w:val="12"/>
                <w:szCs w:val="12"/>
                <w:b w:val="1"/>
                <w:bCs w:val="1"/>
                <w:color w:val="auto"/>
              </w:rPr>
              <w:t>(72,935)</w:t>
            </w:r>
          </w:p>
        </w:tc>
        <w:tc>
          <w:tcPr>
            <w:tcW w:w="2180" w:type="dxa"/>
            <w:vAlign w:val="bottom"/>
            <w:tcBorders>
              <w:bottom w:val="single" w:sz="8" w:color="auto"/>
            </w:tcBorders>
            <w:shd w:val="clear" w:color="auto" w:fill="CCEEFF"/>
          </w:tcPr>
          <w:p>
            <w:pPr>
              <w:jc w:val="center"/>
              <w:ind w:left="624"/>
              <w:spacing w:after="0"/>
              <w:rPr>
                <w:sz w:val="20"/>
                <w:szCs w:val="20"/>
                <w:color w:val="auto"/>
              </w:rPr>
            </w:pPr>
            <w:r>
              <w:rPr>
                <w:rFonts w:ascii="Times New Roman" w:cs="Times New Roman" w:eastAsia="Times New Roman" w:hAnsi="Times New Roman"/>
                <w:sz w:val="12"/>
                <w:szCs w:val="12"/>
                <w:b w:val="1"/>
                <w:bCs w:val="1"/>
                <w:color w:val="auto"/>
              </w:rPr>
              <w:t>(43,529)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8"/>
          </w:cols>
          <w:pgMar w:left="292" w:top="852"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4"/>
        </w:trPr>
        <w:tc>
          <w:tcPr>
            <w:tcW w:w="81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5"/>
          </w:tcPr>
          <w:p>
            <w:pPr>
              <w:jc w:val="center"/>
              <w:ind w:left="2"/>
              <w:spacing w:after="0"/>
              <w:rPr>
                <w:sz w:val="20"/>
                <w:szCs w:val="20"/>
                <w:color w:val="auto"/>
              </w:rPr>
            </w:pPr>
            <w:r>
              <w:rPr>
                <w:rFonts w:ascii="Times New Roman" w:cs="Times New Roman" w:eastAsia="Times New Roman" w:hAnsi="Times New Roman"/>
                <w:sz w:val="10"/>
                <w:szCs w:val="10"/>
                <w:b w:val="1"/>
                <w:bCs w:val="1"/>
                <w:color w:val="auto"/>
                <w:w w:val="96"/>
              </w:rPr>
              <w:t>Six months ended June 30,</w:t>
            </w: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28"/>
        </w:trPr>
        <w:tc>
          <w:tcPr>
            <w:tcW w:w="8160" w:type="dxa"/>
            <w:vAlign w:val="bottom"/>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24"/>
        </w:trPr>
        <w:tc>
          <w:tcPr>
            <w:tcW w:w="8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5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Diagnostic test revenue</w:t>
            </w:r>
          </w:p>
        </w:tc>
        <w:tc>
          <w:tcPr>
            <w:tcW w:w="8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86,499</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107,563</w:t>
            </w: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3,611</w:t>
            </w:r>
          </w:p>
        </w:tc>
        <w:tc>
          <w:tcPr>
            <w:tcW w:w="1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3,653</w:t>
            </w:r>
          </w:p>
        </w:tc>
      </w:tr>
      <w:tr>
        <w:trPr>
          <w:trHeight w:val="142"/>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90,110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111,216</w:t>
            </w:r>
          </w:p>
        </w:tc>
      </w:tr>
      <w:tr>
        <w:trPr>
          <w:trHeight w:val="153"/>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w:t>
            </w: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114,083</w:t>
            </w: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116,703</w:t>
            </w:r>
          </w:p>
        </w:tc>
      </w:tr>
      <w:tr>
        <w:trPr>
          <w:trHeight w:val="158"/>
        </w:trPr>
        <w:tc>
          <w:tcPr>
            <w:tcW w:w="8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Gross (Loss) Profit</w:t>
            </w: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(23,973)</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(5,487)</w:t>
            </w: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8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r>
      <w:tr>
        <w:trPr>
          <w:trHeight w:val="15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3,191</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18,169</w:t>
            </w:r>
          </w:p>
        </w:tc>
      </w:tr>
      <w:tr>
        <w:trPr>
          <w:trHeight w:val="153"/>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(Loss) Profit</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(20,471)</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12,682</w:t>
            </w: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Adjusted Gross Margin</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8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gridSpan w:val="2"/>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gridSpan w:val="2"/>
            <w:shd w:val="clear" w:color="auto" w:fill="CCEEFF"/>
          </w:tcPr>
          <w:p>
            <w:pPr>
              <w:spacing w:after="0"/>
              <w:rPr>
                <w:sz w:val="9"/>
                <w:szCs w:val="9"/>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Research &amp; Development</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48,483</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65,085</w:t>
            </w:r>
          </w:p>
        </w:tc>
      </w:tr>
      <w:tr>
        <w:trPr>
          <w:trHeight w:val="15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(10,856)</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(37,817)</w:t>
            </w:r>
          </w:p>
        </w:tc>
      </w:tr>
      <w:tr>
        <w:trPr>
          <w:trHeight w:val="207"/>
        </w:trPr>
        <w:tc>
          <w:tcPr>
            <w:tcW w:w="8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r>
      <w:tr>
        <w:trPr>
          <w:trHeight w:val="158"/>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Research &amp; Development</w:t>
            </w: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36,621</w:t>
            </w: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27,268</w:t>
            </w:r>
          </w:p>
        </w:tc>
      </w:tr>
      <w:tr>
        <w:trPr>
          <w:trHeight w:val="90"/>
        </w:trPr>
        <w:tc>
          <w:tcPr>
            <w:tcW w:w="8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&amp; Marketing</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65,665</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53,940</w:t>
            </w:r>
          </w:p>
        </w:tc>
      </w:tr>
      <w:tr>
        <w:trPr>
          <w:trHeight w:val="153"/>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(4,310)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(19,753)</w:t>
            </w:r>
          </w:p>
        </w:tc>
      </w:tr>
      <w:tr>
        <w:trPr>
          <w:trHeight w:val="15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acquisition intangibles</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(2,640)</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Selling &amp; Marketing</w:t>
            </w: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57,898</w:t>
            </w: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34,187</w:t>
            </w:r>
          </w:p>
        </w:tc>
      </w:tr>
      <w:tr>
        <w:trPr>
          <w:trHeight w:val="90"/>
        </w:trPr>
        <w:tc>
          <w:tcPr>
            <w:tcW w:w="8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&amp; Administrative &amp; Related Party Expense</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113,833</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117,593</w:t>
            </w:r>
          </w:p>
        </w:tc>
      </w:tr>
      <w:tr>
        <w:trPr>
          <w:trHeight w:val="153"/>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(21,923)</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(88,704)</w:t>
            </w:r>
          </w:p>
        </w:tc>
      </w:tr>
      <w:tr>
        <w:trPr>
          <w:trHeight w:val="15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acquisition intangibles</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(1,520)</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business integration and restructuring costs</w:t>
            </w: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(19,040)</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(5,105)</w:t>
            </w:r>
          </w:p>
        </w:tc>
      </w:tr>
      <w:tr>
        <w:trPr>
          <w:trHeight w:val="158"/>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General &amp; Administrative &amp; Related Party</w:t>
            </w:r>
          </w:p>
        </w:tc>
        <w:tc>
          <w:tcPr>
            <w:tcW w:w="8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71,350</w:t>
            </w: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23,784</w:t>
            </w:r>
          </w:p>
        </w:tc>
      </w:tr>
      <w:tr>
        <w:trPr>
          <w:trHeight w:val="90"/>
        </w:trPr>
        <w:tc>
          <w:tcPr>
            <w:tcW w:w="8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Adjusted Operating Expenses</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165,869</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85,239</w:t>
            </w:r>
          </w:p>
        </w:tc>
      </w:tr>
      <w:tr>
        <w:trPr>
          <w:trHeight w:val="108"/>
        </w:trPr>
        <w:tc>
          <w:tcPr>
            <w:tcW w:w="8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gridSpan w:val="3"/>
          </w:tcPr>
          <w:p>
            <w:pPr>
              <w:spacing w:after="0"/>
              <w:rPr>
                <w:sz w:val="9"/>
                <w:szCs w:val="9"/>
                <w:color w:val="auto"/>
              </w:rPr>
            </w:pPr>
          </w:p>
        </w:tc>
      </w:tr>
      <w:tr>
        <w:trPr>
          <w:trHeight w:val="153"/>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(251,954)</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(242,105)</w:t>
            </w:r>
          </w:p>
        </w:tc>
      </w:tr>
      <w:tr>
        <w:trPr>
          <w:trHeight w:val="153"/>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40,280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164,443</w:t>
            </w:r>
          </w:p>
        </w:tc>
      </w:tr>
      <w:tr>
        <w:trPr>
          <w:trHeight w:val="15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acquisition intangibles</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2,337</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business integration and restructuring costs</w:t>
            </w: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22,997</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5,105</w:t>
            </w:r>
          </w:p>
        </w:tc>
      </w:tr>
      <w:tr>
        <w:trPr>
          <w:trHeight w:val="158"/>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loss from operations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(186,340)</w:t>
            </w: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(72,557)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852" w:right="299" w:bottom="1440" w:gutter="0" w:footer="0" w:header="0"/>
        </w:sectPr>
      </w:pPr>
    </w:p>
    <w:bookmarkStart w:id="14" w:name="page15"/>
    <w:bookmarkEnd w:id="14"/>
    <w:tbl>
      <w:tblPr>
        <w:tblLayout w:type="fixed"/>
        <w:tblInd w:w="8" w:type="dxa"/>
        <w:tblCellMar>
          <w:top w:w="0" w:type="dxa"/>
          <w:left w:w="0" w:type="dxa"/>
          <w:bottom w:w="0" w:type="dxa"/>
          <w:right w:w="0" w:type="dxa"/>
        </w:tblCellMar>
      </w:tblPr>
      <w:tr>
        <w:trPr>
          <w:trHeight w:val="134"/>
        </w:trPr>
        <w:tc>
          <w:tcPr>
            <w:tcW w:w="82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Six months ended June 30,</w:t>
            </w: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r>
        <w:trPr>
          <w:trHeight w:val="128"/>
        </w:trPr>
        <w:tc>
          <w:tcPr>
            <w:tcW w:w="8220" w:type="dxa"/>
            <w:vAlign w:val="bottom"/>
          </w:tcPr>
          <w:p>
            <w:pPr>
              <w:spacing w:after="0"/>
              <w:rPr>
                <w:sz w:val="11"/>
                <w:szCs w:val="11"/>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rPr>
              <w:t>2022</w:t>
            </w: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r>
      <w:tr>
        <w:trPr>
          <w:trHeight w:val="124"/>
        </w:trPr>
        <w:tc>
          <w:tcPr>
            <w:tcW w:w="8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8"/>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(162,638)</w:t>
            </w:r>
          </w:p>
        </w:tc>
        <w:tc>
          <w:tcPr>
            <w:tcW w:w="120" w:type="dxa"/>
            <w:vAlign w:val="bottom"/>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(237,936)</w:t>
            </w:r>
          </w:p>
        </w:tc>
      </w:tr>
      <w:tr>
        <w:trPr>
          <w:trHeight w:val="207"/>
        </w:trPr>
        <w:tc>
          <w:tcPr>
            <w:tcW w:w="82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Interest expense, net </w:t>
            </w:r>
            <w:r>
              <w:rPr>
                <w:rFonts w:ascii="Times New Roman" w:cs="Times New Roman" w:eastAsia="Times New Roman" w:hAnsi="Times New Roman"/>
                <w:sz w:val="15"/>
                <w:szCs w:val="15"/>
                <w:color w:val="auto"/>
                <w:vertAlign w:val="superscript"/>
              </w:rPr>
              <w:t>(1)</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1,415</w:t>
            </w:r>
          </w:p>
        </w:tc>
      </w:tr>
      <w:tr>
        <w:trPr>
          <w:trHeight w:val="15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(49,077)</w:t>
            </w:r>
          </w:p>
        </w:tc>
        <w:tc>
          <w:tcPr>
            <w:tcW w:w="120" w:type="dxa"/>
            <w:vAlign w:val="bottom"/>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2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14,767</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10,521</w:t>
            </w:r>
          </w:p>
        </w:tc>
      </w:tr>
      <w:tr>
        <w:trPr>
          <w:trHeight w:val="15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40,280</w:t>
            </w:r>
          </w:p>
        </w:tc>
        <w:tc>
          <w:tcPr>
            <w:tcW w:w="120" w:type="dxa"/>
            <w:vAlign w:val="bottom"/>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164,443</w:t>
            </w:r>
          </w:p>
        </w:tc>
      </w:tr>
      <w:tr>
        <w:trPr>
          <w:trHeight w:val="207"/>
        </w:trPr>
        <w:tc>
          <w:tcPr>
            <w:tcW w:w="82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Transaction, acquisition and business integration costs </w:t>
            </w:r>
            <w:r>
              <w:rPr>
                <w:rFonts w:ascii="Times New Roman" w:cs="Times New Roman" w:eastAsia="Times New Roman" w:hAnsi="Times New Roman"/>
                <w:sz w:val="15"/>
                <w:szCs w:val="15"/>
                <w:color w:val="auto"/>
                <w:vertAlign w:val="superscript"/>
              </w:rPr>
              <w:t>(2)</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13,436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5,105</w:t>
            </w:r>
          </w:p>
        </w:tc>
      </w:tr>
      <w:tr>
        <w:trPr>
          <w:trHeight w:val="207"/>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Restructuring costs </w:t>
            </w:r>
            <w:r>
              <w:rPr>
                <w:rFonts w:ascii="Times New Roman" w:cs="Times New Roman" w:eastAsia="Times New Roman" w:hAnsi="Times New Roman"/>
                <w:sz w:val="15"/>
                <w:szCs w:val="15"/>
                <w:color w:val="auto"/>
                <w:vertAlign w:val="superscript"/>
              </w:rPr>
              <w:t>(3)</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9,561</w:t>
            </w:r>
          </w:p>
        </w:tc>
        <w:tc>
          <w:tcPr>
            <w:tcW w:w="1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7"/>
        </w:trPr>
        <w:tc>
          <w:tcPr>
            <w:tcW w:w="82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Change in fair market value of warrant and earn-out contingent liabilities </w:t>
            </w:r>
            <w:r>
              <w:rPr>
                <w:rFonts w:ascii="Times New Roman" w:cs="Times New Roman" w:eastAsia="Times New Roman" w:hAnsi="Times New Roman"/>
                <w:sz w:val="15"/>
                <w:szCs w:val="15"/>
                <w:color w:val="auto"/>
                <w:vertAlign w:val="superscript"/>
              </w:rPr>
              <w:t>(4)</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(41,372)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7"/>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Other income </w:t>
            </w:r>
            <w:r>
              <w:rPr>
                <w:rFonts w:ascii="Times New Roman" w:cs="Times New Roman" w:eastAsia="Times New Roman" w:hAnsi="Times New Roman"/>
                <w:sz w:val="15"/>
                <w:szCs w:val="15"/>
                <w:color w:val="auto"/>
                <w:vertAlign w:val="superscript"/>
              </w:rPr>
              <w:t>(5)</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2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(5,584)</w:t>
            </w:r>
          </w:p>
        </w:tc>
      </w:tr>
      <w:tr>
        <w:trPr>
          <w:trHeight w:val="142"/>
        </w:trPr>
        <w:tc>
          <w:tcPr>
            <w:tcW w:w="82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(173,910)</w:t>
            </w:r>
          </w:p>
        </w:tc>
        <w:tc>
          <w:tcPr>
            <w:tcW w:w="1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(62,036)</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__________________</w:t>
      </w:r>
    </w:p>
    <w:p>
      <w:pPr>
        <w:spacing w:after="0" w:line="119" w:lineRule="exact"/>
        <w:rPr>
          <w:sz w:val="20"/>
          <w:szCs w:val="20"/>
          <w:color w:val="auto"/>
        </w:rPr>
      </w:pPr>
    </w:p>
    <w:p>
      <w:pPr>
        <w:ind w:left="208" w:right="220" w:hanging="208"/>
        <w:spacing w:after="0" w:line="281" w:lineRule="auto"/>
        <w:tabs>
          <w:tab w:leader="none" w:pos="20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ind w:left="208" w:right="220" w:hanging="208"/>
        <w:spacing w:after="0" w:line="281" w:lineRule="auto"/>
        <w:tabs>
          <w:tab w:leader="none" w:pos="20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professional service costs incurred in connection with pursuing the business combination transaction that did not meet the requirement for capitalization in 2021. For the first half of 2022, this represents professional service costs incurred in connection with the Acquisition transaction, which include due diligence, legal and business integration costs.</w:t>
      </w: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costs incurred for restructuring activities, which include severance packages offered to impacted employees and third party consulting costs incurred in the first half of 2022.</w:t>
      </w:r>
    </w:p>
    <w:p>
      <w:pPr>
        <w:spacing w:after="0" w:line="11"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change in fair market value of the liabilities associated with our public warrants and private placement warrants and the earn-out shares issuable under the terms of the merger agreement related to our business combination with CMLS.</w:t>
      </w:r>
    </w:p>
    <w:p>
      <w:pPr>
        <w:spacing w:after="0" w:line="20"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six months ended June 30, 2021, the amount represents funding received under the CARES Act Provider Relief Fund in the first quarter of 2021.</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81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jc w:val="center"/>
              <w:ind w:right="944"/>
              <w:spacing w:after="0"/>
              <w:rPr>
                <w:sz w:val="20"/>
                <w:szCs w:val="20"/>
                <w:color w:val="auto"/>
              </w:rPr>
            </w:pPr>
            <w:r>
              <w:rPr>
                <w:rFonts w:ascii="Times New Roman" w:cs="Times New Roman" w:eastAsia="Times New Roman" w:hAnsi="Times New Roman"/>
                <w:sz w:val="10"/>
                <w:szCs w:val="10"/>
                <w:b w:val="1"/>
                <w:bCs w:val="1"/>
                <w:color w:val="auto"/>
                <w:w w:val="96"/>
              </w:rPr>
              <w:t>Six months ended June 31,</w:t>
            </w:r>
          </w:p>
        </w:tc>
      </w:tr>
      <w:tr>
        <w:trPr>
          <w:trHeight w:val="128"/>
        </w:trPr>
        <w:tc>
          <w:tcPr>
            <w:tcW w:w="8160" w:type="dxa"/>
            <w:vAlign w:val="bottom"/>
          </w:tcPr>
          <w:p>
            <w:pPr>
              <w:spacing w:after="0"/>
              <w:rPr>
                <w:sz w:val="11"/>
                <w:szCs w:val="11"/>
                <w:color w:val="auto"/>
              </w:rPr>
            </w:pPr>
          </w:p>
        </w:tc>
        <w:tc>
          <w:tcPr>
            <w:tcW w:w="100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2140" w:type="dxa"/>
            <w:vAlign w:val="bottom"/>
            <w:tcBorders>
              <w:bottom w:val="single" w:sz="8" w:color="auto"/>
            </w:tcBorders>
          </w:tcPr>
          <w:p>
            <w:pPr>
              <w:jc w:val="center"/>
              <w:ind w:left="584"/>
              <w:spacing w:after="0"/>
              <w:rPr>
                <w:sz w:val="20"/>
                <w:szCs w:val="20"/>
                <w:color w:val="auto"/>
              </w:rPr>
            </w:pPr>
            <w:r>
              <w:rPr>
                <w:rFonts w:ascii="Times New Roman" w:cs="Times New Roman" w:eastAsia="Times New Roman" w:hAnsi="Times New Roman"/>
                <w:sz w:val="10"/>
                <w:szCs w:val="10"/>
                <w:b w:val="1"/>
                <w:bCs w:val="1"/>
                <w:color w:val="auto"/>
                <w:w w:val="89"/>
              </w:rPr>
              <w:t>2021</w:t>
            </w:r>
          </w:p>
        </w:tc>
      </w:tr>
      <w:tr>
        <w:trPr>
          <w:trHeight w:val="119"/>
        </w:trPr>
        <w:tc>
          <w:tcPr>
            <w:tcW w:w="8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40" w:type="dxa"/>
            <w:vAlign w:val="bottom"/>
          </w:tcPr>
          <w:p>
            <w:pPr>
              <w:jc w:val="center"/>
              <w:ind w:right="944"/>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r>
      <w:tr>
        <w:trPr>
          <w:trHeight w:val="163"/>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000" w:type="dxa"/>
            <w:vAlign w:val="bottom"/>
          </w:tcPr>
          <w:p>
            <w:pPr>
              <w:jc w:val="center"/>
              <w:ind w:left="442"/>
              <w:spacing w:after="0"/>
              <w:rPr>
                <w:sz w:val="20"/>
                <w:szCs w:val="20"/>
                <w:color w:val="auto"/>
              </w:rPr>
            </w:pPr>
            <w:r>
              <w:rPr>
                <w:rFonts w:ascii="Times New Roman" w:cs="Times New Roman" w:eastAsia="Times New Roman" w:hAnsi="Times New Roman"/>
                <w:sz w:val="12"/>
                <w:szCs w:val="12"/>
                <w:color w:val="auto"/>
                <w:w w:val="97"/>
              </w:rPr>
              <w:t>(162,638)</w:t>
            </w:r>
          </w:p>
        </w:tc>
        <w:tc>
          <w:tcPr>
            <w:tcW w:w="2140" w:type="dxa"/>
            <w:vAlign w:val="bottom"/>
          </w:tcPr>
          <w:p>
            <w:pPr>
              <w:jc w:val="center"/>
              <w:ind w:left="584"/>
              <w:spacing w:after="0"/>
              <w:rPr>
                <w:sz w:val="20"/>
                <w:szCs w:val="20"/>
                <w:color w:val="auto"/>
              </w:rPr>
            </w:pPr>
            <w:r>
              <w:rPr>
                <w:rFonts w:ascii="Times New Roman" w:cs="Times New Roman" w:eastAsia="Times New Roman" w:hAnsi="Times New Roman"/>
                <w:sz w:val="12"/>
                <w:szCs w:val="12"/>
                <w:color w:val="auto"/>
                <w:w w:val="97"/>
              </w:rPr>
              <w:t>(237,936)</w:t>
            </w:r>
          </w:p>
        </w:tc>
      </w:tr>
      <w:tr>
        <w:trPr>
          <w:trHeight w:val="15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0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2"/>
                <w:szCs w:val="12"/>
                <w:color w:val="auto"/>
              </w:rPr>
              <w:t>40,280</w:t>
            </w:r>
          </w:p>
        </w:tc>
        <w:tc>
          <w:tcPr>
            <w:tcW w:w="2140" w:type="dxa"/>
            <w:vAlign w:val="bottom"/>
            <w:shd w:val="clear" w:color="auto" w:fill="CCEEFF"/>
          </w:tcPr>
          <w:p>
            <w:pPr>
              <w:jc w:val="center"/>
              <w:ind w:left="584"/>
              <w:spacing w:after="0"/>
              <w:rPr>
                <w:sz w:val="20"/>
                <w:szCs w:val="20"/>
                <w:color w:val="auto"/>
              </w:rPr>
            </w:pPr>
            <w:r>
              <w:rPr>
                <w:rFonts w:ascii="Times New Roman" w:cs="Times New Roman" w:eastAsia="Times New Roman" w:hAnsi="Times New Roman"/>
                <w:sz w:val="12"/>
                <w:szCs w:val="12"/>
                <w:color w:val="auto"/>
                <w:w w:val="97"/>
              </w:rPr>
              <w:t>164,443</w:t>
            </w:r>
          </w:p>
        </w:tc>
      </w:tr>
      <w:tr>
        <w:trPr>
          <w:trHeight w:val="153"/>
        </w:trPr>
        <w:tc>
          <w:tcPr>
            <w:tcW w:w="8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Amortization of acquisition intangibles</w:t>
            </w:r>
          </w:p>
        </w:tc>
        <w:tc>
          <w:tcPr>
            <w:tcW w:w="1000" w:type="dxa"/>
            <w:vAlign w:val="bottom"/>
          </w:tcPr>
          <w:p>
            <w:pPr>
              <w:jc w:val="center"/>
              <w:ind w:left="442"/>
              <w:spacing w:after="0"/>
              <w:rPr>
                <w:sz w:val="20"/>
                <w:szCs w:val="20"/>
                <w:color w:val="auto"/>
              </w:rPr>
            </w:pPr>
            <w:r>
              <w:rPr>
                <w:rFonts w:ascii="Times New Roman" w:cs="Times New Roman" w:eastAsia="Times New Roman" w:hAnsi="Times New Roman"/>
                <w:sz w:val="12"/>
                <w:szCs w:val="12"/>
                <w:color w:val="auto"/>
                <w:w w:val="96"/>
              </w:rPr>
              <w:t>2,337</w:t>
            </w:r>
          </w:p>
        </w:tc>
        <w:tc>
          <w:tcPr>
            <w:tcW w:w="2140" w:type="dxa"/>
            <w:vAlign w:val="bottom"/>
          </w:tcPr>
          <w:p>
            <w:pPr>
              <w:jc w:val="center"/>
              <w:ind w:left="604"/>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Change in fair market value of warrant and earn-out contingent liabilities</w:t>
            </w:r>
          </w:p>
        </w:tc>
        <w:tc>
          <w:tcPr>
            <w:tcW w:w="100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2"/>
                <w:szCs w:val="12"/>
                <w:color w:val="auto"/>
              </w:rPr>
              <w:t>(41,372)</w:t>
            </w:r>
          </w:p>
        </w:tc>
        <w:tc>
          <w:tcPr>
            <w:tcW w:w="2140" w:type="dxa"/>
            <w:vAlign w:val="bottom"/>
            <w:shd w:val="clear" w:color="auto" w:fill="CCEEFF"/>
          </w:tcPr>
          <w:p>
            <w:pPr>
              <w:jc w:val="center"/>
              <w:ind w:left="604"/>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8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business integration and restructuring costs</w:t>
            </w:r>
          </w:p>
        </w:tc>
        <w:tc>
          <w:tcPr>
            <w:tcW w:w="100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2"/>
                <w:szCs w:val="12"/>
                <w:color w:val="auto"/>
              </w:rPr>
              <w:t>22,997</w:t>
            </w:r>
          </w:p>
        </w:tc>
        <w:tc>
          <w:tcPr>
            <w:tcW w:w="2140" w:type="dxa"/>
            <w:vAlign w:val="bottom"/>
            <w:tcBorders>
              <w:bottom w:val="single" w:sz="8" w:color="auto"/>
            </w:tcBorders>
          </w:tcPr>
          <w:p>
            <w:pPr>
              <w:jc w:val="center"/>
              <w:ind w:left="584"/>
              <w:spacing w:after="0"/>
              <w:rPr>
                <w:sz w:val="20"/>
                <w:szCs w:val="20"/>
                <w:color w:val="auto"/>
              </w:rPr>
            </w:pPr>
            <w:r>
              <w:rPr>
                <w:rFonts w:ascii="Times New Roman" w:cs="Times New Roman" w:eastAsia="Times New Roman" w:hAnsi="Times New Roman"/>
                <w:sz w:val="12"/>
                <w:szCs w:val="12"/>
                <w:color w:val="auto"/>
                <w:w w:val="96"/>
              </w:rPr>
              <w:t>5,105</w:t>
            </w:r>
          </w:p>
        </w:tc>
      </w:tr>
      <w:tr>
        <w:trPr>
          <w:trHeight w:val="158"/>
        </w:trPr>
        <w:tc>
          <w:tcPr>
            <w:tcW w:w="8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Adjusted Net loss</w:t>
            </w:r>
          </w:p>
        </w:tc>
        <w:tc>
          <w:tcPr>
            <w:tcW w:w="1000" w:type="dxa"/>
            <w:vAlign w:val="bottom"/>
            <w:tcBorders>
              <w:bottom w:val="single" w:sz="8" w:color="auto"/>
            </w:tcBorders>
            <w:shd w:val="clear" w:color="auto" w:fill="CCEEFF"/>
          </w:tcPr>
          <w:p>
            <w:pPr>
              <w:jc w:val="center"/>
              <w:ind w:left="442"/>
              <w:spacing w:after="0"/>
              <w:rPr>
                <w:sz w:val="20"/>
                <w:szCs w:val="20"/>
                <w:color w:val="auto"/>
              </w:rPr>
            </w:pPr>
            <w:r>
              <w:rPr>
                <w:rFonts w:ascii="Times New Roman" w:cs="Times New Roman" w:eastAsia="Times New Roman" w:hAnsi="Times New Roman"/>
                <w:sz w:val="12"/>
                <w:szCs w:val="12"/>
                <w:b w:val="1"/>
                <w:bCs w:val="1"/>
                <w:color w:val="auto"/>
                <w:w w:val="97"/>
              </w:rPr>
              <w:t>(138,396)</w:t>
            </w:r>
          </w:p>
        </w:tc>
        <w:tc>
          <w:tcPr>
            <w:tcW w:w="2140" w:type="dxa"/>
            <w:vAlign w:val="bottom"/>
            <w:tcBorders>
              <w:bottom w:val="single" w:sz="8" w:color="auto"/>
            </w:tcBorders>
            <w:shd w:val="clear" w:color="auto" w:fill="CCEEFF"/>
          </w:tcPr>
          <w:p>
            <w:pPr>
              <w:jc w:val="center"/>
              <w:ind w:left="584"/>
              <w:spacing w:after="0"/>
              <w:rPr>
                <w:sz w:val="20"/>
                <w:szCs w:val="20"/>
                <w:color w:val="auto"/>
              </w:rPr>
            </w:pPr>
            <w:r>
              <w:rPr>
                <w:rFonts w:ascii="Times New Roman" w:cs="Times New Roman" w:eastAsia="Times New Roman" w:hAnsi="Times New Roman"/>
                <w:sz w:val="12"/>
                <w:szCs w:val="12"/>
                <w:b w:val="1"/>
                <w:bCs w:val="1"/>
                <w:color w:val="auto"/>
              </w:rPr>
              <w:t>(68,388)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8"/>
          </w:cols>
          <w:pgMar w:left="292" w:top="852" w:right="29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Sema4 Announces Changes to its Research &amp; Development Leadership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Founder Eric Schadt steps down from the organization</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2"/>
          <w:szCs w:val="12"/>
          <w:i w:val="1"/>
          <w:iCs w:val="1"/>
          <w:color w:val="auto"/>
        </w:rPr>
        <w:t xml:space="preserve"> including his role as President &amp; Chief R&amp;D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xml:space="preserve">Matthew Davis named Chief Technology &amp; Product Officer to further drive </w:t>
      </w:r>
      <w:r>
        <w:rPr>
          <w:rFonts w:ascii="Times New Roman" w:cs="Times New Roman" w:eastAsia="Times New Roman" w:hAnsi="Times New Roman"/>
          <w:sz w:val="13"/>
          <w:szCs w:val="13"/>
          <w:i w:val="1"/>
          <w:iCs w:val="1"/>
          <w:color w:val="auto"/>
        </w:rPr>
        <w:t>t</w:t>
      </w:r>
      <w:r>
        <w:rPr>
          <w:rFonts w:ascii="Times New Roman" w:cs="Times New Roman" w:eastAsia="Times New Roman" w:hAnsi="Times New Roman"/>
          <w:sz w:val="12"/>
          <w:szCs w:val="12"/>
          <w:i w:val="1"/>
          <w:iCs w:val="1"/>
          <w:color w:val="auto"/>
        </w:rPr>
        <w:t>he company’s mission to unlock insights from data, leading to healthier lives</w:t>
      </w:r>
    </w:p>
    <w:p>
      <w:pPr>
        <w:spacing w:after="0" w:line="158" w:lineRule="exact"/>
        <w:rPr>
          <w:sz w:val="20"/>
          <w:szCs w:val="20"/>
          <w:color w:val="auto"/>
        </w:rPr>
      </w:pPr>
    </w:p>
    <w:p>
      <w:pPr>
        <w:jc w:val="both"/>
        <w:ind w:right="280"/>
        <w:spacing w:after="0" w:line="351" w:lineRule="auto"/>
        <w:rPr>
          <w:sz w:val="20"/>
          <w:szCs w:val="20"/>
          <w:color w:val="auto"/>
        </w:rPr>
      </w:pPr>
      <w:r>
        <w:rPr>
          <w:rFonts w:ascii="Times New Roman" w:cs="Times New Roman" w:eastAsia="Times New Roman" w:hAnsi="Times New Roman"/>
          <w:sz w:val="11"/>
          <w:szCs w:val="11"/>
          <w:b w:val="1"/>
          <w:bCs w:val="1"/>
          <w:color w:val="auto"/>
        </w:rPr>
        <w:t xml:space="preserve">STAMFORD, CT — August 15, 2022 — </w:t>
      </w:r>
      <w:r>
        <w:rPr>
          <w:rFonts w:ascii="Times New Roman" w:cs="Times New Roman" w:eastAsia="Times New Roman" w:hAnsi="Times New Roman"/>
          <w:sz w:val="11"/>
          <w:szCs w:val="11"/>
          <w:u w:val="single" w:color="auto"/>
          <w:color w:val="0563C1"/>
        </w:rPr>
        <w:t>Sema4</w:t>
      </w:r>
      <w:r>
        <w:rPr>
          <w:rFonts w:ascii="Times New Roman" w:cs="Times New Roman" w:eastAsia="Times New Roman" w:hAnsi="Times New Roman"/>
          <w:sz w:val="11"/>
          <w:szCs w:val="11"/>
          <w:color w:val="auto"/>
        </w:rPr>
        <w:t>, a health insights company, today announced changes to its Research &amp; Development (R&amp;D) leadership. Founder Eric Schadt is resigning from his role as President &amp; Chief R&amp;D</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Officer, as well as his position on the Board of Directors, effective immediately. Joining the R&amp;D organization and the company’s management team is Matthew Davis, PhD, who will serve as Chief Technology &amp; Product Officer.</w:t>
      </w:r>
    </w:p>
    <w:p>
      <w:pPr>
        <w:spacing w:after="0" w:line="30"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2"/>
          <w:szCs w:val="12"/>
          <w:color w:val="auto"/>
        </w:rPr>
        <w:t>Dr. Davis brings more than 20 years of experience in enterprise product and technology development, including significant expertise in the genomics space. He will work particularly closely with Sema4 Chief Science Officer Gustavo Stolovitzky, who is responsible for research initiatives, to drive scientific and product innovation and to deliver on the company’s data and artificial intelligence (AI) strategy for health system and biopharma partners.</w:t>
      </w:r>
    </w:p>
    <w:p>
      <w:pPr>
        <w:spacing w:after="0" w:line="57"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2"/>
          <w:szCs w:val="12"/>
          <w:color w:val="242424"/>
        </w:rPr>
        <w:t>“Eric’s departure from Sema4 marks the start of a new chapter for the company. I would like to thank Eric for his contributions to Sema4 over the years,” said Ms. Stueland. “Eric’s vision has been instrumental in getting Sema4 to where it is today. We wish him well in all his future endeavors.”</w:t>
      </w:r>
    </w:p>
    <w:p>
      <w:pPr>
        <w:spacing w:after="0" w:line="5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2"/>
          <w:szCs w:val="12"/>
          <w:color w:val="auto"/>
        </w:rPr>
        <w:t>Ms. Stueland continued: “I am delighted to welcome Matt to our leadership team, especially as we move into a new phase of commercial scale fueled by customer-centric scientific innovation. Matt has a proven track record in bringing cutting edge technology products and applications to market, which will enable us to further meet the needs of healthcare providers and patients. His leadership and acumen in harnessing innovation will play a key role in delivering critical offerings to ultimately realize a future where precision medicine is truly the standard of care.”</w:t>
      </w:r>
    </w:p>
    <w:p>
      <w:pPr>
        <w:spacing w:after="0" w:line="8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Dr. Davis was most recently Head of AI &amp; Data at Invitae Corp., where he led strategy development and supported the engineering organization in the application of AI to problems in genetics, operations, and decision support tools for internal and external customers. He also led the unification of product and technology strategy following key acquisitions made by Invitae.</w:t>
      </w:r>
    </w:p>
    <w:p>
      <w:pPr>
        <w:spacing w:after="0" w:line="75"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2"/>
          <w:szCs w:val="12"/>
          <w:color w:val="auto"/>
        </w:rPr>
        <w:t>Previously, Dr. Davis served as a group leader at IBM Research where he oversaw the research and development of enterprise product platforms and applications to facilitate human interaction with AI systems. During his time at IBM Research, his academic research leveraged methods in AI and machine learning to solve user problems in social computing, personalization, and recommendation systems. Dr. Davis has published a significant amount of academic research on computer science and genetics.</w:t>
      </w:r>
    </w:p>
    <w:p>
      <w:pPr>
        <w:spacing w:after="0" w:line="71"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2"/>
          <w:szCs w:val="12"/>
          <w:color w:val="auto"/>
        </w:rPr>
        <w:t>“Sema4 has an outstanding reputation for delivering scientific excellence and data-driven health intelligence,” said Dr. Davis. “I look forward to joining this incredibly talented team to help drive our product strategy and roadmap, and to also introduce new technology processes that can further accelerate the insights we provide to patients, health systems, and pharma partners.”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Sema4</w:t>
      </w:r>
    </w:p>
    <w:p>
      <w:pPr>
        <w:spacing w:after="0" w:line="219" w:lineRule="auto"/>
        <w:rPr>
          <w:sz w:val="20"/>
          <w:szCs w:val="20"/>
          <w:color w:val="auto"/>
        </w:rPr>
      </w:pPr>
      <w:r>
        <w:rPr>
          <w:rFonts w:ascii="Times New Roman" w:cs="Times New Roman" w:eastAsia="Times New Roman" w:hAnsi="Times New Roman"/>
          <w:sz w:val="12"/>
          <w:szCs w:val="12"/>
          <w:color w:val="auto"/>
        </w:rPr>
        <w:t>Sema4 is a patient-centered health intelligence company dedicated to advancing healthcare through data-driven insights. Sema4 is transforming healthcare by applying AI and machine learning to multidimensional, longitudinal clinical</w:t>
      </w:r>
    </w:p>
    <w:p>
      <w:pPr>
        <w:ind w:right="60"/>
        <w:spacing w:after="0" w:line="226" w:lineRule="auto"/>
        <w:rPr>
          <w:sz w:val="20"/>
          <w:szCs w:val="20"/>
          <w:color w:val="auto"/>
        </w:rPr>
      </w:pPr>
      <w:r>
        <w:rPr>
          <w:rFonts w:ascii="Times New Roman" w:cs="Times New Roman" w:eastAsia="Times New Roman" w:hAnsi="Times New Roman"/>
          <w:sz w:val="12"/>
          <w:szCs w:val="12"/>
          <w:color w:val="auto"/>
        </w:rPr>
        <w:t>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For more information, please visit sema4.com and connect with Sema4 on </w:t>
      </w:r>
      <w:r>
        <w:rPr>
          <w:rFonts w:ascii="Times New Roman" w:cs="Times New Roman" w:eastAsia="Times New Roman" w:hAnsi="Times New Roman"/>
          <w:sz w:val="11"/>
          <w:szCs w:val="11"/>
          <w:color w:val="0563C1"/>
        </w:rPr>
        <w:t>Twitter</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0563C1"/>
        </w:rPr>
        <w:t>LinkedIn</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0563C1"/>
        </w:rPr>
        <w:t>Facebook</w:t>
      </w:r>
      <w:r>
        <w:rPr>
          <w:rFonts w:ascii="Times New Roman" w:cs="Times New Roman" w:eastAsia="Times New Roman" w:hAnsi="Times New Roman"/>
          <w:sz w:val="11"/>
          <w:szCs w:val="11"/>
          <w:color w:val="auto"/>
        </w:rPr>
        <w:t xml:space="preserve"> and </w:t>
      </w:r>
      <w:r>
        <w:rPr>
          <w:rFonts w:ascii="Times New Roman" w:cs="Times New Roman" w:eastAsia="Times New Roman" w:hAnsi="Times New Roman"/>
          <w:sz w:val="11"/>
          <w:szCs w:val="11"/>
          <w:color w:val="0563C1"/>
        </w:rPr>
        <w:t>YouTube</w:t>
      </w:r>
      <w:r>
        <w:rPr>
          <w:rFonts w:ascii="Times New Roman" w:cs="Times New Roman" w:eastAsia="Times New Roman" w:hAnsi="Times New Roman"/>
          <w:sz w:val="11"/>
          <w:szCs w:val="11"/>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Investor Relations Contact:</w:t>
      </w:r>
    </w:p>
    <w:p>
      <w:pPr>
        <w:spacing w:after="0" w:line="204" w:lineRule="auto"/>
        <w:rPr>
          <w:sz w:val="20"/>
          <w:szCs w:val="20"/>
          <w:color w:val="auto"/>
        </w:rPr>
      </w:pPr>
      <w:r>
        <w:rPr>
          <w:rFonts w:ascii="Times New Roman" w:cs="Times New Roman" w:eastAsia="Times New Roman" w:hAnsi="Times New Roman"/>
          <w:sz w:val="11"/>
          <w:szCs w:val="11"/>
          <w:color w:val="auto"/>
        </w:rPr>
        <w:t>Joel Kaufman</w:t>
      </w:r>
    </w:p>
    <w:p>
      <w:pPr>
        <w:spacing w:after="0"/>
        <w:rPr>
          <w:sz w:val="20"/>
          <w:szCs w:val="20"/>
          <w:color w:val="auto"/>
        </w:rPr>
      </w:pPr>
      <w:r>
        <w:rPr>
          <w:rFonts w:ascii="Times New Roman" w:cs="Times New Roman" w:eastAsia="Times New Roman" w:hAnsi="Times New Roman"/>
          <w:sz w:val="11"/>
          <w:szCs w:val="11"/>
          <w:u w:val="single" w:color="auto"/>
          <w:color w:val="0563C1"/>
        </w:rPr>
        <w:t>investors@sema4.com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Media Contact:</w:t>
      </w:r>
    </w:p>
    <w:p>
      <w:pPr>
        <w:spacing w:after="0" w:line="204" w:lineRule="auto"/>
        <w:rPr>
          <w:sz w:val="20"/>
          <w:szCs w:val="20"/>
          <w:color w:val="auto"/>
        </w:rPr>
      </w:pPr>
      <w:r>
        <w:rPr>
          <w:rFonts w:ascii="Times New Roman" w:cs="Times New Roman" w:eastAsia="Times New Roman" w:hAnsi="Times New Roman"/>
          <w:sz w:val="11"/>
          <w:szCs w:val="11"/>
          <w:color w:val="auto"/>
        </w:rPr>
        <w:t>Radley Moss</w:t>
      </w:r>
    </w:p>
    <w:p>
      <w:pPr>
        <w:spacing w:after="0"/>
        <w:rPr>
          <w:sz w:val="20"/>
          <w:szCs w:val="20"/>
          <w:color w:val="auto"/>
        </w:rPr>
      </w:pPr>
      <w:r>
        <w:rPr>
          <w:rFonts w:ascii="Times New Roman" w:cs="Times New Roman" w:eastAsia="Times New Roman" w:hAnsi="Times New Roman"/>
          <w:sz w:val="11"/>
          <w:szCs w:val="11"/>
          <w:u w:val="single" w:color="auto"/>
          <w:color w:val="0563C1"/>
        </w:rPr>
        <w:t>radley.moss@sema4.com</w:t>
      </w:r>
    </w:p>
    <w:sectPr>
      <w:pgSz w:w="11900" w:h="16838" w:orient="portrait"/>
      <w:cols w:equalWidth="0" w:num="1">
        <w:col w:w="11300"/>
      </w:cols>
      <w:pgMar w:left="300" w:top="13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2022-08-15T16:00:28Z</dcterms:created>
  <dcterms:modified xsi:type="dcterms:W3CDTF">2022-08-15T16:00:28Z</dcterms:modified>
</cp:coreProperties>
</file>