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84"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Casdin Capital,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01/31/2023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GeneDx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WGS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84"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137"/>
        <w:spacing w:after="0" w:line="331" w:lineRule="auto"/>
        <w:rPr>
          <w:sz w:val="20"/>
          <w:szCs w:val="20"/>
          <w:color w:val="auto"/>
        </w:rPr>
      </w:pPr>
      <w:r>
        <w:rPr>
          <w:rFonts w:ascii="Arial" w:cs="Arial" w:eastAsia="Arial" w:hAnsi="Arial"/>
          <w:sz w:val="20"/>
          <w:szCs w:val="20"/>
          <w:color w:val="0000FF"/>
        </w:rPr>
        <w:t>1350 AVENUE OF THE AMERICAS SUITE 2600</w:t>
      </w:r>
    </w:p>
    <w:p>
      <w:pPr>
        <w:spacing w:after="0" w:line="230"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10019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5" w:lineRule="exact"/>
        <w:rPr>
          <w:sz w:val="24"/>
          <w:szCs w:val="24"/>
          <w:color w:val="auto"/>
        </w:rPr>
      </w:pPr>
    </w:p>
    <w:p>
      <w:pPr>
        <w:sectPr>
          <w:pgSz w:w="11900" w:h="16884" w:orient="portrait"/>
          <w:cols w:equalWidth="0" w:num="3">
            <w:col w:w="4277" w:space="720"/>
            <w:col w:w="3003" w:space="269"/>
            <w:col w:w="2671"/>
          </w:cols>
          <w:pgMar w:left="480" w:top="236" w:right="479" w:bottom="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2760" w:type="dxa"/>
            <w:vAlign w:val="bottom"/>
            <w:tcBorders>
              <w:bottom w:val="single" w:sz="8" w:color="2C2C2C"/>
            </w:tcBorders>
            <w:gridSpan w:val="6"/>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87,866,042</w:t>
            </w: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89"/>
              </w:rPr>
              <w:t>See Footnote</w:t>
            </w:r>
            <w:r>
              <w:rPr>
                <w:rFonts w:ascii="Arial" w:cs="Arial" w:eastAsia="Arial" w:hAnsi="Arial"/>
                <w:sz w:val="25"/>
                <w:szCs w:val="25"/>
                <w:color w:val="008000"/>
                <w:w w:val="89"/>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6"/>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14,285,743</w:t>
            </w: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89"/>
              </w:rPr>
              <w:t>See Footnote</w:t>
            </w:r>
            <w:r>
              <w:rPr>
                <w:rFonts w:ascii="Arial" w:cs="Arial" w:eastAsia="Arial" w:hAnsi="Arial"/>
                <w:sz w:val="25"/>
                <w:szCs w:val="25"/>
                <w:color w:val="008000"/>
                <w:w w:val="89"/>
                <w:vertAlign w:val="superscript"/>
              </w:rPr>
              <w:t>(2)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80" w:type="dxa"/>
            <w:vAlign w:val="bottom"/>
            <w:vMerge w:val="restart"/>
          </w:tcPr>
          <w:p>
            <w:pPr>
              <w:ind w:left="3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4"/>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Casdin Capital, LLC</w:t>
              </w:r>
            </w:hyperlink>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20"/>
                <w:szCs w:val="20"/>
                <w:color w:val="0000FF"/>
              </w:rPr>
              <w:t>1350 AVENUE OF THE AMERICAS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SUITE 2600</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440" w:type="dxa"/>
            <w:vAlign w:val="bottom"/>
            <w:gridSpan w:val="3"/>
          </w:tcPr>
          <w:p>
            <w:pPr>
              <w:ind w:left="180"/>
              <w:spacing w:after="0"/>
              <w:rPr>
                <w:sz w:val="20"/>
                <w:szCs w:val="20"/>
                <w:color w:val="auto"/>
              </w:rPr>
            </w:pPr>
            <w:r>
              <w:rPr>
                <w:rFonts w:ascii="Arial" w:cs="Arial" w:eastAsia="Arial" w:hAnsi="Arial"/>
                <w:sz w:val="20"/>
                <w:szCs w:val="20"/>
                <w:color w:val="0000FF"/>
              </w:rPr>
              <w:t>NY</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10019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4"/>
          </w:tcPr>
          <w:p>
            <w:pPr>
              <w:spacing w:after="0" w:line="249" w:lineRule="exact"/>
              <w:rPr>
                <w:rFonts w:ascii="Arial" w:cs="Arial" w:eastAsia="Arial" w:hAnsi="Arial"/>
                <w:sz w:val="24"/>
                <w:szCs w:val="24"/>
                <w:color w:val="0000EE"/>
                <w:w w:val="96"/>
              </w:rPr>
            </w:pPr>
            <w:hyperlink r:id="rId12">
              <w:r>
                <w:rPr>
                  <w:rFonts w:ascii="Arial" w:cs="Arial" w:eastAsia="Arial" w:hAnsi="Arial"/>
                  <w:sz w:val="24"/>
                  <w:szCs w:val="24"/>
                  <w:color w:val="0000EE"/>
                  <w:w w:val="96"/>
                </w:rPr>
                <w:t>Casdin Partners GP, LLC</w:t>
              </w:r>
            </w:hyperlink>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4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20"/>
                <w:szCs w:val="20"/>
                <w:color w:val="0000FF"/>
              </w:rPr>
              <w:t>1350 AVENUE OF THE AMERICAS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SUITE 2600</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440" w:type="dxa"/>
            <w:vAlign w:val="bottom"/>
            <w:gridSpan w:val="3"/>
          </w:tcPr>
          <w:p>
            <w:pPr>
              <w:ind w:left="180"/>
              <w:spacing w:after="0"/>
              <w:rPr>
                <w:sz w:val="20"/>
                <w:szCs w:val="20"/>
                <w:color w:val="auto"/>
              </w:rPr>
            </w:pPr>
            <w:r>
              <w:rPr>
                <w:rFonts w:ascii="Arial" w:cs="Arial" w:eastAsia="Arial" w:hAnsi="Arial"/>
                <w:sz w:val="20"/>
                <w:szCs w:val="20"/>
                <w:color w:val="0000FF"/>
              </w:rPr>
              <w:t>NY</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10019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84" w:orient="portrait"/>
          <w:cols w:equalWidth="0" w:num="1">
            <w:col w:w="10940"/>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84" w:orient="portrait"/>
          <w:cols w:equalWidth="0" w:num="1">
            <w:col w:w="10940"/>
          </w:cols>
          <w:pgMar w:left="480" w:top="236" w:right="47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4100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4100830"/>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Casdin Partners Master Fund, L.P.</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1350 AVENUE OF THE AMERICAS</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SUITE 2600</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10019</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Casdin Partners FO1-MSV, LP</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1350 AVENUE OF THE AMERICAS</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SUITE 2600</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10019</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20" w:firstLine="5"/>
        <w:spacing w:after="0" w:line="260" w:lineRule="auto"/>
        <w:tabs>
          <w:tab w:leader="none" w:pos="15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87,866,042 shares of Class A common stock reported in the table above are owned directly by Casdin Partners Master Fund, LP and may be deemed to be indirectly beneficially owned by (i) Casdin Capital, LLC, the investment adviser to Casdin Partners Master Fund, LP, (ii) Casdin Partners GP, LLC, the general partner of Casdin Partners Master Fund LP, and (iii) Mr. Casdin, the managing member of Casdin Capital, LLC and Casdin Partners GP, LLC. Each of Casdin Capital, LLC, Casdin Partners GP, LLC and Mr. Casdin disclaims beneficial ownership of such securities except to the extent of its or his respective pecuniary interest therein.</w:t>
      </w:r>
    </w:p>
    <w:p>
      <w:pPr>
        <w:spacing w:after="0" w:line="22" w:lineRule="exact"/>
        <w:rPr>
          <w:rFonts w:ascii="Arial" w:cs="Arial" w:eastAsia="Arial" w:hAnsi="Arial"/>
          <w:sz w:val="14"/>
          <w:szCs w:val="14"/>
          <w:color w:val="008000"/>
        </w:rPr>
      </w:pPr>
    </w:p>
    <w:p>
      <w:pPr>
        <w:ind w:firstLine="5"/>
        <w:spacing w:after="0" w:line="238"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14,285,743 shares of Class A common stock reported in the table above are owned directly by Casdin Partners FO1-MSV, LP and may be deemed to be indirectly beneficially owned by (i) Casdin Capital, LLC, the investment adviser to Casdin Partners FO1-MSV, LP, (ii) Casdin Partners GP, LLC, the general partner of Casdin Partners FO1-MSV, LP, and (iii) Mr. Casdin, the managing member of Casdin Capital, LLC and Casdin Partners GP, LLC. Each of Casdin Capital, LLC, Casdin Partners GP, LLC and Mr. Casdin disclaims beneficial ownership of such securities except to the extent of its or his respective pecuniary interest therein.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40"/>
          </w:cols>
          <w:pgMar w:left="520" w:top="268" w:right="539" w:bottom="1157" w:gutter="0" w:footer="0" w:header="0"/>
        </w:sectPr>
      </w:pPr>
    </w:p>
    <w:p>
      <w:pPr>
        <w:spacing w:after="0" w:line="156"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CASDIN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3223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133223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Name: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777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47775"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1318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1318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LLC, Name: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932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493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Casdin,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0332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033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973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CASDIN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0680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068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MASTER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429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042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Casdin 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333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568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956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Name: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777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47775"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CASDIN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0680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068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FO1-MSV,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270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227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Partners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79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0979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Name: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1572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1572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Eli Casdin,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4518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8451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0000FF"/>
        </w:rPr>
        <w:t>02/10/2023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02/10/2023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02/10/2023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02/10/2023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706" w:lineRule="exact"/>
        <w:rPr>
          <w:sz w:val="20"/>
          <w:szCs w:val="20"/>
          <w:color w:val="auto"/>
        </w:rPr>
      </w:pPr>
    </w:p>
    <w:p>
      <w:pPr>
        <w:sectPr>
          <w:pgSz w:w="11900" w:h="16838" w:orient="portrait"/>
          <w:cols w:equalWidth="0" w:num="2">
            <w:col w:w="8640" w:space="80"/>
            <w:col w:w="2120"/>
          </w:cols>
          <w:pgMar w:left="520" w:top="268" w:right="539" w:bottom="1157"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8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20" w:top="268" w:right="539" w:bottom="1157" w:gutter="0" w:footer="0" w:header="0"/>
          <w:type w:val="continuous"/>
        </w:sectPr>
      </w:pPr>
    </w:p>
    <w:bookmarkStart w:id="2" w:name="page3"/>
    <w:bookmarkEnd w:id="2"/>
    <w:p>
      <w:pPr>
        <w:jc w:val="right"/>
        <w:ind w:right="619"/>
        <w:spacing w:after="0"/>
        <w:rPr>
          <w:sz w:val="20"/>
          <w:szCs w:val="20"/>
          <w:color w:val="auto"/>
        </w:rPr>
      </w:pPr>
      <w:r>
        <w:rPr>
          <w:rFonts w:ascii="Courier New" w:cs="Courier New" w:eastAsia="Courier New" w:hAnsi="Courier New"/>
          <w:sz w:val="20"/>
          <w:szCs w:val="20"/>
          <w:color w:val="auto"/>
        </w:rPr>
        <w:t>Exhibit 99.1</w:t>
      </w:r>
    </w:p>
    <w:p>
      <w:pPr>
        <w:spacing w:after="0" w:line="200" w:lineRule="exact"/>
        <w:rPr>
          <w:sz w:val="20"/>
          <w:szCs w:val="20"/>
          <w:color w:val="auto"/>
        </w:rPr>
      </w:pPr>
    </w:p>
    <w:p>
      <w:pPr>
        <w:spacing w:after="0" w:line="249" w:lineRule="exact"/>
        <w:rPr>
          <w:sz w:val="20"/>
          <w:szCs w:val="20"/>
          <w:color w:val="auto"/>
        </w:rPr>
      </w:pPr>
    </w:p>
    <w:p>
      <w:pPr>
        <w:ind w:left="2920"/>
        <w:spacing w:after="0"/>
        <w:rPr>
          <w:sz w:val="20"/>
          <w:szCs w:val="20"/>
          <w:color w:val="auto"/>
        </w:rPr>
      </w:pPr>
      <w:r>
        <w:rPr>
          <w:rFonts w:ascii="Courier New" w:cs="Courier New" w:eastAsia="Courier New" w:hAnsi="Courier New"/>
          <w:sz w:val="20"/>
          <w:szCs w:val="20"/>
          <w:color w:val="auto"/>
        </w:rPr>
        <w:t>Form 3 Joint Filer Information</w:t>
      </w:r>
    </w:p>
    <w:p>
      <w:pPr>
        <w:sectPr>
          <w:pgSz w:w="11900" w:h="16838" w:orient="portrait"/>
          <w:cols w:equalWidth="0" w:num="1">
            <w:col w:w="9979"/>
          </w:cols>
          <w:pgMar w:left="480" w:top="136"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Casdin Partners GP, LLC</w:t>
      </w:r>
    </w:p>
    <w:p>
      <w:pPr>
        <w:spacing w:after="0" w:line="200" w:lineRule="exact"/>
        <w:rPr>
          <w:sz w:val="20"/>
          <w:szCs w:val="20"/>
          <w:color w:val="auto"/>
        </w:rPr>
      </w:pPr>
    </w:p>
    <w:p>
      <w:pPr>
        <w:sectPr>
          <w:pgSz w:w="11900" w:h="16838" w:orient="portrait"/>
          <w:cols w:equalWidth="0" w:num="2">
            <w:col w:w="4540" w:space="720"/>
            <w:col w:w="4719"/>
          </w:cols>
          <w:pgMar w:left="480" w:top="136" w:right="1440"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1350 Avenue of the Americas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Suite 2600</w:t>
      </w:r>
    </w:p>
    <w:p>
      <w:pPr>
        <w:spacing w:after="0" w:line="238" w:lineRule="auto"/>
        <w:rPr>
          <w:sz w:val="20"/>
          <w:szCs w:val="20"/>
          <w:color w:val="auto"/>
        </w:rPr>
      </w:pPr>
      <w:r>
        <w:rPr>
          <w:rFonts w:ascii="Courier New" w:cs="Courier New" w:eastAsia="Courier New" w:hAnsi="Courier New"/>
          <w:sz w:val="20"/>
          <w:szCs w:val="20"/>
          <w:color w:val="auto"/>
        </w:rPr>
        <w:t>New York, NY 10019</w:t>
      </w:r>
    </w:p>
    <w:p>
      <w:pPr>
        <w:spacing w:after="0" w:line="200" w:lineRule="exact"/>
        <w:rPr>
          <w:sz w:val="20"/>
          <w:szCs w:val="20"/>
          <w:color w:val="auto"/>
        </w:rPr>
      </w:pPr>
    </w:p>
    <w:p>
      <w:pPr>
        <w:sectPr>
          <w:pgSz w:w="11900" w:h="16838" w:orient="portrait"/>
          <w:cols w:equalWidth="0" w:num="2">
            <w:col w:w="4540" w:space="720"/>
            <w:col w:w="4719"/>
          </w:cols>
          <w:pgMar w:left="480" w:top="136" w:right="1440"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01/31/2023</w:t>
      </w:r>
    </w:p>
    <w:p>
      <w:pPr>
        <w:spacing w:after="0" w:line="200" w:lineRule="exact"/>
        <w:rPr>
          <w:sz w:val="20"/>
          <w:szCs w:val="20"/>
          <w:color w:val="auto"/>
        </w:rPr>
      </w:pPr>
    </w:p>
    <w:p>
      <w:pPr>
        <w:sectPr>
          <w:pgSz w:w="11900" w:h="16838" w:orient="portrait"/>
          <w:cols w:equalWidth="0" w:num="2">
            <w:col w:w="4540" w:space="720"/>
            <w:col w:w="4719"/>
          </w:cols>
          <w:pgMar w:left="480" w:top="136" w:right="1440"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Casdin Partners Master Fund, LP</w:t>
      </w:r>
    </w:p>
    <w:p>
      <w:pPr>
        <w:spacing w:after="0" w:line="200" w:lineRule="exact"/>
        <w:rPr>
          <w:sz w:val="20"/>
          <w:szCs w:val="20"/>
          <w:color w:val="auto"/>
        </w:rPr>
      </w:pPr>
    </w:p>
    <w:p>
      <w:pPr>
        <w:sectPr>
          <w:pgSz w:w="11900" w:h="16838" w:orient="portrait"/>
          <w:cols w:equalWidth="0" w:num="2">
            <w:col w:w="4540" w:space="720"/>
            <w:col w:w="4719"/>
          </w:cols>
          <w:pgMar w:left="480" w:top="136" w:right="1440"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1350 Avenue of the Americas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Suite 2600</w:t>
      </w:r>
    </w:p>
    <w:p>
      <w:pPr>
        <w:spacing w:after="0" w:line="238" w:lineRule="auto"/>
        <w:rPr>
          <w:sz w:val="20"/>
          <w:szCs w:val="20"/>
          <w:color w:val="auto"/>
        </w:rPr>
      </w:pPr>
      <w:r>
        <w:rPr>
          <w:rFonts w:ascii="Courier New" w:cs="Courier New" w:eastAsia="Courier New" w:hAnsi="Courier New"/>
          <w:sz w:val="20"/>
          <w:szCs w:val="20"/>
          <w:color w:val="auto"/>
        </w:rPr>
        <w:t>New York, NY 10019</w:t>
      </w:r>
    </w:p>
    <w:p>
      <w:pPr>
        <w:spacing w:after="0" w:line="200" w:lineRule="exact"/>
        <w:rPr>
          <w:sz w:val="20"/>
          <w:szCs w:val="20"/>
          <w:color w:val="auto"/>
        </w:rPr>
      </w:pPr>
    </w:p>
    <w:p>
      <w:pPr>
        <w:sectPr>
          <w:pgSz w:w="11900" w:h="16838" w:orient="portrait"/>
          <w:cols w:equalWidth="0" w:num="2">
            <w:col w:w="4540" w:space="720"/>
            <w:col w:w="4719"/>
          </w:cols>
          <w:pgMar w:left="480" w:top="136" w:right="1440"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01/31/2023</w:t>
      </w:r>
    </w:p>
    <w:p>
      <w:pPr>
        <w:spacing w:after="0" w:line="200" w:lineRule="exact"/>
        <w:rPr>
          <w:sz w:val="20"/>
          <w:szCs w:val="20"/>
          <w:color w:val="auto"/>
        </w:rPr>
      </w:pPr>
    </w:p>
    <w:p>
      <w:pPr>
        <w:sectPr>
          <w:pgSz w:w="11900" w:h="16838" w:orient="portrait"/>
          <w:cols w:equalWidth="0" w:num="2">
            <w:col w:w="4540" w:space="720"/>
            <w:col w:w="4719"/>
          </w:cols>
          <w:pgMar w:left="480" w:top="136" w:right="1440"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Casdin Partners FO1-MSV, LP</w:t>
      </w:r>
    </w:p>
    <w:p>
      <w:pPr>
        <w:spacing w:after="0" w:line="200" w:lineRule="exact"/>
        <w:rPr>
          <w:sz w:val="20"/>
          <w:szCs w:val="20"/>
          <w:color w:val="auto"/>
        </w:rPr>
      </w:pPr>
    </w:p>
    <w:p>
      <w:pPr>
        <w:sectPr>
          <w:pgSz w:w="11900" w:h="16838" w:orient="portrait"/>
          <w:cols w:equalWidth="0" w:num="2">
            <w:col w:w="4540" w:space="720"/>
            <w:col w:w="4719"/>
          </w:cols>
          <w:pgMar w:left="480" w:top="136" w:right="1440"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1350 Avenue of the Americas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Suite 2600</w:t>
      </w:r>
    </w:p>
    <w:p>
      <w:pPr>
        <w:spacing w:after="0" w:line="238" w:lineRule="auto"/>
        <w:rPr>
          <w:sz w:val="20"/>
          <w:szCs w:val="20"/>
          <w:color w:val="auto"/>
        </w:rPr>
      </w:pPr>
      <w:r>
        <w:rPr>
          <w:rFonts w:ascii="Courier New" w:cs="Courier New" w:eastAsia="Courier New" w:hAnsi="Courier New"/>
          <w:sz w:val="20"/>
          <w:szCs w:val="20"/>
          <w:color w:val="auto"/>
        </w:rPr>
        <w:t>New York, NY 10019</w:t>
      </w:r>
    </w:p>
    <w:p>
      <w:pPr>
        <w:spacing w:after="0" w:line="200" w:lineRule="exact"/>
        <w:rPr>
          <w:sz w:val="20"/>
          <w:szCs w:val="20"/>
          <w:color w:val="auto"/>
        </w:rPr>
      </w:pPr>
    </w:p>
    <w:p>
      <w:pPr>
        <w:sectPr>
          <w:pgSz w:w="11900" w:h="16838" w:orient="portrait"/>
          <w:cols w:equalWidth="0" w:num="2">
            <w:col w:w="4540" w:space="720"/>
            <w:col w:w="4719"/>
          </w:cols>
          <w:pgMar w:left="480" w:top="136" w:right="1440"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01/31/2023</w:t>
      </w:r>
    </w:p>
    <w:sectPr>
      <w:pgSz w:w="11900" w:h="16838" w:orient="portrait"/>
      <w:cols w:equalWidth="0" w:num="2">
        <w:col w:w="4540" w:space="720"/>
        <w:col w:w="4719"/>
      </w:cols>
      <w:pgMar w:left="48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10" Type="http://schemas.openxmlformats.org/officeDocument/2006/relationships/hyperlink" Target="http://www.sec.gov/cgi-bin/browse-edgar?action=getcompany&amp;CIK=0001534261" TargetMode="External"/><Relationship Id="rId11" Type="http://schemas.openxmlformats.org/officeDocument/2006/relationships/hyperlink" Target="http://www.sec.gov/cgi-bin/browse-edgar?action=getcompany&amp;CIK=0001818331" TargetMode="External"/><Relationship Id="rId12" Type="http://schemas.openxmlformats.org/officeDocument/2006/relationships/hyperlink" Target="http://www.sec.gov/cgi-bin/browse-edgar?action=getcompany&amp;CIK=0001534260" TargetMode="External"/><Relationship Id="rId14" Type="http://schemas.openxmlformats.org/officeDocument/2006/relationships/hyperlink" Target="http://www.sec.gov/cgi-bin/browse-edgar?action=getcompany&amp;CIK=0001534265" TargetMode="External"/><Relationship Id="rId15" Type="http://schemas.openxmlformats.org/officeDocument/2006/relationships/hyperlink" Target="http://www.sec.gov/cgi-bin/browse-edgar?action=getcompany&amp;CIK=00019387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2023-02-10T15:12:51Z</dcterms:created>
  <dcterms:modified xsi:type="dcterms:W3CDTF">2023-02-10T15:12:51Z</dcterms:modified>
</cp:coreProperties>
</file>