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262</w:t>
      </w:r>
      <w:r>
        <w:rPr>
          <w:sz w:val="20"/>
          <w:szCs w:val="20"/>
          <w:color w:val="auto"/>
        </w:rPr>
        <w:tab/>
      </w:r>
      <w:r>
        <w:rPr>
          <w:rFonts w:ascii="Times New Roman" w:cs="Times New Roman" w:eastAsia="Times New Roman" w:hAnsi="Times New Roman"/>
          <w:sz w:val="21"/>
          <w:szCs w:val="21"/>
          <w:color w:val="auto"/>
        </w:rPr>
        <w:t>8307.92</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27194263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09/03/2024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262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09/03/2024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07/29/2024 274</w:t>
            </w:r>
          </w:p>
        </w:tc>
        <w:tc>
          <w:tcPr>
            <w:tcW w:w="158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rPr>
              <w:t>9189.96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06/17/2024 2646</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74907.46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06/10/2024 895</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22303.4</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Represents shares to be sold on behalf of the Reporting Person to cover tax withholding obligations in connection</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with the vesting of restricted stock units.</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09/03/2024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9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Feeley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2024-09-03T20:50:08Z</dcterms:created>
  <dcterms:modified xsi:type="dcterms:W3CDTF">2024-09-03T20:50:08Z</dcterms:modified>
</cp:coreProperties>
</file>