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17,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88265</wp:posOffset>
            </wp:positionV>
            <wp:extent cx="144018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19" w:right="359" w:bottom="1440" w:gutter="0" w:footer="0" w:header="0"/>
        </w:sectPr>
      </w:pPr>
    </w:p>
    <w:p>
      <w:pPr>
        <w:spacing w:after="0" w:line="15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019"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019"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2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20" w:type="dxa"/>
            <w:vAlign w:val="bottom"/>
          </w:tcPr>
          <w:p>
            <w:pPr>
              <w:spacing w:after="0"/>
              <w:rPr>
                <w:sz w:val="18"/>
                <w:szCs w:val="18"/>
                <w:color w:val="auto"/>
              </w:rPr>
            </w:pPr>
          </w:p>
        </w:tc>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20" w:type="dxa"/>
            <w:vAlign w:val="bottom"/>
          </w:tcPr>
          <w:p>
            <w:pPr>
              <w:spacing w:after="0"/>
              <w:rPr>
                <w:sz w:val="15"/>
                <w:szCs w:val="15"/>
                <w:color w:val="auto"/>
              </w:rPr>
            </w:pPr>
          </w:p>
        </w:tc>
        <w:tc>
          <w:tcPr>
            <w:tcW w:w="5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19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9" w:right="359" w:bottom="1440" w:gutter="0" w:footer="0" w:header="0"/>
          <w:type w:val="continuous"/>
        </w:sectPr>
      </w:pPr>
    </w:p>
    <w:bookmarkStart w:id="1" w:name="page2"/>
    <w:bookmarkEnd w:id="1"/>
    <w:p>
      <w:pPr>
        <w:ind w:right="300"/>
        <w:spacing w:after="0" w:line="333"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On September 17, 2025, the Board of Directors (the “Board”) of GeneDx Holdings Corp., a Delaware corporation (the “Company”), appointed Thomas Fuchs, Dr.sc., effective immediately, as a Class I director on the Board with a term expiring at the Company’s 2028 Annual Meeting of Stockholders. In connection with Dr. Fuchs’s appointment to the Board, the Company increased the size of the Board from 7 to 8 directors.</w:t>
      </w:r>
    </w:p>
    <w:p>
      <w:pPr>
        <w:spacing w:after="0" w:line="19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Dr. Fuchs serves as SVP and Chief AI Officer at Eli Lilly and Company (“Lilly”), where he provides vision, strategic direction, and overall leadership of artificial intelligence (“AI”) initiatives for drug discovery, clinical trials, manufacturing, commercial activities, and internal functions. He also identifies, builds and manages AI and machine learning solutions to help Lilly deliver medicines to patients around the world. Before joining Lilly, he was the Dean and inaugural Department Chair for AI and Human Health at Mount Sinai, Director of the Hasso Plattner Institute for Digital Health at Mount Sinai, and the endowed Barbara T. Murphy Professor for AI and Computational Pathology at the Icahn School of Medicine at Mount Sinai. Prior to Mount Sinai, Dr. Fuchs held positions at Memorial Sloan Kettering Cancer Center, NASA’s Jet Propulsion Laboratory and the California Institute of Technology, and founded three companies, including Paige AI. Dr. Fuchs holds a doctoral degree in machine learning from ETH Zurich and a master’s degree in technical mathematics from Graz Technical University in Austria.</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Dr. Fuchs will be compensated in accordance with the Company’s Non-Employee Director Compensation Policy, which is generally described under the heading “Executive Compensation—Director Compensation—Current Non-Employee Director Compensation Policy” in the Company’s Definitive Proxy Statement on Schedule 14A filed with the Securities and Exchange Commission (the “SEC”) on April 30, 2025. In particular and in accordance with the policy, Dr. Fuchs will receive an initial restricted stock unit grant equal to $420,000, which will vest over the three-year period following the grant date, subject to Dr. Fuchs continuing to provide services to the Company through such vesting date. In addition, the Company intends to enter into a standard form indemnity agreement with Dr. Fuchs, a copy of which was filed with the SEC as Exhibit 10.4 to the Company’s Current Report on Form 8-K (File No. 001-39482) dated July 28, 2021 and incorporated by reference herein.</w:t>
      </w:r>
    </w:p>
    <w:p>
      <w:pPr>
        <w:spacing w:after="0" w:line="12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Dr. Fuchs is not a party to any arrangement or understanding with any person pursuant to which he was elected as a director, nor a party to any transaction requiring disclosure pursuant to Item 404(a)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p>
        </w:tc>
        <w:tc>
          <w:tcPr>
            <w:tcW w:w="8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tc>
        <w:tc>
          <w:tcPr>
            <w:tcW w:w="0" w:type="dxa"/>
            <w:vAlign w:val="bottom"/>
          </w:tcPr>
          <w:p>
            <w:pPr>
              <w:spacing w:after="0"/>
              <w:rPr>
                <w:sz w:val="1"/>
                <w:szCs w:val="1"/>
                <w:color w:val="auto"/>
              </w:rPr>
            </w:pPr>
          </w:p>
        </w:tc>
      </w:tr>
      <w:tr>
        <w:trPr>
          <w:trHeight w:val="81"/>
        </w:trPr>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8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8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8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5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18, 2025</w:t>
            </w:r>
          </w:p>
        </w:tc>
        <w:tc>
          <w:tcPr>
            <w:tcW w:w="2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2025-09-18T07:23:09Z</dcterms:created>
  <dcterms:modified xsi:type="dcterms:W3CDTF">2025-09-18T07:23:09Z</dcterms:modified>
</cp:coreProperties>
</file>