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5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333-258467</w:t>
      </w:r>
    </w:p>
    <w:p>
      <w:pPr>
        <w:spacing w:after="0" w:line="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4</w:t>
      </w:r>
    </w:p>
    <w:p>
      <w:pPr>
        <w:spacing w:after="0" w:line="5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March 28,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28575</wp:posOffset>
            </wp:positionV>
            <wp:extent cx="1928495" cy="5918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28495" cy="5918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Sema4 Holdings Corp.</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229,657,978 Shares of Common Stock</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7,236,667 Warrants to Purchase Shares of Common Stock</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21,994,972 Shares of Common Stock Underlying Warrants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2105025</wp:posOffset>
            </wp:positionH>
            <wp:positionV relativeFrom="paragraph">
              <wp:posOffset>95250</wp:posOffset>
            </wp:positionV>
            <wp:extent cx="10712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395" w:lineRule="exact"/>
        <w:rPr>
          <w:sz w:val="24"/>
          <w:szCs w:val="24"/>
          <w:color w:val="auto"/>
        </w:rPr>
      </w:pPr>
    </w:p>
    <w:p>
      <w:pPr>
        <w:jc w:val="both"/>
        <w:ind w:firstLine="324"/>
        <w:spacing w:after="0" w:line="277" w:lineRule="auto"/>
        <w:rPr>
          <w:sz w:val="20"/>
          <w:szCs w:val="20"/>
          <w:color w:val="auto"/>
        </w:rPr>
      </w:pPr>
      <w:r>
        <w:rPr>
          <w:rFonts w:ascii="Times New Roman" w:cs="Times New Roman" w:eastAsia="Times New Roman" w:hAnsi="Times New Roman"/>
          <w:sz w:val="18"/>
          <w:szCs w:val="18"/>
          <w:color w:val="auto"/>
        </w:rPr>
        <w:t>This prospectus supplement supplements the prospectus dated March 28, 2022 (the “Prospectus”), which forms a part of our registration statement on Form S-1 (No. 333-258467). This prospectus supplement is being filed to update and supplement the information in the Prospectus with the information contained in Items 5.02 and 9.01 and the related exhibits from our Current Report on Form 8-K, filed with the Securities and Exchange Commission (the “SEC”) on June 14, 2022. Accordingly, we have attached Items 5.02 and 9.01 and the related exhibits from the Current Report on Form 8-K to this prospectus supplement.</w:t>
      </w:r>
    </w:p>
    <w:p>
      <w:pPr>
        <w:spacing w:after="0" w:line="223" w:lineRule="exact"/>
        <w:rPr>
          <w:sz w:val="24"/>
          <w:szCs w:val="24"/>
          <w:color w:val="auto"/>
        </w:rPr>
      </w:pPr>
    </w:p>
    <w:p>
      <w:pPr>
        <w:jc w:val="both"/>
        <w:ind w:firstLine="324"/>
        <w:spacing w:after="0" w:line="292" w:lineRule="auto"/>
        <w:rPr>
          <w:sz w:val="20"/>
          <w:szCs w:val="20"/>
          <w:color w:val="auto"/>
        </w:rPr>
      </w:pPr>
      <w:r>
        <w:rPr>
          <w:rFonts w:ascii="Times New Roman" w:cs="Times New Roman" w:eastAsia="Times New Roman" w:hAnsi="Times New Roman"/>
          <w:sz w:val="18"/>
          <w:szCs w:val="18"/>
          <w:color w:val="auto"/>
        </w:rPr>
        <w:t>The Prospectus and this prospectus supplement relate to the offer and sale from time to time by the selling securityholders named in this prospectus (the “Selling Securityholders”) of (A) up to 229,657,978 shares of our Class A common stock, par value $0.0001 per share (“Class A common stock” or “common stock”), consisting of (i) up to 29,125,620 shares of our Class A common stock (the “Prior PIPE Shares”) issued in a private placement pursuant to subscription agreements each entered into on February 9, 2021 (the “Prior PIPE Investment”); (ii) up to 11,068,750 shares of our Class A common stock (the “Founder Shares”) issued in connection with the consummation of the Business Combination (as defined below), in exchange for shares of our Class B common stock originally issued in a private placement to CMLS Holdings LLC (the “Former Sponsor”); (iii) up to 182,917,984 shares of our Class A common stock issued or issuable to certain former stockholders and equity award holders of Sema4 (the “Sema4 equity holders”) in connection with or as a result of the consummation of the Business Combination, consisting of (a) up to 149,856,840 shares of our Class A common stock; (b) up to 14,039,568 shares of our Class A common stock issuable upon the exercise or vesting of certain equity awards; and (c) up to 19,021,576 shares of Class A common stock (the “Earn-Out Shares”) that certain Sema4 equity holders have the contingent right to receive upon the achievement of certain vesting conditions; and (iv) up to 7,236,667 shares of our Class A common stock issuable upon the exercise of the private placement warrants (as defined below); and (B) up to 7,236,667 warrants (the “private placement warrants”) originally issued in a private placement to the Former Sponsor and certain of the other Initial Stockholders (as defined in the Prospectus).</w:t>
      </w:r>
    </w:p>
    <w:p>
      <w:pPr>
        <w:spacing w:after="0" w:line="142" w:lineRule="exact"/>
        <w:rPr>
          <w:sz w:val="24"/>
          <w:szCs w:val="24"/>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In addition, the Prospectus and this prospectus supplement relate to the offer and sale of: (i) up to 14,758,305 shares of our Class A common stock that are issuable by us upon the exercise of 14,758,305 warrants (the “public warrants”) originally issued in our initial public offering (the “IPO”); and (ii) up to 7,236,667 shares of our Class A common stock that are issuable by us upon the exercise of the private placement warrants following the public resale of the private placement warrants by the Selling Securityholders pursuant to the Prospectus and this prospectus supplement.</w:t>
      </w:r>
    </w:p>
    <w:p>
      <w:pPr>
        <w:sectPr>
          <w:pgSz w:w="11900" w:h="16838" w:orient="portrait"/>
          <w:cols w:equalWidth="0" w:num="1">
            <w:col w:w="11240"/>
          </w:cols>
          <w:pgMar w:left="320" w:top="1440" w:right="339" w:bottom="1440" w:gutter="0" w:footer="0" w:header="0"/>
        </w:sectPr>
      </w:pPr>
    </w:p>
    <w:bookmarkStart w:id="1" w:name="page2"/>
    <w:bookmarkEnd w:id="1"/>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Our common stock and public warrants are listed on the Nasdaq Global Select Market (the “Nasdaq”) under the symbol “SMFR” and “SMFRW”, respectively. On June 13, 2022, the last reported sales price of our common stock was $1.45 per share and the last reported sales price of our public warrants was $0.36 per warrant.</w:t>
      </w:r>
    </w:p>
    <w:p>
      <w:pPr>
        <w:spacing w:after="0" w:line="129"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w:t>
      </w:r>
    </w:p>
    <w:p>
      <w:pPr>
        <w:spacing w:after="0" w:line="136" w:lineRule="exact"/>
        <w:rPr>
          <w:sz w:val="20"/>
          <w:szCs w:val="20"/>
          <w:color w:val="auto"/>
        </w:rPr>
      </w:pPr>
    </w:p>
    <w:p>
      <w:pPr>
        <w:jc w:val="both"/>
        <w:ind w:firstLine="324"/>
        <w:spacing w:after="0" w:line="313"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of 1933, as amended, and, as such, have elected to comply with certain reduced disclosure and regulatory requirements.</w:t>
      </w:r>
    </w:p>
    <w:p>
      <w:pPr>
        <w:spacing w:after="0" w:line="118" w:lineRule="exact"/>
        <w:rPr>
          <w:sz w:val="20"/>
          <w:szCs w:val="20"/>
          <w:color w:val="auto"/>
        </w:rPr>
      </w:pPr>
    </w:p>
    <w:p>
      <w:pPr>
        <w:jc w:val="both"/>
        <w:ind w:right="20" w:firstLine="324"/>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Investing in our securities involves risks. See the section entitled “Risk Factors” beginning on page 9 of the Prospectus to read about factors you should consider before buying our securities.</w:t>
      </w:r>
    </w:p>
    <w:p>
      <w:pPr>
        <w:spacing w:after="0" w:line="113" w:lineRule="exact"/>
        <w:rPr>
          <w:sz w:val="20"/>
          <w:szCs w:val="20"/>
          <w:color w:val="auto"/>
        </w:rPr>
      </w:pPr>
    </w:p>
    <w:p>
      <w:pPr>
        <w:jc w:val="both"/>
        <w:ind w:firstLine="324"/>
        <w:spacing w:after="0" w:line="31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June 14, 2022</w:t>
      </w:r>
    </w:p>
    <w:p>
      <w:pPr>
        <w:sectPr>
          <w:pgSz w:w="11900" w:h="16838" w:orient="portrait"/>
          <w:cols w:equalWidth="0" w:num="1">
            <w:col w:w="11240"/>
          </w:cols>
          <w:pgMar w:left="320" w:top="143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CURRENT REPORT</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Pursuant to Section 13 OR 15(d) of The Securities Exchange Act of 1934</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Date of Report (date of earliest event reported): </w:t>
      </w:r>
      <w:r>
        <w:rPr>
          <w:rFonts w:ascii="Times New Roman" w:cs="Times New Roman" w:eastAsia="Times New Roman" w:hAnsi="Times New Roman"/>
          <w:sz w:val="22"/>
          <w:szCs w:val="22"/>
          <w:b w:val="1"/>
          <w:bCs w:val="1"/>
          <w:color w:val="auto"/>
        </w:rPr>
        <w:t>June 14, 2022 (June 10, 2022)</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Sema4 Holdings Corp.</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252"/>
        </w:trPr>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7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001-39482</w:t>
            </w:r>
          </w:p>
        </w:tc>
        <w:tc>
          <w:tcPr>
            <w:tcW w:w="100" w:type="dxa"/>
            <w:vAlign w:val="bottom"/>
          </w:tcPr>
          <w:p>
            <w:pPr>
              <w:spacing w:after="0"/>
              <w:rPr>
                <w:sz w:val="21"/>
                <w:szCs w:val="21"/>
                <w:color w:val="auto"/>
              </w:rPr>
            </w:pPr>
          </w:p>
        </w:tc>
        <w:tc>
          <w:tcPr>
            <w:tcW w:w="4180" w:type="dxa"/>
            <w:vAlign w:val="bottom"/>
          </w:tcPr>
          <w:p>
            <w:pPr>
              <w:jc w:val="right"/>
              <w:ind w:right="1570"/>
              <w:spacing w:after="0"/>
              <w:rPr>
                <w:sz w:val="20"/>
                <w:szCs w:val="20"/>
                <w:color w:val="auto"/>
              </w:rPr>
            </w:pPr>
            <w:r>
              <w:rPr>
                <w:rFonts w:ascii="Times New Roman" w:cs="Times New Roman" w:eastAsia="Times New Roman" w:hAnsi="Times New Roman"/>
                <w:sz w:val="18"/>
                <w:szCs w:val="18"/>
                <w:b w:val="1"/>
                <w:bCs w:val="1"/>
                <w:color w:val="auto"/>
              </w:rPr>
              <w:t>85-1966622</w:t>
            </w:r>
          </w:p>
        </w:tc>
      </w:tr>
      <w:tr>
        <w:trPr>
          <w:trHeight w:val="27"/>
        </w:trPr>
        <w:tc>
          <w:tcPr>
            <w:tcW w:w="4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r>
      <w:tr>
        <w:trPr>
          <w:trHeight w:val="169"/>
        </w:trPr>
        <w:tc>
          <w:tcPr>
            <w:tcW w:w="42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80" w:type="dxa"/>
            <w:vAlign w:val="bottom"/>
          </w:tcPr>
          <w:p>
            <w:pPr>
              <w:spacing w:after="0"/>
              <w:rPr>
                <w:sz w:val="14"/>
                <w:szCs w:val="14"/>
                <w:color w:val="auto"/>
              </w:rPr>
            </w:pPr>
          </w:p>
        </w:tc>
        <w:tc>
          <w:tcPr>
            <w:tcW w:w="26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(Commission File Number)</w:t>
            </w:r>
          </w:p>
        </w:tc>
        <w:tc>
          <w:tcPr>
            <w:tcW w:w="100" w:type="dxa"/>
            <w:vAlign w:val="bottom"/>
          </w:tcPr>
          <w:p>
            <w:pPr>
              <w:spacing w:after="0"/>
              <w:rPr>
                <w:sz w:val="14"/>
                <w:szCs w:val="14"/>
                <w:color w:val="auto"/>
              </w:rPr>
            </w:pPr>
          </w:p>
        </w:tc>
        <w:tc>
          <w:tcPr>
            <w:tcW w:w="41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organization)</w:t>
            </w:r>
          </w:p>
        </w:tc>
        <w:tc>
          <w:tcPr>
            <w:tcW w:w="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80" w:type="dxa"/>
            <w:vAlign w:val="bottom"/>
          </w:tcPr>
          <w:p>
            <w:pPr>
              <w:spacing w:after="0"/>
              <w:rPr>
                <w:sz w:val="20"/>
                <w:szCs w:val="20"/>
                <w:color w:val="auto"/>
              </w:rPr>
            </w:pPr>
          </w:p>
        </w:tc>
      </w:tr>
      <w:tr>
        <w:trPr>
          <w:trHeight w:val="306"/>
        </w:trPr>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333 Ludlow Street, North Tower, 8th Floor</w:t>
            </w:r>
          </w:p>
        </w:tc>
        <w:tc>
          <w:tcPr>
            <w:tcW w:w="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283"/>
        </w:trPr>
        <w:tc>
          <w:tcPr>
            <w:tcW w:w="422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b w:val="1"/>
                <w:bCs w:val="1"/>
                <w:color w:val="auto"/>
              </w:rPr>
              <w:t>Stamford, Connecticut</w:t>
            </w:r>
          </w:p>
        </w:tc>
        <w:tc>
          <w:tcPr>
            <w:tcW w:w="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80" w:type="dxa"/>
            <w:vAlign w:val="bottom"/>
            <w:tcBorders>
              <w:bottom w:val="single" w:sz="8" w:color="auto"/>
            </w:tcBorders>
          </w:tcPr>
          <w:p>
            <w:pPr>
              <w:jc w:val="right"/>
              <w:ind w:right="1770"/>
              <w:spacing w:after="0"/>
              <w:rPr>
                <w:sz w:val="20"/>
                <w:szCs w:val="20"/>
                <w:color w:val="auto"/>
              </w:rPr>
            </w:pPr>
            <w:r>
              <w:rPr>
                <w:rFonts w:ascii="Times New Roman" w:cs="Times New Roman" w:eastAsia="Times New Roman" w:hAnsi="Times New Roman"/>
                <w:sz w:val="18"/>
                <w:szCs w:val="18"/>
                <w:b w:val="1"/>
                <w:bCs w:val="1"/>
                <w:color w:val="auto"/>
              </w:rPr>
              <w:t>06902</w:t>
            </w:r>
          </w:p>
        </w:tc>
      </w:tr>
      <w:tr>
        <w:trPr>
          <w:trHeight w:val="228"/>
        </w:trPr>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346"/>
        </w:trPr>
        <w:tc>
          <w:tcPr>
            <w:tcW w:w="4220" w:type="dxa"/>
            <w:vAlign w:val="bottom"/>
          </w:tcPr>
          <w:p>
            <w:pPr>
              <w:spacing w:after="0"/>
              <w:rPr>
                <w:sz w:val="24"/>
                <w:szCs w:val="24"/>
                <w:color w:val="auto"/>
              </w:rPr>
            </w:pPr>
          </w:p>
        </w:tc>
        <w:tc>
          <w:tcPr>
            <w:tcW w:w="27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(800) 298-6470</w:t>
            </w:r>
          </w:p>
        </w:tc>
        <w:tc>
          <w:tcPr>
            <w:tcW w:w="100" w:type="dxa"/>
            <w:vAlign w:val="bottom"/>
          </w:tcPr>
          <w:p>
            <w:pPr>
              <w:spacing w:after="0"/>
              <w:rPr>
                <w:sz w:val="24"/>
                <w:szCs w:val="24"/>
                <w:color w:val="auto"/>
              </w:rPr>
            </w:pPr>
          </w:p>
        </w:tc>
        <w:tc>
          <w:tcPr>
            <w:tcW w:w="4180" w:type="dxa"/>
            <w:vAlign w:val="bottom"/>
          </w:tcPr>
          <w:p>
            <w:pPr>
              <w:spacing w:after="0"/>
              <w:rPr>
                <w:sz w:val="24"/>
                <w:szCs w:val="24"/>
                <w:color w:val="auto"/>
              </w:rPr>
            </w:pPr>
          </w:p>
        </w:tc>
      </w:tr>
    </w:tbl>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(Former name or former address, if changed since last report.)</w:t>
      </w:r>
    </w:p>
    <w:p>
      <w:pPr>
        <w:spacing w:after="0" w:line="232"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0"/>
          <w:szCs w:val="20"/>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13e-4(c) under the Exchange Act (17 CFR 240.13e-4(c))</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4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1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c>
          <w:tcPr>
            <w:tcW w:w="0" w:type="dxa"/>
            <w:vAlign w:val="bottom"/>
          </w:tcPr>
          <w:p>
            <w:pPr>
              <w:spacing w:after="0"/>
              <w:rPr>
                <w:sz w:val="1"/>
                <w:szCs w:val="1"/>
                <w:color w:val="auto"/>
              </w:rPr>
            </w:pPr>
          </w:p>
        </w:tc>
      </w:tr>
      <w:tr>
        <w:trPr>
          <w:trHeight w:val="223"/>
        </w:trPr>
        <w:tc>
          <w:tcPr>
            <w:tcW w:w="4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$0.0001 per share</w:t>
            </w:r>
          </w:p>
        </w:tc>
        <w:tc>
          <w:tcPr>
            <w:tcW w:w="8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SMFR</w:t>
            </w:r>
          </w:p>
        </w:tc>
        <w:tc>
          <w:tcPr>
            <w:tcW w:w="100" w:type="dxa"/>
            <w:vAlign w:val="bottom"/>
            <w:tcBorders>
              <w:top w:val="single" w:sz="8" w:color="CCEEFF"/>
            </w:tcBorders>
            <w:shd w:val="clear" w:color="auto" w:fill="CCEEFF"/>
          </w:tcPr>
          <w:p>
            <w:pPr>
              <w:spacing w:after="0"/>
              <w:rPr>
                <w:sz w:val="19"/>
                <w:szCs w:val="19"/>
                <w:color w:val="auto"/>
              </w:rPr>
            </w:pPr>
          </w:p>
        </w:tc>
        <w:tc>
          <w:tcPr>
            <w:tcW w:w="4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c>
          <w:tcPr>
            <w:tcW w:w="0" w:type="dxa"/>
            <w:vAlign w:val="bottom"/>
          </w:tcPr>
          <w:p>
            <w:pPr>
              <w:spacing w:after="0"/>
              <w:rPr>
                <w:sz w:val="1"/>
                <w:szCs w:val="1"/>
                <w:color w:val="auto"/>
              </w:rPr>
            </w:pPr>
          </w:p>
        </w:tc>
      </w:tr>
      <w:tr>
        <w:trPr>
          <w:trHeight w:val="176"/>
        </w:trPr>
        <w:tc>
          <w:tcPr>
            <w:tcW w:w="486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w w:val="99"/>
              </w:rPr>
              <w:t>Warrants to purchase one share of Class A common stock, each</w:t>
            </w:r>
          </w:p>
        </w:tc>
        <w:tc>
          <w:tcPr>
            <w:tcW w:w="2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8"/>
              </w:rPr>
              <w:t>SMFRW</w:t>
            </w:r>
          </w:p>
        </w:tc>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c>
          <w:tcPr>
            <w:tcW w:w="0" w:type="dxa"/>
            <w:vAlign w:val="bottom"/>
          </w:tcPr>
          <w:p>
            <w:pPr>
              <w:spacing w:after="0"/>
              <w:rPr>
                <w:sz w:val="1"/>
                <w:szCs w:val="1"/>
                <w:color w:val="auto"/>
              </w:rPr>
            </w:pPr>
          </w:p>
        </w:tc>
      </w:tr>
      <w:tr>
        <w:trPr>
          <w:trHeight w:val="148"/>
        </w:trPr>
        <w:tc>
          <w:tcPr>
            <w:tcW w:w="48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rPr>
              <w:t>at an exercise price of $11.50 per share</w:t>
            </w:r>
          </w:p>
        </w:tc>
        <w:tc>
          <w:tcPr>
            <w:tcW w:w="2100" w:type="dxa"/>
            <w:vAlign w:val="bottom"/>
            <w:gridSpan w:val="2"/>
            <w:vMerge w:val="continue"/>
          </w:tcPr>
          <w:p>
            <w:pPr>
              <w:spacing w:after="0"/>
              <w:rPr>
                <w:sz w:val="12"/>
                <w:szCs w:val="12"/>
                <w:color w:val="auto"/>
              </w:rPr>
            </w:pPr>
          </w:p>
        </w:tc>
        <w:tc>
          <w:tcPr>
            <w:tcW w:w="4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4860" w:type="dxa"/>
            <w:vAlign w:val="bottom"/>
            <w:gridSpan w:val="2"/>
            <w:vMerge w:val="continue"/>
          </w:tcPr>
          <w:p>
            <w:pPr>
              <w:spacing w:after="0"/>
              <w:rPr>
                <w:sz w:val="7"/>
                <w:szCs w:val="7"/>
                <w:color w:val="auto"/>
              </w:rPr>
            </w:pPr>
          </w:p>
        </w:tc>
        <w:tc>
          <w:tcPr>
            <w:tcW w:w="2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231F20"/>
        </w:rPr>
        <w:t xml:space="preserve">Emerging growth company </w:t>
      </w:r>
      <w:r>
        <w:rPr>
          <w:rFonts w:ascii="MS PGothic" w:cs="MS PGothic" w:eastAsia="MS PGothic" w:hAnsi="MS PGothic"/>
          <w:sz w:val="18"/>
          <w:szCs w:val="18"/>
          <w:color w:val="000000"/>
        </w:rPr>
        <w:t>☒</w:t>
      </w:r>
    </w:p>
    <w:p>
      <w:pPr>
        <w:spacing w:after="0" w:line="146" w:lineRule="exact"/>
        <w:rPr>
          <w:sz w:val="20"/>
          <w:szCs w:val="20"/>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ectPr>
          <w:pgSz w:w="11900" w:h="16838" w:orient="portrait"/>
          <w:cols w:equalWidth="0" w:num="1">
            <w:col w:w="11240"/>
          </w:cols>
          <w:pgMar w:left="320" w:top="956" w:right="339" w:bottom="1440" w:gutter="0" w:footer="0" w:header="0"/>
        </w:sectPr>
      </w:pPr>
    </w:p>
    <w:bookmarkStart w:id="3" w:name="page4"/>
    <w:bookmarkEnd w:id="3"/>
    <w:p>
      <w:pPr>
        <w:ind w:right="300"/>
        <w:spacing w:after="0" w:line="315" w:lineRule="auto"/>
        <w:rPr>
          <w:sz w:val="20"/>
          <w:szCs w:val="20"/>
          <w:color w:val="auto"/>
        </w:rPr>
      </w:pPr>
      <w:r>
        <w:rPr>
          <w:rFonts w:ascii="Times New Roman" w:cs="Times New Roman" w:eastAsia="Times New Roman" w:hAnsi="Times New Roman"/>
          <w:sz w:val="20"/>
          <w:szCs w:val="20"/>
          <w:b w:val="1"/>
          <w:bCs w:val="1"/>
          <w:color w:val="auto"/>
        </w:rPr>
        <w:t>Item 5.02 Departure of Directors or Certain Officers; Election of Directors; Appointment of Certain Officers; Compensatory Arrangements of Certain Officers.</w:t>
      </w:r>
    </w:p>
    <w:p>
      <w:pPr>
        <w:spacing w:after="0" w:line="172"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Departure of Directors or Certain Officers.</w:t>
      </w:r>
    </w:p>
    <w:p>
      <w:pPr>
        <w:spacing w:after="0" w:line="24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On June 14, 2022, Sema4 Holdings Corp. (“Sema4 Holdings” or the “Company”) announced that, pursuant to a CFO transition plan adopted June 10, 2022 (the “Transition Plan”), its Chief Financial Officer, Isaac Ro, will leave the Company to pursue other career opportunities. Mr. Ro’s last day of employment will be August 9, 2022. Pursuant to his employment agreement with the Company, Mr. Ro will be entitled to nine months of salary continuation payments and twelve months of COBRA continuation benefits, subject to his execution of a release of claims. The Company also entered into a six-month consulting agreement with Mr. Ro (the “Consulting Agreement”), pursuant to which Mr. Ro will provide advisory services to the Company following his last day of employment in exchange for continued vesting of his equity-based incentive compensation awards, as well as an additional six-months of partial accelerated vesting at the conclusion of such six-month consulting period, subject to Mr. Ro’s reaffirmation of his release of claims. The foregoing description of the Consulting Agreement does not purport to be complete and is qualified in its entirety by reference to the full text of the Consulting Agreement, a copy of which is attached hereto as Exhibit 10.1 and is incorporated herein by reference.</w:t>
      </w:r>
    </w:p>
    <w:p>
      <w:pPr>
        <w:spacing w:after="0" w:line="210"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Appointment of Certain Officers.</w:t>
      </w:r>
    </w:p>
    <w:p>
      <w:pPr>
        <w:spacing w:after="0" w:line="24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7"/>
          <w:szCs w:val="17"/>
          <w:color w:val="auto"/>
        </w:rPr>
        <w:t>Pursuant to the Transition Plan, Richard Miao, the Company’s current Senior Vice President of Financial Planning &amp; Analysis and Treasurer, was promoted to Deputy Chief Financial Officer and appointed to serve as the Interim Chief Financial Officer, effective June 13, 2022. In this role, Mr. Miao will assume the responsibilities of Principal Financial Officer while the Company conducts a search to fill the Chief Financial Officer position on a permanent basis.</w:t>
      </w:r>
    </w:p>
    <w:p>
      <w:pPr>
        <w:spacing w:after="0" w:line="18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Mr. Miao has served as Senior Vice President of Financial Planning &amp; Analysis and Treasurer of the Company since May 2021. Prior to joining the Company, Mr. Miao served as Senior Vice President of Corporate Finance and Treasurer at Endeavor Group Holdings, a global talent and media agency, from October 2017 to May 2021. Prior to that role, Mr. Miao served as Senior Vice President of Corporate Finance at William Morris Endeavor, a global talent and media agency, from December 2014 to October 2017. Mr. Miao received a B.A. in Economics from Northwestern University and an M.B.A from the NYU Stern School of Business.</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appointment, the Compensation Committee of the Board of Directors of the Company approved (i) a salary increase for Mr. Miao for a total annual base salary of $360,000, (ii) target annual bonus of 50% of annual base salary, and (iii) a $100,000 cash retention bonus payable three months following the start date of the Company’s permanent Chief Financial Officer.</w:t>
      </w:r>
    </w:p>
    <w:p>
      <w:pPr>
        <w:spacing w:after="0" w:line="19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Mr. Miao has no family relationships that require disclosure pursuant to Item 401(d) of Regulation S-K and has not been involved in any transactions that require disclosure pursuant to Item 404(a) of Regulation S-K. There is no arrangement or understanding between Mr. Miao and any other person pursuant to which Mr. Miao was named Interim Chief Financial Officer and Deputy Chief Financial Officer of the Company.</w:t>
      </w:r>
    </w:p>
    <w:p>
      <w:pPr>
        <w:spacing w:after="0" w:line="194" w:lineRule="exact"/>
        <w:rPr>
          <w:sz w:val="20"/>
          <w:szCs w:val="20"/>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Compensatory Arrangements with Certain Officers.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previously announced, on April 29, 2022, the Company completed its acquisition of GeneDx, Inc. and Dr. Eric Schadt was appointed President and Chief Research &amp; Development Officer of the Company and ceased serving as the Chief Executive Officer of the Company (the “Appointment”).</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June 14, 2022, the Company and Dr. Eric Schadt entered into an amendment (the “Amendment”) to Dr. Schadt’s amended and restated employment agreement, dated as of July 21, 2021 (the “Employment Agreement”), in order to extend the period during which Dr. Schadt may provide the Company with written notice of “Good Reason” (within the meaning of the Employment Agreement) as a result of the Appointment through April 28, 2023.</w:t>
      </w: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Amendment does not purport to be complete and is qualified in its entirety by reference to the full text of the Amendment, a copy of which is attached as Exhibit 10.2 and is incorporated herein by reference.</w:t>
      </w:r>
    </w:p>
    <w:p>
      <w:pPr>
        <w:sectPr>
          <w:pgSz w:w="11900" w:h="16838" w:orient="portrait"/>
          <w:cols w:equalWidth="0" w:num="1">
            <w:col w:w="11240"/>
          </w:cols>
          <w:pgMar w:left="320" w:top="909" w:right="339" w:bottom="1440" w:gutter="0" w:footer="0" w:header="0"/>
        </w:sectPr>
      </w:pPr>
    </w:p>
    <w:bookmarkStart w:id="4" w:name="page5"/>
    <w:bookmarkEnd w:id="4"/>
    <w:p>
      <w:pPr>
        <w:spacing w:after="0" w:line="185" w:lineRule="auto"/>
        <w:framePr w:w="400" w:h="160" w:wrap="auto" w:vAnchor="page" w:hAnchor="page" w:x="760" w:y="3044"/>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99.1</w:t>
      </w:r>
    </w:p>
    <w:p>
      <w:pPr>
        <w:spacing w:after="0" w:line="185" w:lineRule="auto"/>
        <w:framePr w:w="400" w:h="160" w:wrap="auto" w:vAnchor="page" w:hAnchor="page" w:x="760" w:y="2788"/>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10.2</w:t>
      </w:r>
    </w:p>
    <w:p>
      <w:pPr>
        <w:spacing w:after="0" w:line="185" w:lineRule="auto"/>
        <w:framePr w:w="400" w:h="160" w:wrap="auto" w:vAnchor="page" w:hAnchor="page" w:x="760" w:y="2531"/>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w:t>
      </w:r>
    </w:p>
    <w:p>
      <w:pPr>
        <w:spacing w:after="0" w:line="193" w:lineRule="auto"/>
        <w:framePr w:w="880" w:h="176" w:wrap="auto" w:vAnchor="page" w:hAnchor="page" w:x="280" w:y="909"/>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Item 9.01</w:t>
      </w:r>
    </w:p>
    <w:p>
      <w:pPr>
        <w:spacing w:after="0" w:line="193" w:lineRule="auto"/>
        <w:framePr w:w="1080" w:h="176" w:wrap="auto" w:vAnchor="page" w:hAnchor="page" w:x="280" w:y="1368"/>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(d) Exhibits.</w:t>
      </w:r>
    </w:p>
    <w:p>
      <w:pPr>
        <w:spacing w:after="0" w:line="184" w:lineRule="auto"/>
        <w:framePr w:w="720" w:h="176" w:wrap="auto" w:vAnchor="page" w:hAnchor="page" w:x="600" w:y="1948"/>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Exhibit</w:t>
      </w:r>
    </w:p>
    <w:p>
      <w:pPr>
        <w:spacing w:after="0" w:line="193" w:lineRule="auto"/>
        <w:framePr w:w="780" w:h="176" w:wrap="auto" w:vAnchor="page" w:hAnchor="page" w:x="580" w:y="2218"/>
        <w:rPr>
          <w:rFonts w:ascii="Times New Roman" w:cs="Times New Roman" w:eastAsia="Times New Roman" w:hAnsi="Times New Roman"/>
          <w:sz w:val="19"/>
          <w:szCs w:val="19"/>
          <w:b w:val="1"/>
          <w:bCs w:val="1"/>
          <w:u w:val="single" w:color="auto"/>
          <w:color w:val="auto"/>
        </w:rPr>
      </w:pPr>
      <w:r>
        <w:rPr>
          <w:rFonts w:ascii="Times New Roman" w:cs="Times New Roman" w:eastAsia="Times New Roman" w:hAnsi="Times New Roman"/>
          <w:sz w:val="19"/>
          <w:szCs w:val="19"/>
          <w:b w:val="1"/>
          <w:bCs w:val="1"/>
          <w:u w:val="single" w:color="auto"/>
          <w:color w:val="auto"/>
        </w:rPr>
        <w:t>Number</w:t>
      </w:r>
    </w:p>
    <w:p>
      <w:pPr>
        <w:ind w:left="1340"/>
        <w:spacing w:after="0"/>
        <w:rPr>
          <w:sz w:val="20"/>
          <w:szCs w:val="20"/>
          <w:color w:val="auto"/>
        </w:rPr>
      </w:pPr>
      <w:r>
        <w:rPr>
          <w:rFonts w:ascii="Times New Roman" w:cs="Times New Roman" w:eastAsia="Times New Roman" w:hAnsi="Times New Roman"/>
          <w:sz w:val="20"/>
          <w:szCs w:val="20"/>
          <w:b w:val="1"/>
          <w:bCs w:val="1"/>
          <w:color w:val="auto"/>
        </w:rPr>
        <w:t>Financial Statements and Exhibits.</w:t>
      </w:r>
    </w:p>
    <w:p>
      <w:pPr>
        <w:spacing w:after="0" w:line="200" w:lineRule="exact"/>
        <w:rPr>
          <w:rFonts w:ascii="Times New Roman" w:cs="Times New Roman" w:eastAsia="Times New Roman" w:hAnsi="Times New Roman"/>
          <w:sz w:val="19"/>
          <w:szCs w:val="19"/>
          <w:b w:val="1"/>
          <w:bCs w:val="1"/>
          <w:u w:val="single" w:color="auto"/>
          <w:color w:val="auto"/>
        </w:rPr>
      </w:pPr>
    </w:p>
    <w:p>
      <w:pPr>
        <w:spacing w:after="0" w:line="200" w:lineRule="exact"/>
        <w:rPr>
          <w:rFonts w:ascii="Times New Roman" w:cs="Times New Roman" w:eastAsia="Times New Roman" w:hAnsi="Times New Roman"/>
          <w:sz w:val="19"/>
          <w:szCs w:val="19"/>
          <w:b w:val="1"/>
          <w:bCs w:val="1"/>
          <w:u w:val="single" w:color="auto"/>
          <w:color w:val="auto"/>
        </w:rPr>
      </w:pPr>
    </w:p>
    <w:p>
      <w:pPr>
        <w:spacing w:after="0" w:line="200" w:lineRule="exact"/>
        <w:rPr>
          <w:rFonts w:ascii="Times New Roman" w:cs="Times New Roman" w:eastAsia="Times New Roman" w:hAnsi="Times New Roman"/>
          <w:sz w:val="19"/>
          <w:szCs w:val="19"/>
          <w:b w:val="1"/>
          <w:bCs w:val="1"/>
          <w:u w:val="single" w:color="auto"/>
          <w:color w:val="auto"/>
        </w:rPr>
      </w:pPr>
    </w:p>
    <w:p>
      <w:pPr>
        <w:spacing w:after="0" w:line="200" w:lineRule="exact"/>
        <w:rPr>
          <w:rFonts w:ascii="Times New Roman" w:cs="Times New Roman" w:eastAsia="Times New Roman" w:hAnsi="Times New Roman"/>
          <w:sz w:val="19"/>
          <w:szCs w:val="19"/>
          <w:b w:val="1"/>
          <w:bCs w:val="1"/>
          <w:u w:val="single" w:color="auto"/>
          <w:color w:val="auto"/>
        </w:rPr>
      </w:pPr>
    </w:p>
    <w:p>
      <w:pPr>
        <w:spacing w:after="0" w:line="334" w:lineRule="exact"/>
        <w:rPr>
          <w:rFonts w:ascii="Times New Roman" w:cs="Times New Roman" w:eastAsia="Times New Roman" w:hAnsi="Times New Roman"/>
          <w:sz w:val="19"/>
          <w:szCs w:val="19"/>
          <w:b w:val="1"/>
          <w:bCs w:val="1"/>
          <w:u w:val="single" w:color="auto"/>
          <w:color w:val="auto"/>
        </w:rPr>
      </w:pPr>
    </w:p>
    <w:p>
      <w:pPr>
        <w:ind w:left="5600"/>
        <w:spacing w:after="0"/>
        <w:rPr>
          <w:sz w:val="20"/>
          <w:szCs w:val="20"/>
          <w:color w:val="auto"/>
        </w:rPr>
      </w:pPr>
      <w:r>
        <w:rPr>
          <w:rFonts w:ascii="Times New Roman" w:cs="Times New Roman" w:eastAsia="Times New Roman" w:hAnsi="Times New Roman"/>
          <w:sz w:val="20"/>
          <w:szCs w:val="20"/>
          <w:b w:val="1"/>
          <w:bCs w:val="1"/>
          <w:u w:val="single" w:color="auto"/>
          <w:color w:val="auto"/>
        </w:rPr>
        <w:t>Description</w:t>
      </w:r>
    </w:p>
    <w:p>
      <w:pPr>
        <w:spacing w:after="0" w:line="35" w:lineRule="exact"/>
        <w:rPr>
          <w:rFonts w:ascii="Times New Roman" w:cs="Times New Roman" w:eastAsia="Times New Roman" w:hAnsi="Times New Roman"/>
          <w:sz w:val="19"/>
          <w:szCs w:val="19"/>
          <w:b w:val="1"/>
          <w:bCs w:val="1"/>
          <w:u w:val="single" w:color="auto"/>
          <w:color w:val="auto"/>
        </w:rPr>
      </w:pPr>
    </w:p>
    <w:p>
      <w:pPr>
        <w:ind w:left="1300" w:right="1880"/>
        <w:spacing w:after="0" w:line="305" w:lineRule="auto"/>
        <w:rPr>
          <w:rFonts w:ascii="Times New Roman" w:cs="Times New Roman" w:eastAsia="Times New Roman" w:hAnsi="Times New Roman"/>
          <w:sz w:val="18"/>
          <w:szCs w:val="18"/>
          <w:u w:val="single" w:color="auto"/>
          <w:color w:val="0000FF"/>
        </w:rPr>
      </w:pPr>
      <w:hyperlink r:id="rId10">
        <w:r>
          <w:rPr>
            <w:rFonts w:ascii="Times New Roman" w:cs="Times New Roman" w:eastAsia="Times New Roman" w:hAnsi="Times New Roman"/>
            <w:sz w:val="18"/>
            <w:szCs w:val="18"/>
            <w:u w:val="single" w:color="auto"/>
            <w:color w:val="0000FF"/>
          </w:rPr>
          <w:t>Amendment No.1 to the Amended and Restated Employment of Agreement of Eric Schadt, dated June 14, 2022</w:t>
        </w:r>
      </w:hyperlink>
      <w:r>
        <w:rPr>
          <w:rFonts w:ascii="Times New Roman" w:cs="Times New Roman" w:eastAsia="Times New Roman" w:hAnsi="Times New Roman"/>
          <w:sz w:val="18"/>
          <w:szCs w:val="18"/>
          <w:u w:val="single" w:color="auto"/>
          <w:color w:val="0000FF"/>
        </w:rPr>
        <w:t xml:space="preserve"> </w:t>
      </w:r>
      <w:hyperlink r:id="rId11">
        <w:r>
          <w:rPr>
            <w:rFonts w:ascii="Times New Roman" w:cs="Times New Roman" w:eastAsia="Times New Roman" w:hAnsi="Times New Roman"/>
            <w:sz w:val="18"/>
            <w:szCs w:val="18"/>
            <w:u w:val="single" w:color="auto"/>
            <w:color w:val="0000FF"/>
          </w:rPr>
          <w:t>Consulting Agreement with Isaac Ro, dated as of June 14, 2022</w:t>
        </w:r>
      </w:hyperlink>
    </w:p>
    <w:p>
      <w:pPr>
        <w:ind w:left="1300"/>
        <w:spacing w:after="0"/>
        <w:rPr>
          <w:rFonts w:ascii="Times New Roman" w:cs="Times New Roman" w:eastAsia="Times New Roman" w:hAnsi="Times New Roman"/>
          <w:sz w:val="18"/>
          <w:szCs w:val="18"/>
          <w:u w:val="single" w:color="auto"/>
          <w:color w:val="0000FF"/>
        </w:rPr>
      </w:pPr>
      <w:hyperlink r:id="rId12">
        <w:r>
          <w:rPr>
            <w:rFonts w:ascii="Times New Roman" w:cs="Times New Roman" w:eastAsia="Times New Roman" w:hAnsi="Times New Roman"/>
            <w:sz w:val="18"/>
            <w:szCs w:val="18"/>
            <w:u w:val="single" w:color="auto"/>
            <w:color w:val="0000FF"/>
          </w:rPr>
          <w:t>Press Release, dated June 14, 2022, regarding the Registrant's Chief Financial Officer Transition Plan</w:t>
        </w:r>
      </w:hyperlink>
    </w:p>
    <w:p>
      <w:pPr>
        <w:spacing w:after="0" w:line="36" w:lineRule="exact"/>
        <w:rPr>
          <w:sz w:val="20"/>
          <w:szCs w:val="20"/>
          <w:color w:val="auto"/>
        </w:rPr>
      </w:pPr>
    </w:p>
    <w:p>
      <w:pPr>
        <w:ind w:left="500"/>
        <w:spacing w:after="0"/>
        <w:tabs>
          <w:tab w:leader="none" w:pos="12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87" w:lineRule="exact"/>
        <w:rPr>
          <w:sz w:val="20"/>
          <w:szCs w:val="20"/>
          <w:color w:val="auto"/>
        </w:rPr>
      </w:pPr>
    </w:p>
    <w:p>
      <w:pPr>
        <w:ind w:firstLine="324"/>
        <w:spacing w:after="0" w:line="311"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169" w:lineRule="exact"/>
        <w:rPr>
          <w:sz w:val="20"/>
          <w:szCs w:val="20"/>
          <w:color w:val="auto"/>
        </w:rPr>
      </w:pPr>
    </w:p>
    <w:tbl>
      <w:tblPr>
        <w:tblLayout w:type="fixed"/>
        <w:tblInd w:w="320" w:type="dxa"/>
        <w:tblCellMar>
          <w:top w:w="0" w:type="dxa"/>
          <w:left w:w="0" w:type="dxa"/>
          <w:bottom w:w="0" w:type="dxa"/>
          <w:right w:w="0" w:type="dxa"/>
        </w:tblCellMar>
      </w:tblPr>
      <w:tr>
        <w:trPr>
          <w:trHeight w:val="262"/>
        </w:trPr>
        <w:tc>
          <w:tcPr>
            <w:tcW w:w="60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7080" w:type="dxa"/>
            <w:vAlign w:val="bottom"/>
            <w:gridSpan w:val="2"/>
          </w:tcPr>
          <w:p>
            <w:pPr>
              <w:ind w:left="1520"/>
              <w:spacing w:after="0"/>
              <w:rPr>
                <w:sz w:val="20"/>
                <w:szCs w:val="20"/>
                <w:color w:val="auto"/>
              </w:rPr>
            </w:pPr>
            <w:r>
              <w:rPr>
                <w:rFonts w:ascii="Times New Roman" w:cs="Times New Roman" w:eastAsia="Times New Roman" w:hAnsi="Times New Roman"/>
                <w:sz w:val="20"/>
                <w:szCs w:val="20"/>
                <w:b w:val="1"/>
                <w:bCs w:val="1"/>
                <w:color w:val="auto"/>
              </w:rPr>
              <w:t>Sema4 Holdings Corp.</w:t>
            </w:r>
          </w:p>
        </w:tc>
      </w:tr>
      <w:tr>
        <w:trPr>
          <w:trHeight w:val="420"/>
        </w:trPr>
        <w:tc>
          <w:tcPr>
            <w:tcW w:w="60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27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June 14, 2022</w:t>
            </w:r>
          </w:p>
        </w:tc>
        <w:tc>
          <w:tcPr>
            <w:tcW w:w="2400" w:type="dxa"/>
            <w:vAlign w:val="bottom"/>
          </w:tcPr>
          <w:p>
            <w:pPr>
              <w:ind w:left="1520"/>
              <w:spacing w:after="0"/>
              <w:rPr>
                <w:sz w:val="20"/>
                <w:szCs w:val="20"/>
                <w:color w:val="auto"/>
              </w:rPr>
            </w:pPr>
            <w:r>
              <w:rPr>
                <w:rFonts w:ascii="Times New Roman" w:cs="Times New Roman" w:eastAsia="Times New Roman" w:hAnsi="Times New Roman"/>
                <w:sz w:val="20"/>
                <w:szCs w:val="20"/>
                <w:color w:val="auto"/>
              </w:rPr>
              <w:t>By:</w:t>
            </w:r>
          </w:p>
        </w:tc>
        <w:tc>
          <w:tcPr>
            <w:tcW w:w="46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Katherine Stueland</w:t>
            </w:r>
          </w:p>
        </w:tc>
      </w:tr>
      <w:tr>
        <w:trPr>
          <w:trHeight w:val="261"/>
        </w:trPr>
        <w:tc>
          <w:tcPr>
            <w:tcW w:w="60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2400" w:type="dxa"/>
            <w:vAlign w:val="bottom"/>
          </w:tcPr>
          <w:p>
            <w:pPr>
              <w:ind w:left="1520"/>
              <w:spacing w:after="0"/>
              <w:rPr>
                <w:sz w:val="20"/>
                <w:szCs w:val="20"/>
                <w:color w:val="auto"/>
              </w:rPr>
            </w:pPr>
            <w:r>
              <w:rPr>
                <w:rFonts w:ascii="Times New Roman" w:cs="Times New Roman" w:eastAsia="Times New Roman" w:hAnsi="Times New Roman"/>
                <w:sz w:val="20"/>
                <w:szCs w:val="20"/>
                <w:color w:val="auto"/>
              </w:rPr>
              <w:t>Name:</w:t>
            </w:r>
          </w:p>
        </w:tc>
        <w:tc>
          <w:tcPr>
            <w:tcW w:w="4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Katherine Stueland</w:t>
            </w:r>
          </w:p>
        </w:tc>
      </w:tr>
      <w:tr>
        <w:trPr>
          <w:trHeight w:val="258"/>
        </w:trPr>
        <w:tc>
          <w:tcPr>
            <w:tcW w:w="60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2400" w:type="dxa"/>
            <w:vAlign w:val="bottom"/>
          </w:tcPr>
          <w:p>
            <w:pPr>
              <w:ind w:left="1520"/>
              <w:spacing w:after="0"/>
              <w:rPr>
                <w:sz w:val="20"/>
                <w:szCs w:val="20"/>
                <w:color w:val="auto"/>
              </w:rPr>
            </w:pPr>
            <w:r>
              <w:rPr>
                <w:rFonts w:ascii="Times New Roman" w:cs="Times New Roman" w:eastAsia="Times New Roman" w:hAnsi="Times New Roman"/>
                <w:sz w:val="20"/>
                <w:szCs w:val="20"/>
                <w:color w:val="auto"/>
              </w:rPr>
              <w:t>Title:</w:t>
            </w:r>
          </w:p>
        </w:tc>
        <w:tc>
          <w:tcPr>
            <w:tcW w:w="4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Chief Executive Officer</w:t>
            </w:r>
          </w:p>
        </w:tc>
      </w:tr>
    </w:tbl>
    <w:p>
      <w:pPr>
        <w:spacing w:after="0" w:line="1" w:lineRule="exact"/>
        <w:rPr>
          <w:sz w:val="20"/>
          <w:szCs w:val="20"/>
          <w:color w:val="auto"/>
        </w:rPr>
      </w:pPr>
    </w:p>
    <w:sectPr>
      <w:pgSz w:w="11900" w:h="16838" w:orient="portrait"/>
      <w:cols w:equalWidth="0" w:num="1">
        <w:col w:w="11240"/>
      </w:cols>
      <w:pgMar w:left="320" w:top="88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2"/>
    </w:lvl>
  </w:abstractNum>
  <w:abstractNum w:abstractNumId="2">
    <w:nsid w:val="2AE8944A"/>
    <w:multiLevelType w:val="hybridMultilevel"/>
    <w:lvl w:ilvl="0">
      <w:lvlJc w:val="left"/>
      <w:lvlText w:val="(%1)"/>
      <w:numFmt w:val="lowerLetter"/>
      <w:start w:val="3"/>
    </w:lvl>
  </w:abstractNum>
  <w:abstractNum w:abstractNumId="3">
    <w:nsid w:val="625558EC"/>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hyperlink" Target="https://www.sec.gov/Archives/edgar/data/0001818331/000181833122000053/amendmentno1toeschadtaremp.htm" TargetMode="External"/><Relationship Id="rId11" Type="http://schemas.openxmlformats.org/officeDocument/2006/relationships/hyperlink" Target="https://www.sec.gov/Archives/edgar/data/0001818331/000181833122000053/iroconsultingagreement.htm" TargetMode="External"/><Relationship Id="rId12" Type="http://schemas.openxmlformats.org/officeDocument/2006/relationships/hyperlink" Target="https://www.sec.gov/Archives/edgar/data/0001818331/000181833122000053/cfotransitionpressreleas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2022-06-14T16:09:42Z</dcterms:created>
  <dcterms:modified xsi:type="dcterms:W3CDTF">2022-06-14T16:09:42Z</dcterms:modified>
</cp:coreProperties>
</file>