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5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Assad Shawn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41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34,776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is being amended to correct the vesting schedule as to 25% of the total shares vest on October 1, 2023, and thereafter as to 75% of the total shares underlying the award in quarterly installments until fully vested on October 1, 2026, subject to the Reporting Person's continued service to the Issuer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87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2021-11-02T19:32:44Z</dcterms:created>
  <dcterms:modified xsi:type="dcterms:W3CDTF">2021-11-02T19:32:44Z</dcterms:modified>
</cp:coreProperties>
</file>