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Prentice Anthony</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5"/>
        <w:spacing w:after="0"/>
        <w:rPr>
          <w:sz w:val="20"/>
          <w:szCs w:val="20"/>
          <w:color w:val="auto"/>
        </w:rPr>
      </w:pPr>
      <w:r>
        <w:rPr>
          <w:rFonts w:ascii="Arial" w:cs="Arial" w:eastAsia="Arial" w:hAnsi="Arial"/>
          <w:sz w:val="17"/>
          <w:szCs w:val="17"/>
          <w:color w:val="0000FF"/>
        </w:rPr>
        <w:t>Chief Product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6,257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8,577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2,885</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5.52</w:t>
            </w:r>
            <w:r>
              <w:rPr>
                <w:rFonts w:ascii="Arial" w:cs="Arial" w:eastAsia="Arial" w:hAnsi="Arial"/>
                <w:sz w:val="22"/>
                <w:szCs w:val="22"/>
                <w:color w:val="008000"/>
                <w:w w:val="85"/>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5,293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$5.66,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90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2021-12-03T18:12:58Z</dcterms:created>
  <dcterms:modified xsi:type="dcterms:W3CDTF">2021-12-03T18:12:58Z</dcterms:modified>
</cp:coreProperties>
</file>