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473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4737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Feeley Kevin</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380" w:type="dxa"/>
            <w:vAlign w:val="bottom"/>
          </w:tcPr>
          <w:p>
            <w:pPr>
              <w:ind w:left="1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333 LUDLOW ST, NORTH TOWER</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13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06902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380" w:type="dxa"/>
            <w:vAlign w:val="bottom"/>
          </w:tcPr>
          <w:p>
            <w:pPr>
              <w:ind w:left="160"/>
              <w:spacing w:after="0"/>
              <w:rPr>
                <w:sz w:val="20"/>
                <w:szCs w:val="20"/>
                <w:color w:val="auto"/>
              </w:rPr>
            </w:pPr>
            <w:r>
              <w:rPr>
                <w:rFonts w:ascii="Arial" w:cs="Arial" w:eastAsia="Arial" w:hAnsi="Arial"/>
                <w:sz w:val="13"/>
                <w:szCs w:val="13"/>
                <w:color w:val="auto"/>
              </w:rPr>
              <w:t>(State)</w:t>
            </w:r>
          </w:p>
        </w:tc>
        <w:tc>
          <w:tcPr>
            <w:tcW w:w="118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900" w:type="dxa"/>
            <w:vAlign w:val="bottom"/>
            <w:tcBorders>
              <w:top w:val="single" w:sz="8" w:color="0000EE"/>
            </w:tcBorders>
          </w:tcPr>
          <w:p>
            <w:pPr>
              <w:spacing w:after="0"/>
              <w:rPr>
                <w:sz w:val="12"/>
                <w:szCs w:val="12"/>
                <w:color w:val="auto"/>
              </w:rPr>
            </w:pPr>
          </w:p>
        </w:tc>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ind w:left="12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80" w:type="dxa"/>
            <w:vAlign w:val="bottom"/>
          </w:tcPr>
          <w:p>
            <w:pPr>
              <w:ind w:left="12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1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04/29/2024</w:t>
            </w: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00"/>
              <w:spacing w:after="0" w:line="129"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80" w:type="dxa"/>
            <w:vAlign w:val="bottom"/>
            <w:gridSpan w:val="2"/>
          </w:tcPr>
          <w:p>
            <w:pPr>
              <w:ind w:left="60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04/29/2024</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jc w:val="right"/>
              <w:ind w:right="16"/>
              <w:spacing w:after="0"/>
              <w:rPr>
                <w:sz w:val="20"/>
                <w:szCs w:val="20"/>
                <w:color w:val="auto"/>
              </w:rPr>
            </w:pPr>
            <w:r>
              <w:rPr>
                <w:rFonts w:ascii="Times New Roman" w:cs="Times New Roman" w:eastAsia="Times New Roman" w:hAnsi="Times New Roman"/>
                <w:sz w:val="17"/>
                <w:szCs w:val="17"/>
                <w:color w:val="0000FF"/>
              </w:rPr>
              <w:t>3,013</w:t>
            </w:r>
          </w:p>
        </w:tc>
        <w:tc>
          <w:tcPr>
            <w:tcW w:w="6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31,940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04/29/2024</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680" w:type="dxa"/>
            <w:vAlign w:val="bottom"/>
            <w:tcBorders>
              <w:bottom w:val="single" w:sz="8" w:color="2C2C2C"/>
            </w:tcBorders>
          </w:tcPr>
          <w:p>
            <w:pPr>
              <w:jc w:val="right"/>
              <w:ind w:right="16"/>
              <w:spacing w:after="0"/>
              <w:rPr>
                <w:sz w:val="20"/>
                <w:szCs w:val="20"/>
                <w:color w:val="auto"/>
              </w:rPr>
            </w:pPr>
            <w:r>
              <w:rPr>
                <w:rFonts w:ascii="Times New Roman" w:cs="Times New Roman" w:eastAsia="Times New Roman" w:hAnsi="Times New Roman"/>
                <w:sz w:val="17"/>
                <w:szCs w:val="17"/>
                <w:color w:val="0000FF"/>
              </w:rPr>
              <w:t>1,104</w:t>
            </w:r>
          </w:p>
        </w:tc>
        <w:tc>
          <w:tcPr>
            <w:tcW w:w="6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11.0368</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30,836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ind w:right="16"/>
              <w:spacing w:after="0" w:line="130"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336"/>
              <w:spacing w:after="0"/>
              <w:rPr>
                <w:sz w:val="20"/>
                <w:szCs w:val="20"/>
                <w:color w:val="auto"/>
              </w:rPr>
            </w:pPr>
            <w:r>
              <w:rPr>
                <w:rFonts w:ascii="Arial" w:cs="Arial" w:eastAsia="Arial" w:hAnsi="Arial"/>
                <w:sz w:val="12"/>
                <w:szCs w:val="12"/>
                <w:b w:val="1"/>
                <w:bCs w:val="1"/>
                <w:color w:val="auto"/>
                <w:w w:val="99"/>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jc w:val="right"/>
              <w:ind w:right="236"/>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3,013</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04/29/2024</w:t>
            </w:r>
          </w:p>
        </w:tc>
        <w:tc>
          <w:tcPr>
            <w:tcW w:w="1100" w:type="dxa"/>
            <w:vAlign w:val="bottom"/>
          </w:tcPr>
          <w:p>
            <w:pPr>
              <w:spacing w:after="0"/>
              <w:rPr>
                <w:sz w:val="5"/>
                <w:szCs w:val="5"/>
                <w:color w:val="auto"/>
              </w:rPr>
            </w:pPr>
          </w:p>
        </w:tc>
        <w:tc>
          <w:tcPr>
            <w:tcW w:w="48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320" w:type="dxa"/>
            <w:vAlign w:val="bottom"/>
          </w:tcPr>
          <w:p>
            <w:pPr>
              <w:spacing w:after="0"/>
              <w:rPr>
                <w:sz w:val="5"/>
                <w:szCs w:val="5"/>
                <w:color w:val="auto"/>
              </w:rPr>
            </w:pPr>
          </w:p>
        </w:tc>
        <w:tc>
          <w:tcPr>
            <w:tcW w:w="82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3,013</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6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6,026</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4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sold by the Reporting Person to cover tax withholding obligations in connection with the vesting and settlement of RSUs. The sales were to satisfy tax withholding obligations to be funded by a "sell to cover" transaction.</w:t>
      </w:r>
    </w:p>
    <w:p>
      <w:pPr>
        <w:spacing w:after="0" w:line="15" w:lineRule="exact"/>
        <w:rPr>
          <w:rFonts w:ascii="Times New Roman" w:cs="Times New Roman" w:eastAsia="Times New Roman" w:hAnsi="Times New Roman"/>
          <w:sz w:val="13"/>
          <w:szCs w:val="13"/>
          <w:color w:val="008000"/>
        </w:rPr>
      </w:pPr>
    </w:p>
    <w:p>
      <w:pPr>
        <w:ind w:left="40" w:right="2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underlying shares each vest on April 29, 2023 and April 29, 2024, and 6.25% vest in quarterly installments thereafter until fully vested, subject to the Reporting Person's continued service to the Issuer on each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Devin Schaffer, Attorney-</w:t>
            </w:r>
          </w:p>
        </w:tc>
        <w:tc>
          <w:tcPr>
            <w:tcW w:w="24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04/30/2024</w:t>
            </w:r>
          </w:p>
        </w:tc>
        <w:tc>
          <w:tcPr>
            <w:tcW w:w="0" w:type="dxa"/>
            <w:vAlign w:val="bottom"/>
          </w:tcPr>
          <w:p>
            <w:pPr>
              <w:spacing w:after="0"/>
              <w:rPr>
                <w:sz w:val="1"/>
                <w:szCs w:val="1"/>
                <w:color w:val="auto"/>
              </w:rPr>
            </w:pPr>
          </w:p>
        </w:tc>
      </w:tr>
      <w:tr>
        <w:trPr>
          <w:trHeight w:val="89"/>
        </w:trPr>
        <w:tc>
          <w:tcPr>
            <w:tcW w:w="48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44119"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2024-04-30T15:36:22Z</dcterms:created>
  <dcterms:modified xsi:type="dcterms:W3CDTF">2024-04-30T15:36:22Z</dcterms:modified>
</cp:coreProperties>
</file>