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Schadt Eric</w:t>
              </w:r>
            </w:hyperlink>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Sema4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SMFR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2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05/20/2022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 &amp; Chief R&amp;D Officer</w:t>
      </w:r>
    </w:p>
    <w:p>
      <w:pPr>
        <w:spacing w:after="0" w:line="419"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06902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05/20/2022</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100,000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1.9248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243,380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disclosed herein may constitute short-swing profits under Section 16(b) of the Exchange Act in relation to certain previously reported transactions executed by the Issuer's stock administrator as tax withholding sales that did not reflect investment intent of the Reporting Person. The Reporting Person is calculating any profit realized from the transactions and will promptly disgorge to the Issuer the full amount of any recoverable profits should an exemption for the transactions not be available.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$1.895 to $1.95, inclusive. The reporting person undertakes to provide to the Issuer, any security holder of the Issuer, or the staff of the Securities and Exchange Commission, upon request, full information regarding the number of shares purchased at each separate price within the ranges set forth 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05/24/2022</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46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2022-05-24T19:42:25Z</dcterms:created>
  <dcterms:modified xsi:type="dcterms:W3CDTF">2022-05-24T19:42:25Z</dcterms:modified>
</cp:coreProperties>
</file>