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356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3562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OPKO HEALTH, INC.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34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4400 BISCAYNE BLVD.</w:t>
            </w:r>
          </w:p>
        </w:tc>
        <w:tc>
          <w:tcPr>
            <w:tcW w:w="15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r>
      <w:tr>
        <w:trPr>
          <w:trHeight w:val="269"/>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7"/>
                <w:szCs w:val="17"/>
                <w:color w:val="0000FF"/>
              </w:rPr>
              <w:t>MIAMI</w:t>
            </w:r>
          </w:p>
        </w:tc>
        <w:tc>
          <w:tcPr>
            <w:tcW w:w="12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FL</w:t>
            </w:r>
          </w:p>
        </w:tc>
        <w:tc>
          <w:tcPr>
            <w:tcW w:w="15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33137</w:t>
            </w:r>
          </w:p>
        </w:tc>
      </w:tr>
      <w:tr>
        <w:trPr>
          <w:trHeight w:val="155"/>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GeneDx Holdings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WGS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94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07/19/2024</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jc w:val="center"/>
              <w:ind w:left="4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jc w:val="center"/>
              <w:ind w:left="487"/>
              <w:spacing w:after="0"/>
              <w:rPr>
                <w:sz w:val="20"/>
                <w:szCs w:val="20"/>
                <w:color w:val="auto"/>
              </w:rPr>
            </w:pPr>
            <w:r>
              <w:rPr>
                <w:rFonts w:ascii="Times New Roman" w:cs="Times New Roman" w:eastAsia="Times New Roman" w:hAnsi="Times New Roman"/>
                <w:sz w:val="17"/>
                <w:szCs w:val="17"/>
                <w:color w:val="0000FF"/>
              </w:rPr>
              <w:t>07/19/2024</w:t>
            </w:r>
          </w:p>
        </w:tc>
        <w:tc>
          <w:tcPr>
            <w:tcW w:w="112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right"/>
              <w:ind w:right="27"/>
              <w:spacing w:after="0"/>
              <w:rPr>
                <w:sz w:val="20"/>
                <w:szCs w:val="20"/>
                <w:color w:val="auto"/>
              </w:rPr>
            </w:pPr>
            <w:r>
              <w:rPr>
                <w:rFonts w:ascii="Times New Roman" w:cs="Times New Roman" w:eastAsia="Times New Roman" w:hAnsi="Times New Roman"/>
                <w:sz w:val="17"/>
                <w:szCs w:val="17"/>
                <w:color w:val="0000FF"/>
              </w:rPr>
              <w:t>25,000</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32.29</w:t>
            </w:r>
          </w:p>
        </w:tc>
        <w:tc>
          <w:tcPr>
            <w:tcW w:w="11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3,383,403</w:t>
            </w:r>
          </w:p>
        </w:tc>
        <w:tc>
          <w:tcPr>
            <w:tcW w:w="9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07/22/2024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right"/>
              <w:ind w:right="27"/>
              <w:spacing w:after="0"/>
              <w:rPr>
                <w:sz w:val="20"/>
                <w:szCs w:val="20"/>
                <w:color w:val="auto"/>
              </w:rPr>
            </w:pPr>
            <w:r>
              <w:rPr>
                <w:rFonts w:ascii="Times New Roman" w:cs="Times New Roman" w:eastAsia="Times New Roman" w:hAnsi="Times New Roman"/>
                <w:sz w:val="17"/>
                <w:szCs w:val="17"/>
                <w:color w:val="0000FF"/>
              </w:rPr>
              <w:t>50,000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32.6088</w:t>
            </w:r>
            <w:r>
              <w:rPr>
                <w:rFonts w:ascii="Times New Roman" w:cs="Times New Roman" w:eastAsia="Times New Roman" w:hAnsi="Times New Roman"/>
                <w:sz w:val="22"/>
                <w:szCs w:val="22"/>
                <w:color w:val="008000"/>
                <w:w w:val="95"/>
                <w:vertAlign w:val="superscript"/>
              </w:rPr>
              <w:t>(1)</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3,333,403</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07/23/2024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right"/>
              <w:ind w:right="27"/>
              <w:spacing w:after="0"/>
              <w:rPr>
                <w:sz w:val="20"/>
                <w:szCs w:val="20"/>
                <w:color w:val="auto"/>
              </w:rPr>
            </w:pPr>
            <w:r>
              <w:rPr>
                <w:rFonts w:ascii="Times New Roman" w:cs="Times New Roman" w:eastAsia="Times New Roman" w:hAnsi="Times New Roman"/>
                <w:sz w:val="17"/>
                <w:szCs w:val="17"/>
                <w:color w:val="0000FF"/>
              </w:rPr>
              <w:t>75,000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33.4566</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3,258,403</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$32.00 to $33.02, inclusive. The reporting person undertakes to provide to GeneDx Holding Corp. (the "Company"), any security holder of the Company or the staff of the Securities and Exchange Commission, upon request, full information regarding the number of shares purchased at each separate price within the range set forth in footnote (1) to this Form 4.</w:t>
      </w:r>
    </w:p>
    <w:p>
      <w:pPr>
        <w:spacing w:after="0" w:line="20" w:lineRule="exact"/>
        <w:rPr>
          <w:rFonts w:ascii="Times New Roman" w:cs="Times New Roman" w:eastAsia="Times New Roman" w:hAnsi="Times New Roman"/>
          <w:sz w:val="13"/>
          <w:szCs w:val="13"/>
          <w:color w:val="008000"/>
        </w:rPr>
      </w:pPr>
    </w:p>
    <w:p>
      <w:pPr>
        <w:jc w:val="both"/>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$32.72 to $34.50, inclusive. The reporting person undertakes to provide to the Company, any security holder of the Company or the staff of the Securities and Exchange Commission, upon request, full information regarding the number of shares purchased at each separate price within the range set forth in footnote (2) to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Steven D. Rubin, Exec. VP -</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07/23/2024</w:t>
            </w:r>
          </w:p>
        </w:tc>
        <w:tc>
          <w:tcPr>
            <w:tcW w:w="0" w:type="dxa"/>
            <w:vAlign w:val="bottom"/>
          </w:tcPr>
          <w:p>
            <w:pPr>
              <w:spacing w:after="0"/>
              <w:rPr>
                <w:sz w:val="1"/>
                <w:szCs w:val="1"/>
                <w:color w:val="auto"/>
              </w:rPr>
            </w:pPr>
          </w:p>
        </w:tc>
      </w:tr>
      <w:tr>
        <w:trPr>
          <w:trHeight w:val="87"/>
        </w:trPr>
        <w:tc>
          <w:tcPr>
            <w:tcW w:w="106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Administration</w:t>
            </w:r>
          </w:p>
        </w:tc>
        <w:tc>
          <w:tcPr>
            <w:tcW w:w="9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060" w:type="dxa"/>
            <w:vAlign w:val="bottom"/>
            <w:tcBorders>
              <w:top w:val="single" w:sz="8" w:color="auto"/>
              <w:bottom w:val="single" w:sz="8" w:color="auto"/>
            </w:tcBorders>
            <w:vMerge w:val="continue"/>
          </w:tcPr>
          <w:p>
            <w:pPr>
              <w:spacing w:after="0"/>
              <w:rPr>
                <w:sz w:val="7"/>
                <w:szCs w:val="7"/>
                <w:color w:val="auto"/>
              </w:rPr>
            </w:pPr>
          </w:p>
        </w:tc>
        <w:tc>
          <w:tcPr>
            <w:tcW w:w="9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944809"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2024-07-23T16:23:06Z</dcterms:created>
  <dcterms:modified xsi:type="dcterms:W3CDTF">2024-07-23T16:23:06Z</dcterms:modified>
</cp:coreProperties>
</file>