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SCHEDULE 13D</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THE SECURITIES EXCHANGE ACT OF 1934</w:t>
      </w:r>
    </w:p>
    <w:p>
      <w:pPr>
        <w:jc w:val="center"/>
        <w:ind w:right="-99"/>
        <w:spacing w:after="0"/>
        <w:rPr>
          <w:sz w:val="20"/>
          <w:szCs w:val="20"/>
          <w:color w:val="auto"/>
        </w:rPr>
      </w:pPr>
      <w:r>
        <w:rPr>
          <w:rFonts w:ascii="Times New Roman" w:cs="Times New Roman" w:eastAsia="Times New Roman" w:hAnsi="Times New Roman"/>
          <w:sz w:val="20"/>
          <w:szCs w:val="20"/>
          <w:color w:val="auto"/>
        </w:rPr>
        <w:t>(Amendment No. 7)*</w:t>
      </w:r>
    </w:p>
    <w:p>
      <w:pPr>
        <w:spacing w:after="0" w:line="200" w:lineRule="exact"/>
        <w:rPr>
          <w:sz w:val="24"/>
          <w:szCs w:val="24"/>
          <w:color w:val="auto"/>
        </w:rPr>
      </w:pPr>
    </w:p>
    <w:p>
      <w:pPr>
        <w:spacing w:after="0" w:line="2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GeneDx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13970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(Name of Issuer)</w:t>
      </w:r>
    </w:p>
    <w:p>
      <w:pPr>
        <w:spacing w:after="0" w:line="200" w:lineRule="exact"/>
        <w:rPr>
          <w:sz w:val="24"/>
          <w:szCs w:val="24"/>
          <w:color w:val="auto"/>
        </w:rPr>
      </w:pPr>
    </w:p>
    <w:p>
      <w:pPr>
        <w:spacing w:after="0" w:line="24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Class A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13970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00" w:lineRule="exact"/>
        <w:rPr>
          <w:sz w:val="24"/>
          <w:szCs w:val="24"/>
          <w:color w:val="auto"/>
        </w:rPr>
      </w:pPr>
    </w:p>
    <w:p>
      <w:pPr>
        <w:spacing w:after="0" w:line="24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81663L200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13970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CMLS Holdings LLC</w:t>
      </w:r>
    </w:p>
    <w:p>
      <w:pPr>
        <w:spacing w:after="0" w:line="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Eli Casdin and Keith Meister</w:t>
      </w:r>
    </w:p>
    <w:p>
      <w:pPr>
        <w:jc w:val="center"/>
        <w:ind w:right="-99"/>
        <w:spacing w:after="0"/>
        <w:rPr>
          <w:sz w:val="20"/>
          <w:szCs w:val="20"/>
          <w:color w:val="auto"/>
        </w:rPr>
      </w:pPr>
      <w:r>
        <w:rPr>
          <w:rFonts w:ascii="Times New Roman" w:cs="Times New Roman" w:eastAsia="Times New Roman" w:hAnsi="Times New Roman"/>
          <w:sz w:val="20"/>
          <w:szCs w:val="20"/>
          <w:color w:val="auto"/>
        </w:rPr>
        <w:t>c/o Corvex Management LP</w:t>
      </w:r>
    </w:p>
    <w:p>
      <w:pPr>
        <w:jc w:val="center"/>
        <w:ind w:right="-99"/>
        <w:spacing w:after="0"/>
        <w:rPr>
          <w:sz w:val="20"/>
          <w:szCs w:val="20"/>
          <w:color w:val="auto"/>
        </w:rPr>
      </w:pPr>
      <w:r>
        <w:rPr>
          <w:rFonts w:ascii="Times New Roman" w:cs="Times New Roman" w:eastAsia="Times New Roman" w:hAnsi="Times New Roman"/>
          <w:sz w:val="20"/>
          <w:szCs w:val="20"/>
          <w:color w:val="auto"/>
        </w:rPr>
        <w:t>667 Madison Avenue</w:t>
      </w:r>
    </w:p>
    <w:p>
      <w:pPr>
        <w:jc w:val="center"/>
        <w:ind w:right="-99"/>
        <w:spacing w:after="0"/>
        <w:rPr>
          <w:sz w:val="20"/>
          <w:szCs w:val="20"/>
          <w:color w:val="auto"/>
        </w:rPr>
      </w:pPr>
      <w:r>
        <w:rPr>
          <w:rFonts w:ascii="Times New Roman" w:cs="Times New Roman" w:eastAsia="Times New Roman" w:hAnsi="Times New Roman"/>
          <w:sz w:val="20"/>
          <w:szCs w:val="20"/>
          <w:color w:val="auto"/>
        </w:rPr>
        <w:t>New York, New York 10065</w:t>
      </w:r>
    </w:p>
    <w:p>
      <w:pPr>
        <w:spacing w:after="0" w:line="2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(Name, Address and Telephone Number of Person Authorized to Receive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-139700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Notices and Communications)</w:t>
      </w:r>
    </w:p>
    <w:p>
      <w:pPr>
        <w:spacing w:after="0" w:line="200" w:lineRule="exact"/>
        <w:rPr>
          <w:sz w:val="24"/>
          <w:szCs w:val="24"/>
          <w:color w:val="auto"/>
        </w:rPr>
      </w:pPr>
    </w:p>
    <w:p>
      <w:pPr>
        <w:spacing w:after="0" w:line="2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May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13970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14" w:lineRule="exact"/>
        <w:rPr>
          <w:sz w:val="24"/>
          <w:szCs w:val="24"/>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If the filing person has previously filed a statement on Schedule 13G to report the acquisition that is the subject of this Schedule 13D, and is filing this schedule because of ss.240.13d-1(e), 240.13d-1(f) or 240.13d-1(g), check the following box [ ].</w:t>
      </w:r>
    </w:p>
    <w:p>
      <w:pPr>
        <w:spacing w:after="0" w:line="173" w:lineRule="exact"/>
        <w:rPr>
          <w:sz w:val="24"/>
          <w:szCs w:val="24"/>
          <w:color w:val="auto"/>
        </w:rPr>
      </w:pPr>
    </w:p>
    <w:p>
      <w:pPr>
        <w:ind w:left="1020" w:hanging="1015"/>
        <w:spacing w:after="0" w:line="254" w:lineRule="auto"/>
        <w:tabs>
          <w:tab w:leader="none" w:pos="10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-448310</wp:posOffset>
            </wp:positionV>
            <wp:extent cx="642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579755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420" w:top="450" w:right="5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2"/>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CUSIP No.</w:t>
            </w:r>
          </w:p>
        </w:tc>
        <w:tc>
          <w:tcPr>
            <w:tcW w:w="4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81663L200</w:t>
            </w:r>
          </w:p>
        </w:tc>
      </w:tr>
    </w:tbl>
    <w:p>
      <w:pPr>
        <w:spacing w:after="0" w:line="207" w:lineRule="exact"/>
        <w:rPr>
          <w:sz w:val="20"/>
          <w:szCs w:val="20"/>
          <w:color w:val="auto"/>
        </w:rPr>
      </w:pPr>
    </w:p>
    <w:p>
      <w:pPr>
        <w:ind w:left="900" w:hanging="895"/>
        <w:spacing w:after="0"/>
        <w:tabs>
          <w:tab w:leader="none" w:pos="9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REPORTING PERSONS</w:t>
      </w:r>
    </w:p>
    <w:p>
      <w:pPr>
        <w:spacing w:after="0" w:line="21" w:lineRule="exact"/>
        <w:rPr>
          <w:rFonts w:ascii="Times New Roman" w:cs="Times New Roman" w:eastAsia="Times New Roman" w:hAnsi="Times New Roman"/>
          <w:sz w:val="20"/>
          <w:szCs w:val="20"/>
          <w:color w:val="auto"/>
        </w:rPr>
      </w:pPr>
    </w:p>
    <w:p>
      <w:pPr>
        <w:ind w:left="9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40" w:type="dxa"/>
            <w:vAlign w:val="bottom"/>
          </w:tcPr>
          <w:p>
            <w:pPr>
              <w:spacing w:after="0"/>
              <w:rPr>
                <w:sz w:val="22"/>
                <w:szCs w:val="22"/>
                <w:color w:val="auto"/>
              </w:rPr>
            </w:pPr>
          </w:p>
        </w:tc>
        <w:tc>
          <w:tcPr>
            <w:tcW w:w="7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CMLS Holdings LLC</w:t>
            </w:r>
          </w:p>
        </w:tc>
        <w:tc>
          <w:tcPr>
            <w:tcW w:w="226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430"/>
        </w:trPr>
        <w:tc>
          <w:tcPr>
            <w:tcW w:w="54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w w:val="93"/>
              </w:rPr>
              <w:t>2.</w:t>
            </w:r>
          </w:p>
        </w:tc>
        <w:tc>
          <w:tcPr>
            <w:tcW w:w="7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226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(a)</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[_]</w:t>
            </w:r>
          </w:p>
        </w:tc>
      </w:tr>
      <w:tr>
        <w:trPr>
          <w:trHeight w:val="258"/>
        </w:trPr>
        <w:tc>
          <w:tcPr>
            <w:tcW w:w="540" w:type="dxa"/>
            <w:vAlign w:val="bottom"/>
          </w:tcPr>
          <w:p>
            <w:pPr>
              <w:spacing w:after="0"/>
              <w:rPr>
                <w:sz w:val="22"/>
                <w:szCs w:val="22"/>
                <w:color w:val="auto"/>
              </w:rPr>
            </w:pPr>
          </w:p>
        </w:tc>
        <w:tc>
          <w:tcPr>
            <w:tcW w:w="7720" w:type="dxa"/>
            <w:vAlign w:val="bottom"/>
          </w:tcPr>
          <w:p>
            <w:pPr>
              <w:spacing w:after="0"/>
              <w:rPr>
                <w:sz w:val="22"/>
                <w:szCs w:val="22"/>
                <w:color w:val="auto"/>
              </w:rPr>
            </w:pPr>
          </w:p>
        </w:tc>
        <w:tc>
          <w:tcPr>
            <w:tcW w:w="226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(b)</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[_]</w:t>
            </w:r>
          </w:p>
        </w:tc>
      </w:tr>
    </w:tbl>
    <w:p>
      <w:pPr>
        <w:spacing w:after="0" w:line="201" w:lineRule="exact"/>
        <w:rPr>
          <w:sz w:val="20"/>
          <w:szCs w:val="20"/>
          <w:color w:val="auto"/>
        </w:rPr>
      </w:pPr>
    </w:p>
    <w:p>
      <w:pPr>
        <w:ind w:left="900" w:hanging="895"/>
        <w:spacing w:after="0"/>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88" w:lineRule="exact"/>
        <w:rPr>
          <w:rFonts w:ascii="Times New Roman" w:cs="Times New Roman" w:eastAsia="Times New Roman" w:hAnsi="Times New Roman"/>
          <w:sz w:val="20"/>
          <w:szCs w:val="20"/>
          <w:color w:val="auto"/>
        </w:rPr>
      </w:pPr>
    </w:p>
    <w:p>
      <w:pPr>
        <w:ind w:left="900" w:right="8340" w:hanging="895"/>
        <w:spacing w:after="0" w:line="479" w:lineRule="auto"/>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SOURCE OF FUNDS OO</w:t>
      </w:r>
    </w:p>
    <w:p>
      <w:pPr>
        <w:ind w:left="900" w:hanging="895"/>
        <w:spacing w:after="0"/>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DISCLOSURE OF LEGAL PROCEEDINGS IS REQUIRED PURSUANT TO ITEMS 2(d)</w:t>
      </w:r>
    </w:p>
    <w:p>
      <w:pPr>
        <w:spacing w:after="0" w:line="200" w:lineRule="exact"/>
        <w:rPr>
          <w:sz w:val="20"/>
          <w:szCs w:val="20"/>
          <w:color w:val="auto"/>
        </w:rPr>
      </w:pPr>
    </w:p>
    <w:p>
      <w:pPr>
        <w:spacing w:after="0" w:line="259" w:lineRule="exact"/>
        <w:rPr>
          <w:sz w:val="20"/>
          <w:szCs w:val="20"/>
          <w:color w:val="auto"/>
        </w:rPr>
      </w:pPr>
    </w:p>
    <w:p>
      <w:pPr>
        <w:ind w:left="900" w:right="6100" w:hanging="895"/>
        <w:spacing w:after="0" w:line="508"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 Delaware</w:t>
      </w:r>
    </w:p>
    <w:p>
      <w:pPr>
        <w:spacing w:after="0" w:line="200" w:lineRule="exact"/>
        <w:rPr>
          <w:sz w:val="20"/>
          <w:szCs w:val="20"/>
          <w:color w:val="auto"/>
        </w:rPr>
      </w:pPr>
    </w:p>
    <w:p>
      <w:pPr>
        <w:spacing w:after="0" w:line="203" w:lineRule="exact"/>
        <w:rPr>
          <w:sz w:val="20"/>
          <w:szCs w:val="20"/>
          <w:color w:val="auto"/>
        </w:rPr>
      </w:pPr>
    </w:p>
    <w:p>
      <w:pPr>
        <w:ind w:left="900" w:right="8080" w:hanging="895"/>
        <w:spacing w:after="0" w:line="479"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 0</w:t>
      </w:r>
    </w:p>
    <w:p>
      <w:pPr>
        <w:ind w:left="900" w:right="7780" w:hanging="895"/>
        <w:spacing w:after="0" w:line="504" w:lineRule="auto"/>
        <w:tabs>
          <w:tab w:leader="none" w:pos="9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SHARED VOTING POWER 537,285 (1)(2)(3)(9)</w:t>
      </w:r>
    </w:p>
    <w:p>
      <w:pPr>
        <w:ind w:left="900" w:right="7640" w:hanging="895"/>
        <w:spacing w:after="0" w:line="479"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DISPOSITIVE POWER 0</w:t>
      </w:r>
    </w:p>
    <w:p>
      <w:pPr>
        <w:ind w:left="900" w:right="7340" w:hanging="895"/>
        <w:spacing w:after="0" w:line="479"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 537,285 (1)(2)(3)(9)</w:t>
      </w:r>
    </w:p>
    <w:p>
      <w:pPr>
        <w:ind w:left="900" w:right="2920" w:hanging="895"/>
        <w:spacing w:after="0" w:line="479"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537,285 (1)(2)(3)(9)</w:t>
      </w:r>
    </w:p>
    <w:p>
      <w:pPr>
        <w:ind w:left="900" w:hanging="895"/>
        <w:spacing w:after="0"/>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THE AGGREGATE AMOUNT IN ROW (11) EXCLUDES CERTAIN SHARES</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[_]</w:t>
      </w:r>
    </w:p>
    <w:p>
      <w:pPr>
        <w:spacing w:after="0" w:line="207" w:lineRule="exact"/>
        <w:rPr>
          <w:sz w:val="20"/>
          <w:szCs w:val="20"/>
          <w:color w:val="auto"/>
        </w:rPr>
      </w:pPr>
    </w:p>
    <w:p>
      <w:pPr>
        <w:ind w:left="900" w:right="4480" w:hanging="895"/>
        <w:spacing w:after="0" w:line="479" w:lineRule="auto"/>
        <w:tabs>
          <w:tab w:leader="none" w:pos="9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(11) 2.1% (10)</w:t>
      </w:r>
    </w:p>
    <w:p>
      <w:pPr>
        <w:ind w:left="900" w:right="7380" w:hanging="895"/>
        <w:spacing w:after="0" w:line="508" w:lineRule="auto"/>
        <w:tabs>
          <w:tab w:leader="none" w:pos="9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-20320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287655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697"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2"/>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CUSIP No.</w:t>
            </w:r>
          </w:p>
        </w:tc>
        <w:tc>
          <w:tcPr>
            <w:tcW w:w="4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81663L200</w:t>
            </w:r>
          </w:p>
        </w:tc>
      </w:tr>
    </w:tbl>
    <w:p>
      <w:pPr>
        <w:spacing w:after="0" w:line="207" w:lineRule="exact"/>
        <w:rPr>
          <w:sz w:val="20"/>
          <w:szCs w:val="20"/>
          <w:color w:val="auto"/>
        </w:rPr>
      </w:pPr>
    </w:p>
    <w:p>
      <w:pPr>
        <w:ind w:left="900" w:hanging="895"/>
        <w:spacing w:after="0"/>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REPORTING PERSONS</w:t>
      </w:r>
    </w:p>
    <w:p>
      <w:pPr>
        <w:spacing w:after="0" w:line="21" w:lineRule="exact"/>
        <w:rPr>
          <w:rFonts w:ascii="Times New Roman" w:cs="Times New Roman" w:eastAsia="Times New Roman" w:hAnsi="Times New Roman"/>
          <w:sz w:val="20"/>
          <w:szCs w:val="20"/>
          <w:color w:val="auto"/>
        </w:rPr>
      </w:pPr>
    </w:p>
    <w:p>
      <w:pPr>
        <w:ind w:left="9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40" w:type="dxa"/>
            <w:vAlign w:val="bottom"/>
          </w:tcPr>
          <w:p>
            <w:pPr>
              <w:spacing w:after="0"/>
              <w:rPr>
                <w:sz w:val="22"/>
                <w:szCs w:val="22"/>
                <w:color w:val="auto"/>
              </w:rPr>
            </w:pPr>
          </w:p>
        </w:tc>
        <w:tc>
          <w:tcPr>
            <w:tcW w:w="7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C-LSH LLC</w:t>
            </w:r>
          </w:p>
        </w:tc>
        <w:tc>
          <w:tcPr>
            <w:tcW w:w="226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430"/>
        </w:trPr>
        <w:tc>
          <w:tcPr>
            <w:tcW w:w="54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w w:val="93"/>
              </w:rPr>
              <w:t>2.</w:t>
            </w:r>
          </w:p>
        </w:tc>
        <w:tc>
          <w:tcPr>
            <w:tcW w:w="7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226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(a)</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[_]</w:t>
            </w:r>
          </w:p>
        </w:tc>
      </w:tr>
      <w:tr>
        <w:trPr>
          <w:trHeight w:val="258"/>
        </w:trPr>
        <w:tc>
          <w:tcPr>
            <w:tcW w:w="540" w:type="dxa"/>
            <w:vAlign w:val="bottom"/>
          </w:tcPr>
          <w:p>
            <w:pPr>
              <w:spacing w:after="0"/>
              <w:rPr>
                <w:sz w:val="22"/>
                <w:szCs w:val="22"/>
                <w:color w:val="auto"/>
              </w:rPr>
            </w:pPr>
          </w:p>
        </w:tc>
        <w:tc>
          <w:tcPr>
            <w:tcW w:w="7720" w:type="dxa"/>
            <w:vAlign w:val="bottom"/>
          </w:tcPr>
          <w:p>
            <w:pPr>
              <w:spacing w:after="0"/>
              <w:rPr>
                <w:sz w:val="22"/>
                <w:szCs w:val="22"/>
                <w:color w:val="auto"/>
              </w:rPr>
            </w:pPr>
          </w:p>
        </w:tc>
        <w:tc>
          <w:tcPr>
            <w:tcW w:w="226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(b)</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[_]</w:t>
            </w:r>
          </w:p>
        </w:tc>
      </w:tr>
    </w:tbl>
    <w:p>
      <w:pPr>
        <w:spacing w:after="0" w:line="201" w:lineRule="exact"/>
        <w:rPr>
          <w:sz w:val="20"/>
          <w:szCs w:val="20"/>
          <w:color w:val="auto"/>
        </w:rPr>
      </w:pPr>
    </w:p>
    <w:p>
      <w:pPr>
        <w:ind w:left="900" w:hanging="895"/>
        <w:spacing w:after="0"/>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88" w:lineRule="exact"/>
        <w:rPr>
          <w:rFonts w:ascii="Times New Roman" w:cs="Times New Roman" w:eastAsia="Times New Roman" w:hAnsi="Times New Roman"/>
          <w:sz w:val="20"/>
          <w:szCs w:val="20"/>
          <w:color w:val="auto"/>
        </w:rPr>
      </w:pPr>
    </w:p>
    <w:p>
      <w:pPr>
        <w:ind w:left="900" w:right="8340" w:hanging="895"/>
        <w:spacing w:after="0" w:line="479" w:lineRule="auto"/>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SOURCE OF FUNDS OO</w:t>
      </w:r>
    </w:p>
    <w:p>
      <w:pPr>
        <w:ind w:left="900" w:hanging="895"/>
        <w:spacing w:after="0"/>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DISCLOSURE OF LEGAL PROCEEDINGS IS REQUIRED PURSUANT TO ITEMS 2(d)</w:t>
      </w:r>
    </w:p>
    <w:p>
      <w:pPr>
        <w:spacing w:after="0" w:line="200" w:lineRule="exact"/>
        <w:rPr>
          <w:sz w:val="20"/>
          <w:szCs w:val="20"/>
          <w:color w:val="auto"/>
        </w:rPr>
      </w:pPr>
    </w:p>
    <w:p>
      <w:pPr>
        <w:spacing w:after="0" w:line="259" w:lineRule="exact"/>
        <w:rPr>
          <w:sz w:val="20"/>
          <w:szCs w:val="20"/>
          <w:color w:val="auto"/>
        </w:rPr>
      </w:pPr>
    </w:p>
    <w:p>
      <w:pPr>
        <w:ind w:left="900" w:right="6100" w:hanging="895"/>
        <w:spacing w:after="0" w:line="508" w:lineRule="auto"/>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 Delaware</w:t>
      </w:r>
    </w:p>
    <w:p>
      <w:pPr>
        <w:spacing w:after="0" w:line="200" w:lineRule="exact"/>
        <w:rPr>
          <w:sz w:val="20"/>
          <w:szCs w:val="20"/>
          <w:color w:val="auto"/>
        </w:rPr>
      </w:pPr>
    </w:p>
    <w:p>
      <w:pPr>
        <w:spacing w:after="0" w:line="203" w:lineRule="exact"/>
        <w:rPr>
          <w:sz w:val="20"/>
          <w:szCs w:val="20"/>
          <w:color w:val="auto"/>
        </w:rPr>
      </w:pPr>
    </w:p>
    <w:p>
      <w:pPr>
        <w:ind w:left="900" w:right="8080" w:hanging="895"/>
        <w:spacing w:after="0" w:line="479" w:lineRule="auto"/>
        <w:tabs>
          <w:tab w:leader="none" w:pos="9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 0</w:t>
      </w:r>
    </w:p>
    <w:p>
      <w:pPr>
        <w:ind w:left="900" w:right="7780" w:hanging="895"/>
        <w:spacing w:after="0" w:line="504" w:lineRule="auto"/>
        <w:tabs>
          <w:tab w:leader="none" w:pos="9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SHARED VOTING POWER 537,285 (1)(2)(3)(9)</w:t>
      </w:r>
    </w:p>
    <w:p>
      <w:pPr>
        <w:ind w:left="900" w:right="7640" w:hanging="895"/>
        <w:spacing w:after="0" w:line="479" w:lineRule="auto"/>
        <w:tabs>
          <w:tab w:leader="none" w:pos="9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DISPOSITIVE POWER 0</w:t>
      </w:r>
    </w:p>
    <w:p>
      <w:pPr>
        <w:ind w:left="900" w:right="7340" w:hanging="895"/>
        <w:spacing w:after="0" w:line="479" w:lineRule="auto"/>
        <w:tabs>
          <w:tab w:leader="none" w:pos="9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 537,285 (1)(2)(3)(9)</w:t>
      </w:r>
    </w:p>
    <w:p>
      <w:pPr>
        <w:ind w:left="900" w:right="2920" w:hanging="895"/>
        <w:spacing w:after="0" w:line="479" w:lineRule="auto"/>
        <w:tabs>
          <w:tab w:leader="none" w:pos="9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537,285 (1)(2)(3)(9)</w:t>
      </w:r>
    </w:p>
    <w:p>
      <w:pPr>
        <w:ind w:left="900" w:hanging="895"/>
        <w:spacing w:after="0"/>
        <w:tabs>
          <w:tab w:leader="none" w:pos="9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THE AGGREGATE AMOUNT IN ROW (11) EXCLUDES CERTAIN SHARES</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[_]</w:t>
      </w:r>
    </w:p>
    <w:p>
      <w:pPr>
        <w:spacing w:after="0" w:line="207" w:lineRule="exact"/>
        <w:rPr>
          <w:sz w:val="20"/>
          <w:szCs w:val="20"/>
          <w:color w:val="auto"/>
        </w:rPr>
      </w:pPr>
    </w:p>
    <w:p>
      <w:pPr>
        <w:ind w:left="900" w:right="4480" w:hanging="895"/>
        <w:spacing w:after="0" w:line="479" w:lineRule="auto"/>
        <w:tabs>
          <w:tab w:leader="none" w:pos="9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(11) 2.1% (10)</w:t>
      </w:r>
    </w:p>
    <w:p>
      <w:pPr>
        <w:ind w:left="900" w:right="7380" w:hanging="895"/>
        <w:spacing w:after="0" w:line="508" w:lineRule="auto"/>
        <w:tabs>
          <w:tab w:leader="none" w:pos="9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-20320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433705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697"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2"/>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CUSIP No.</w:t>
            </w:r>
          </w:p>
        </w:tc>
        <w:tc>
          <w:tcPr>
            <w:tcW w:w="4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81663L200</w:t>
            </w:r>
          </w:p>
        </w:tc>
      </w:tr>
    </w:tbl>
    <w:p>
      <w:pPr>
        <w:spacing w:after="0" w:line="207" w:lineRule="exact"/>
        <w:rPr>
          <w:sz w:val="20"/>
          <w:szCs w:val="20"/>
          <w:color w:val="auto"/>
        </w:rPr>
      </w:pPr>
    </w:p>
    <w:p>
      <w:pPr>
        <w:ind w:left="900" w:hanging="895"/>
        <w:spacing w:after="0"/>
        <w:tabs>
          <w:tab w:leader="none" w:pos="9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REPORTING PERSONS</w:t>
      </w:r>
    </w:p>
    <w:p>
      <w:pPr>
        <w:spacing w:after="0" w:line="21" w:lineRule="exact"/>
        <w:rPr>
          <w:rFonts w:ascii="Times New Roman" w:cs="Times New Roman" w:eastAsia="Times New Roman" w:hAnsi="Times New Roman"/>
          <w:sz w:val="20"/>
          <w:szCs w:val="20"/>
          <w:color w:val="auto"/>
        </w:rPr>
      </w:pPr>
    </w:p>
    <w:p>
      <w:pPr>
        <w:ind w:left="9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40" w:type="dxa"/>
            <w:vAlign w:val="bottom"/>
          </w:tcPr>
          <w:p>
            <w:pPr>
              <w:spacing w:after="0"/>
              <w:rPr>
                <w:sz w:val="22"/>
                <w:szCs w:val="22"/>
                <w:color w:val="auto"/>
              </w:rPr>
            </w:pPr>
          </w:p>
        </w:tc>
        <w:tc>
          <w:tcPr>
            <w:tcW w:w="7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M-LSH LLC</w:t>
            </w:r>
          </w:p>
        </w:tc>
        <w:tc>
          <w:tcPr>
            <w:tcW w:w="226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430"/>
        </w:trPr>
        <w:tc>
          <w:tcPr>
            <w:tcW w:w="54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w w:val="93"/>
              </w:rPr>
              <w:t>2.</w:t>
            </w:r>
          </w:p>
        </w:tc>
        <w:tc>
          <w:tcPr>
            <w:tcW w:w="7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226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(a)</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[_]</w:t>
            </w:r>
          </w:p>
        </w:tc>
      </w:tr>
      <w:tr>
        <w:trPr>
          <w:trHeight w:val="258"/>
        </w:trPr>
        <w:tc>
          <w:tcPr>
            <w:tcW w:w="540" w:type="dxa"/>
            <w:vAlign w:val="bottom"/>
          </w:tcPr>
          <w:p>
            <w:pPr>
              <w:spacing w:after="0"/>
              <w:rPr>
                <w:sz w:val="22"/>
                <w:szCs w:val="22"/>
                <w:color w:val="auto"/>
              </w:rPr>
            </w:pPr>
          </w:p>
        </w:tc>
        <w:tc>
          <w:tcPr>
            <w:tcW w:w="7720" w:type="dxa"/>
            <w:vAlign w:val="bottom"/>
          </w:tcPr>
          <w:p>
            <w:pPr>
              <w:spacing w:after="0"/>
              <w:rPr>
                <w:sz w:val="22"/>
                <w:szCs w:val="22"/>
                <w:color w:val="auto"/>
              </w:rPr>
            </w:pPr>
          </w:p>
        </w:tc>
        <w:tc>
          <w:tcPr>
            <w:tcW w:w="226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(b)</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[_]</w:t>
            </w:r>
          </w:p>
        </w:tc>
      </w:tr>
    </w:tbl>
    <w:p>
      <w:pPr>
        <w:spacing w:after="0" w:line="201" w:lineRule="exact"/>
        <w:rPr>
          <w:sz w:val="20"/>
          <w:szCs w:val="20"/>
          <w:color w:val="auto"/>
        </w:rPr>
      </w:pPr>
    </w:p>
    <w:p>
      <w:pPr>
        <w:ind w:left="900" w:hanging="895"/>
        <w:spacing w:after="0"/>
        <w:tabs>
          <w:tab w:leader="none" w:pos="9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88" w:lineRule="exact"/>
        <w:rPr>
          <w:rFonts w:ascii="Times New Roman" w:cs="Times New Roman" w:eastAsia="Times New Roman" w:hAnsi="Times New Roman"/>
          <w:sz w:val="20"/>
          <w:szCs w:val="20"/>
          <w:color w:val="auto"/>
        </w:rPr>
      </w:pPr>
    </w:p>
    <w:p>
      <w:pPr>
        <w:ind w:left="900" w:right="8340" w:hanging="895"/>
        <w:spacing w:after="0" w:line="479" w:lineRule="auto"/>
        <w:tabs>
          <w:tab w:leader="none" w:pos="9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SOURCE OF FUNDS OO</w:t>
      </w:r>
    </w:p>
    <w:p>
      <w:pPr>
        <w:ind w:left="900" w:hanging="895"/>
        <w:spacing w:after="0"/>
        <w:tabs>
          <w:tab w:leader="none" w:pos="9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DISCLOSURE OF LEGAL PROCEEDINGS IS REQUIRED PURSUANT TO ITEMS 2(d)</w:t>
      </w:r>
    </w:p>
    <w:p>
      <w:pPr>
        <w:spacing w:after="0" w:line="200" w:lineRule="exact"/>
        <w:rPr>
          <w:sz w:val="20"/>
          <w:szCs w:val="20"/>
          <w:color w:val="auto"/>
        </w:rPr>
      </w:pPr>
    </w:p>
    <w:p>
      <w:pPr>
        <w:spacing w:after="0" w:line="259" w:lineRule="exact"/>
        <w:rPr>
          <w:sz w:val="20"/>
          <w:szCs w:val="20"/>
          <w:color w:val="auto"/>
        </w:rPr>
      </w:pPr>
    </w:p>
    <w:p>
      <w:pPr>
        <w:ind w:left="900" w:right="6100" w:hanging="895"/>
        <w:spacing w:after="0" w:line="508" w:lineRule="auto"/>
        <w:tabs>
          <w:tab w:leader="none" w:pos="9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 Delaware</w:t>
      </w:r>
    </w:p>
    <w:p>
      <w:pPr>
        <w:spacing w:after="0" w:line="200" w:lineRule="exact"/>
        <w:rPr>
          <w:sz w:val="20"/>
          <w:szCs w:val="20"/>
          <w:color w:val="auto"/>
        </w:rPr>
      </w:pPr>
    </w:p>
    <w:p>
      <w:pPr>
        <w:spacing w:after="0" w:line="203" w:lineRule="exact"/>
        <w:rPr>
          <w:sz w:val="20"/>
          <w:szCs w:val="20"/>
          <w:color w:val="auto"/>
        </w:rPr>
      </w:pPr>
    </w:p>
    <w:p>
      <w:pPr>
        <w:ind w:left="900" w:right="8080" w:hanging="895"/>
        <w:spacing w:after="0" w:line="479" w:lineRule="auto"/>
        <w:tabs>
          <w:tab w:leader="none" w:pos="9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 0</w:t>
      </w:r>
    </w:p>
    <w:p>
      <w:pPr>
        <w:ind w:left="900" w:right="7780" w:hanging="895"/>
        <w:spacing w:after="0" w:line="504" w:lineRule="auto"/>
        <w:tabs>
          <w:tab w:leader="none" w:pos="9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SHARED VOTING POWER 537,285 (1)(2)(3)(9)</w:t>
      </w:r>
    </w:p>
    <w:p>
      <w:pPr>
        <w:ind w:left="900" w:right="7640" w:hanging="895"/>
        <w:spacing w:after="0" w:line="479" w:lineRule="auto"/>
        <w:tabs>
          <w:tab w:leader="none" w:pos="9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DISPOSITIVE POWER 0</w:t>
      </w:r>
    </w:p>
    <w:p>
      <w:pPr>
        <w:ind w:left="900" w:right="7340" w:hanging="895"/>
        <w:spacing w:after="0" w:line="479" w:lineRule="auto"/>
        <w:tabs>
          <w:tab w:leader="none" w:pos="9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 537,285 (1)(2)(3)(9)</w:t>
      </w:r>
    </w:p>
    <w:p>
      <w:pPr>
        <w:ind w:left="900" w:right="2920" w:hanging="895"/>
        <w:spacing w:after="0" w:line="479" w:lineRule="auto"/>
        <w:tabs>
          <w:tab w:leader="none" w:pos="9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537,285 (1)(2)(3)(9)</w:t>
      </w:r>
    </w:p>
    <w:p>
      <w:pPr>
        <w:ind w:left="900" w:hanging="895"/>
        <w:spacing w:after="0"/>
        <w:tabs>
          <w:tab w:leader="none" w:pos="9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THE AGGREGATE AMOUNT IN ROW (11) EXCLUDES CERTAIN SHARES</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[_]</w:t>
      </w:r>
    </w:p>
    <w:p>
      <w:pPr>
        <w:spacing w:after="0" w:line="207" w:lineRule="exact"/>
        <w:rPr>
          <w:sz w:val="20"/>
          <w:szCs w:val="20"/>
          <w:color w:val="auto"/>
        </w:rPr>
      </w:pPr>
    </w:p>
    <w:p>
      <w:pPr>
        <w:ind w:left="900" w:right="4480" w:hanging="895"/>
        <w:spacing w:after="0" w:line="479" w:lineRule="auto"/>
        <w:tabs>
          <w:tab w:leader="none" w:pos="9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(11) 2.1% (10)</w:t>
      </w:r>
    </w:p>
    <w:p>
      <w:pPr>
        <w:ind w:left="900" w:right="7380" w:hanging="895"/>
        <w:spacing w:after="0" w:line="508" w:lineRule="auto"/>
        <w:tabs>
          <w:tab w:leader="none" w:pos="9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-20320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287655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697"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2"/>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CUSIP No.</w:t>
            </w:r>
          </w:p>
        </w:tc>
        <w:tc>
          <w:tcPr>
            <w:tcW w:w="4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81663L200</w:t>
            </w:r>
          </w:p>
        </w:tc>
      </w:tr>
    </w:tbl>
    <w:p>
      <w:pPr>
        <w:spacing w:after="0" w:line="207" w:lineRule="exact"/>
        <w:rPr>
          <w:sz w:val="20"/>
          <w:szCs w:val="20"/>
          <w:color w:val="auto"/>
        </w:rPr>
      </w:pPr>
    </w:p>
    <w:p>
      <w:pPr>
        <w:ind w:left="900" w:hanging="895"/>
        <w:spacing w:after="0"/>
        <w:tabs>
          <w:tab w:leader="none" w:pos="9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REPORTING PERSONS</w:t>
      </w:r>
    </w:p>
    <w:p>
      <w:pPr>
        <w:spacing w:after="0" w:line="21" w:lineRule="exact"/>
        <w:rPr>
          <w:rFonts w:ascii="Times New Roman" w:cs="Times New Roman" w:eastAsia="Times New Roman" w:hAnsi="Times New Roman"/>
          <w:sz w:val="20"/>
          <w:szCs w:val="20"/>
          <w:color w:val="auto"/>
        </w:rPr>
      </w:pPr>
    </w:p>
    <w:p>
      <w:pPr>
        <w:ind w:left="9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40" w:type="dxa"/>
            <w:vAlign w:val="bottom"/>
          </w:tcPr>
          <w:p>
            <w:pPr>
              <w:spacing w:after="0"/>
              <w:rPr>
                <w:sz w:val="22"/>
                <w:szCs w:val="22"/>
                <w:color w:val="auto"/>
              </w:rPr>
            </w:pPr>
          </w:p>
        </w:tc>
        <w:tc>
          <w:tcPr>
            <w:tcW w:w="7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Casdin Capital, LLC</w:t>
            </w:r>
          </w:p>
        </w:tc>
        <w:tc>
          <w:tcPr>
            <w:tcW w:w="226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430"/>
        </w:trPr>
        <w:tc>
          <w:tcPr>
            <w:tcW w:w="54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w w:val="93"/>
              </w:rPr>
              <w:t>2.</w:t>
            </w:r>
          </w:p>
        </w:tc>
        <w:tc>
          <w:tcPr>
            <w:tcW w:w="7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226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(a)</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[_]</w:t>
            </w:r>
          </w:p>
        </w:tc>
      </w:tr>
      <w:tr>
        <w:trPr>
          <w:trHeight w:val="258"/>
        </w:trPr>
        <w:tc>
          <w:tcPr>
            <w:tcW w:w="540" w:type="dxa"/>
            <w:vAlign w:val="bottom"/>
          </w:tcPr>
          <w:p>
            <w:pPr>
              <w:spacing w:after="0"/>
              <w:rPr>
                <w:sz w:val="22"/>
                <w:szCs w:val="22"/>
                <w:color w:val="auto"/>
              </w:rPr>
            </w:pPr>
          </w:p>
        </w:tc>
        <w:tc>
          <w:tcPr>
            <w:tcW w:w="7720" w:type="dxa"/>
            <w:vAlign w:val="bottom"/>
          </w:tcPr>
          <w:p>
            <w:pPr>
              <w:spacing w:after="0"/>
              <w:rPr>
                <w:sz w:val="22"/>
                <w:szCs w:val="22"/>
                <w:color w:val="auto"/>
              </w:rPr>
            </w:pPr>
          </w:p>
        </w:tc>
        <w:tc>
          <w:tcPr>
            <w:tcW w:w="226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(b)</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[_]</w:t>
            </w:r>
          </w:p>
        </w:tc>
      </w:tr>
    </w:tbl>
    <w:p>
      <w:pPr>
        <w:spacing w:after="0" w:line="201" w:lineRule="exact"/>
        <w:rPr>
          <w:sz w:val="20"/>
          <w:szCs w:val="20"/>
          <w:color w:val="auto"/>
        </w:rPr>
      </w:pPr>
    </w:p>
    <w:p>
      <w:pPr>
        <w:ind w:left="900" w:hanging="895"/>
        <w:spacing w:after="0"/>
        <w:tabs>
          <w:tab w:leader="none" w:pos="9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88" w:lineRule="exact"/>
        <w:rPr>
          <w:rFonts w:ascii="Times New Roman" w:cs="Times New Roman" w:eastAsia="Times New Roman" w:hAnsi="Times New Roman"/>
          <w:sz w:val="20"/>
          <w:szCs w:val="20"/>
          <w:color w:val="auto"/>
        </w:rPr>
      </w:pPr>
    </w:p>
    <w:p>
      <w:pPr>
        <w:ind w:left="900" w:right="8340" w:hanging="895"/>
        <w:spacing w:after="0" w:line="479" w:lineRule="auto"/>
        <w:tabs>
          <w:tab w:leader="none" w:pos="9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SOURCE OF FUNDS AF</w:t>
      </w:r>
    </w:p>
    <w:p>
      <w:pPr>
        <w:ind w:left="900" w:hanging="895"/>
        <w:spacing w:after="0"/>
        <w:tabs>
          <w:tab w:leader="none" w:pos="9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DISCLOSURE OF LEGAL PROCEEDINGS IS REQUIRED PURSUANT TO ITEMS 2(d)</w:t>
      </w:r>
    </w:p>
    <w:p>
      <w:pPr>
        <w:spacing w:after="0" w:line="200" w:lineRule="exact"/>
        <w:rPr>
          <w:sz w:val="20"/>
          <w:szCs w:val="20"/>
          <w:color w:val="auto"/>
        </w:rPr>
      </w:pPr>
    </w:p>
    <w:p>
      <w:pPr>
        <w:spacing w:after="0" w:line="259" w:lineRule="exact"/>
        <w:rPr>
          <w:sz w:val="20"/>
          <w:szCs w:val="20"/>
          <w:color w:val="auto"/>
        </w:rPr>
      </w:pPr>
    </w:p>
    <w:p>
      <w:pPr>
        <w:ind w:left="900" w:right="6100" w:hanging="895"/>
        <w:spacing w:after="0" w:line="508" w:lineRule="auto"/>
        <w:tabs>
          <w:tab w:leader="none" w:pos="9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 Delaware</w:t>
      </w:r>
    </w:p>
    <w:p>
      <w:pPr>
        <w:spacing w:after="0" w:line="200" w:lineRule="exact"/>
        <w:rPr>
          <w:sz w:val="20"/>
          <w:szCs w:val="20"/>
          <w:color w:val="auto"/>
        </w:rPr>
      </w:pPr>
    </w:p>
    <w:p>
      <w:pPr>
        <w:spacing w:after="0" w:line="203" w:lineRule="exact"/>
        <w:rPr>
          <w:sz w:val="20"/>
          <w:szCs w:val="20"/>
          <w:color w:val="auto"/>
        </w:rPr>
      </w:pPr>
    </w:p>
    <w:p>
      <w:pPr>
        <w:ind w:left="900" w:right="8080" w:hanging="895"/>
        <w:spacing w:after="0" w:line="479" w:lineRule="auto"/>
        <w:tabs>
          <w:tab w:leader="none" w:pos="9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 0</w:t>
      </w:r>
    </w:p>
    <w:p>
      <w:pPr>
        <w:ind w:left="900" w:right="7780" w:hanging="895"/>
        <w:spacing w:after="0" w:line="479" w:lineRule="auto"/>
        <w:tabs>
          <w:tab w:leader="none" w:pos="9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VOTING POWER 3,396,411 (5)(9)</w:t>
      </w:r>
    </w:p>
    <w:p>
      <w:pPr>
        <w:ind w:left="900" w:right="7640" w:hanging="895"/>
        <w:spacing w:after="0" w:line="479" w:lineRule="auto"/>
        <w:tabs>
          <w:tab w:leader="none" w:pos="9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DISPOSITIVE POWER 0</w:t>
      </w:r>
    </w:p>
    <w:p>
      <w:pPr>
        <w:ind w:left="900" w:right="7340" w:hanging="895"/>
        <w:spacing w:after="0" w:line="479" w:lineRule="auto"/>
        <w:tabs>
          <w:tab w:leader="none" w:pos="9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 3,396,411 (5)(9)</w:t>
      </w:r>
    </w:p>
    <w:p>
      <w:pPr>
        <w:ind w:left="900" w:right="2920" w:hanging="895"/>
        <w:spacing w:after="0" w:line="479" w:lineRule="auto"/>
        <w:tabs>
          <w:tab w:leader="none" w:pos="9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3,396,411 (5)(9)</w:t>
      </w:r>
    </w:p>
    <w:p>
      <w:pPr>
        <w:ind w:left="900" w:hanging="895"/>
        <w:spacing w:after="0"/>
        <w:tabs>
          <w:tab w:leader="none" w:pos="9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THE AGGREGATE AMOUNT IN ROW (11) EXCLUDES CERTAIN SHARES</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[_]</w:t>
      </w:r>
    </w:p>
    <w:p>
      <w:pPr>
        <w:spacing w:after="0" w:line="207" w:lineRule="exact"/>
        <w:rPr>
          <w:sz w:val="20"/>
          <w:szCs w:val="20"/>
          <w:color w:val="auto"/>
        </w:rPr>
      </w:pPr>
    </w:p>
    <w:p>
      <w:pPr>
        <w:ind w:left="900" w:right="4480" w:hanging="895"/>
        <w:spacing w:after="0" w:line="479" w:lineRule="auto"/>
        <w:tabs>
          <w:tab w:leader="none" w:pos="9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(11) 13.0% (4)</w:t>
      </w:r>
    </w:p>
    <w:p>
      <w:pPr>
        <w:ind w:left="900" w:right="7380" w:hanging="895"/>
        <w:spacing w:after="0" w:line="508" w:lineRule="auto"/>
        <w:tabs>
          <w:tab w:leader="none" w:pos="9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-20320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287655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697"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2"/>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CUSIP No.</w:t>
            </w:r>
          </w:p>
        </w:tc>
        <w:tc>
          <w:tcPr>
            <w:tcW w:w="4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81663L200</w:t>
            </w:r>
          </w:p>
        </w:tc>
      </w:tr>
    </w:tbl>
    <w:p>
      <w:pPr>
        <w:spacing w:after="0" w:line="207" w:lineRule="exact"/>
        <w:rPr>
          <w:sz w:val="20"/>
          <w:szCs w:val="20"/>
          <w:color w:val="auto"/>
        </w:rPr>
      </w:pPr>
    </w:p>
    <w:p>
      <w:pPr>
        <w:ind w:left="900" w:hanging="895"/>
        <w:spacing w:after="0"/>
        <w:tabs>
          <w:tab w:leader="none" w:pos="9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REPORTING PERSONS</w:t>
      </w:r>
    </w:p>
    <w:p>
      <w:pPr>
        <w:spacing w:after="0" w:line="21" w:lineRule="exact"/>
        <w:rPr>
          <w:rFonts w:ascii="Times New Roman" w:cs="Times New Roman" w:eastAsia="Times New Roman" w:hAnsi="Times New Roman"/>
          <w:sz w:val="20"/>
          <w:szCs w:val="20"/>
          <w:color w:val="auto"/>
        </w:rPr>
      </w:pPr>
    </w:p>
    <w:p>
      <w:pPr>
        <w:ind w:left="9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40" w:type="dxa"/>
            <w:vAlign w:val="bottom"/>
          </w:tcPr>
          <w:p>
            <w:pPr>
              <w:spacing w:after="0"/>
              <w:rPr>
                <w:sz w:val="22"/>
                <w:szCs w:val="22"/>
                <w:color w:val="auto"/>
              </w:rPr>
            </w:pPr>
          </w:p>
        </w:tc>
        <w:tc>
          <w:tcPr>
            <w:tcW w:w="7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Casdin Partners FO1-MSV, LP</w:t>
            </w:r>
          </w:p>
        </w:tc>
        <w:tc>
          <w:tcPr>
            <w:tcW w:w="226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430"/>
        </w:trPr>
        <w:tc>
          <w:tcPr>
            <w:tcW w:w="54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w w:val="93"/>
              </w:rPr>
              <w:t>2.</w:t>
            </w:r>
          </w:p>
        </w:tc>
        <w:tc>
          <w:tcPr>
            <w:tcW w:w="7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226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(a)</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[_]</w:t>
            </w:r>
          </w:p>
        </w:tc>
      </w:tr>
      <w:tr>
        <w:trPr>
          <w:trHeight w:val="258"/>
        </w:trPr>
        <w:tc>
          <w:tcPr>
            <w:tcW w:w="540" w:type="dxa"/>
            <w:vAlign w:val="bottom"/>
          </w:tcPr>
          <w:p>
            <w:pPr>
              <w:spacing w:after="0"/>
              <w:rPr>
                <w:sz w:val="22"/>
                <w:szCs w:val="22"/>
                <w:color w:val="auto"/>
              </w:rPr>
            </w:pPr>
          </w:p>
        </w:tc>
        <w:tc>
          <w:tcPr>
            <w:tcW w:w="7720" w:type="dxa"/>
            <w:vAlign w:val="bottom"/>
          </w:tcPr>
          <w:p>
            <w:pPr>
              <w:spacing w:after="0"/>
              <w:rPr>
                <w:sz w:val="22"/>
                <w:szCs w:val="22"/>
                <w:color w:val="auto"/>
              </w:rPr>
            </w:pPr>
          </w:p>
        </w:tc>
        <w:tc>
          <w:tcPr>
            <w:tcW w:w="226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(b)</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[_]</w:t>
            </w:r>
          </w:p>
        </w:tc>
      </w:tr>
    </w:tbl>
    <w:p>
      <w:pPr>
        <w:spacing w:after="0" w:line="201" w:lineRule="exact"/>
        <w:rPr>
          <w:sz w:val="20"/>
          <w:szCs w:val="20"/>
          <w:color w:val="auto"/>
        </w:rPr>
      </w:pPr>
    </w:p>
    <w:p>
      <w:pPr>
        <w:ind w:left="900" w:hanging="895"/>
        <w:spacing w:after="0"/>
        <w:tabs>
          <w:tab w:leader="none" w:pos="9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88" w:lineRule="exact"/>
        <w:rPr>
          <w:rFonts w:ascii="Times New Roman" w:cs="Times New Roman" w:eastAsia="Times New Roman" w:hAnsi="Times New Roman"/>
          <w:sz w:val="20"/>
          <w:szCs w:val="20"/>
          <w:color w:val="auto"/>
        </w:rPr>
      </w:pPr>
    </w:p>
    <w:p>
      <w:pPr>
        <w:ind w:left="900" w:right="8340" w:hanging="895"/>
        <w:spacing w:after="0" w:line="479" w:lineRule="auto"/>
        <w:tabs>
          <w:tab w:leader="none" w:pos="9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SOURCE OF FUNDS WC</w:t>
      </w:r>
    </w:p>
    <w:p>
      <w:pPr>
        <w:ind w:left="900" w:hanging="895"/>
        <w:spacing w:after="0"/>
        <w:tabs>
          <w:tab w:leader="none" w:pos="9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DISCLOSURE OF LEGAL PROCEEDINGS IS REQUIRED PURSUANT TO ITEMS 2(d)</w:t>
      </w:r>
    </w:p>
    <w:p>
      <w:pPr>
        <w:spacing w:after="0" w:line="200" w:lineRule="exact"/>
        <w:rPr>
          <w:sz w:val="20"/>
          <w:szCs w:val="20"/>
          <w:color w:val="auto"/>
        </w:rPr>
      </w:pPr>
    </w:p>
    <w:p>
      <w:pPr>
        <w:spacing w:after="0" w:line="259" w:lineRule="exact"/>
        <w:rPr>
          <w:sz w:val="20"/>
          <w:szCs w:val="20"/>
          <w:color w:val="auto"/>
        </w:rPr>
      </w:pPr>
    </w:p>
    <w:p>
      <w:pPr>
        <w:ind w:left="900" w:right="6100" w:hanging="895"/>
        <w:spacing w:after="0" w:line="508" w:lineRule="auto"/>
        <w:tabs>
          <w:tab w:leader="none" w:pos="9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 Delaware</w:t>
      </w:r>
    </w:p>
    <w:p>
      <w:pPr>
        <w:spacing w:after="0" w:line="200" w:lineRule="exact"/>
        <w:rPr>
          <w:sz w:val="20"/>
          <w:szCs w:val="20"/>
          <w:color w:val="auto"/>
        </w:rPr>
      </w:pPr>
    </w:p>
    <w:p>
      <w:pPr>
        <w:spacing w:after="0" w:line="203" w:lineRule="exact"/>
        <w:rPr>
          <w:sz w:val="20"/>
          <w:szCs w:val="20"/>
          <w:color w:val="auto"/>
        </w:rPr>
      </w:pPr>
    </w:p>
    <w:p>
      <w:pPr>
        <w:ind w:left="900" w:right="8080" w:hanging="895"/>
        <w:spacing w:after="0" w:line="479" w:lineRule="auto"/>
        <w:tabs>
          <w:tab w:leader="none" w:pos="9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 0</w:t>
      </w:r>
    </w:p>
    <w:p>
      <w:pPr>
        <w:ind w:left="900" w:right="7780" w:hanging="895"/>
        <w:spacing w:after="0" w:line="479" w:lineRule="auto"/>
        <w:tabs>
          <w:tab w:leader="none" w:pos="9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VOTING POWER 432,902 (5)(9)</w:t>
      </w:r>
    </w:p>
    <w:p>
      <w:pPr>
        <w:ind w:left="900" w:right="7640" w:hanging="895"/>
        <w:spacing w:after="0" w:line="479" w:lineRule="auto"/>
        <w:tabs>
          <w:tab w:leader="none" w:pos="9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DISPOSITIVE POWER 0</w:t>
      </w:r>
    </w:p>
    <w:p>
      <w:pPr>
        <w:ind w:left="900" w:right="7340" w:hanging="895"/>
        <w:spacing w:after="0" w:line="479" w:lineRule="auto"/>
        <w:tabs>
          <w:tab w:leader="none" w:pos="9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 432,902 (5)(9)</w:t>
      </w:r>
    </w:p>
    <w:p>
      <w:pPr>
        <w:ind w:left="900" w:right="2920" w:hanging="895"/>
        <w:spacing w:after="0" w:line="479" w:lineRule="auto"/>
        <w:tabs>
          <w:tab w:leader="none" w:pos="9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432,902 (5)(9)</w:t>
      </w:r>
    </w:p>
    <w:p>
      <w:pPr>
        <w:ind w:left="900" w:hanging="895"/>
        <w:spacing w:after="0"/>
        <w:tabs>
          <w:tab w:leader="none" w:pos="9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THE AGGREGATE AMOUNT IN ROW (11) EXCLUDES CERTAIN SHARES</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[_]</w:t>
      </w:r>
    </w:p>
    <w:p>
      <w:pPr>
        <w:spacing w:after="0" w:line="207" w:lineRule="exact"/>
        <w:rPr>
          <w:sz w:val="20"/>
          <w:szCs w:val="20"/>
          <w:color w:val="auto"/>
        </w:rPr>
      </w:pPr>
    </w:p>
    <w:p>
      <w:pPr>
        <w:ind w:left="900" w:right="4480" w:hanging="895"/>
        <w:spacing w:after="0" w:line="479" w:lineRule="auto"/>
        <w:tabs>
          <w:tab w:leader="none" w:pos="9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(11) 1.7% (4)</w:t>
      </w:r>
    </w:p>
    <w:p>
      <w:pPr>
        <w:ind w:left="900" w:right="7380" w:hanging="895"/>
        <w:spacing w:after="0" w:line="508" w:lineRule="auto"/>
        <w:tabs>
          <w:tab w:leader="none" w:pos="9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-20320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287655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697"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2"/>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CUSIP No.</w:t>
            </w:r>
          </w:p>
        </w:tc>
        <w:tc>
          <w:tcPr>
            <w:tcW w:w="4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81663L200</w:t>
            </w:r>
          </w:p>
        </w:tc>
      </w:tr>
    </w:tbl>
    <w:p>
      <w:pPr>
        <w:spacing w:after="0" w:line="207" w:lineRule="exact"/>
        <w:rPr>
          <w:sz w:val="20"/>
          <w:szCs w:val="20"/>
          <w:color w:val="auto"/>
        </w:rPr>
      </w:pPr>
    </w:p>
    <w:p>
      <w:pPr>
        <w:ind w:left="900" w:hanging="895"/>
        <w:spacing w:after="0"/>
        <w:tabs>
          <w:tab w:leader="none" w:pos="9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REPORTING PERSONS</w:t>
      </w:r>
    </w:p>
    <w:p>
      <w:pPr>
        <w:spacing w:after="0" w:line="21" w:lineRule="exact"/>
        <w:rPr>
          <w:rFonts w:ascii="Times New Roman" w:cs="Times New Roman" w:eastAsia="Times New Roman" w:hAnsi="Times New Roman"/>
          <w:sz w:val="20"/>
          <w:szCs w:val="20"/>
          <w:color w:val="auto"/>
        </w:rPr>
      </w:pPr>
    </w:p>
    <w:p>
      <w:pPr>
        <w:ind w:left="9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40" w:type="dxa"/>
            <w:vAlign w:val="bottom"/>
          </w:tcPr>
          <w:p>
            <w:pPr>
              <w:spacing w:after="0"/>
              <w:rPr>
                <w:sz w:val="22"/>
                <w:szCs w:val="22"/>
                <w:color w:val="auto"/>
              </w:rPr>
            </w:pPr>
          </w:p>
        </w:tc>
        <w:tc>
          <w:tcPr>
            <w:tcW w:w="7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Casdin Partners Master Fund, L.P.</w:t>
            </w:r>
          </w:p>
        </w:tc>
        <w:tc>
          <w:tcPr>
            <w:tcW w:w="226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430"/>
        </w:trPr>
        <w:tc>
          <w:tcPr>
            <w:tcW w:w="54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w w:val="93"/>
              </w:rPr>
              <w:t>2.</w:t>
            </w:r>
          </w:p>
        </w:tc>
        <w:tc>
          <w:tcPr>
            <w:tcW w:w="7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226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(a)</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[_]</w:t>
            </w:r>
          </w:p>
        </w:tc>
      </w:tr>
      <w:tr>
        <w:trPr>
          <w:trHeight w:val="258"/>
        </w:trPr>
        <w:tc>
          <w:tcPr>
            <w:tcW w:w="540" w:type="dxa"/>
            <w:vAlign w:val="bottom"/>
          </w:tcPr>
          <w:p>
            <w:pPr>
              <w:spacing w:after="0"/>
              <w:rPr>
                <w:sz w:val="22"/>
                <w:szCs w:val="22"/>
                <w:color w:val="auto"/>
              </w:rPr>
            </w:pPr>
          </w:p>
        </w:tc>
        <w:tc>
          <w:tcPr>
            <w:tcW w:w="7720" w:type="dxa"/>
            <w:vAlign w:val="bottom"/>
          </w:tcPr>
          <w:p>
            <w:pPr>
              <w:spacing w:after="0"/>
              <w:rPr>
                <w:sz w:val="22"/>
                <w:szCs w:val="22"/>
                <w:color w:val="auto"/>
              </w:rPr>
            </w:pPr>
          </w:p>
        </w:tc>
        <w:tc>
          <w:tcPr>
            <w:tcW w:w="226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(b)</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[_]</w:t>
            </w:r>
          </w:p>
        </w:tc>
      </w:tr>
    </w:tbl>
    <w:p>
      <w:pPr>
        <w:spacing w:after="0" w:line="201" w:lineRule="exact"/>
        <w:rPr>
          <w:sz w:val="20"/>
          <w:szCs w:val="20"/>
          <w:color w:val="auto"/>
        </w:rPr>
      </w:pPr>
    </w:p>
    <w:p>
      <w:pPr>
        <w:ind w:left="900" w:hanging="895"/>
        <w:spacing w:after="0"/>
        <w:tabs>
          <w:tab w:leader="none" w:pos="9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88" w:lineRule="exact"/>
        <w:rPr>
          <w:rFonts w:ascii="Times New Roman" w:cs="Times New Roman" w:eastAsia="Times New Roman" w:hAnsi="Times New Roman"/>
          <w:sz w:val="20"/>
          <w:szCs w:val="20"/>
          <w:color w:val="auto"/>
        </w:rPr>
      </w:pPr>
    </w:p>
    <w:p>
      <w:pPr>
        <w:ind w:left="900" w:right="8340" w:hanging="895"/>
        <w:spacing w:after="0" w:line="479" w:lineRule="auto"/>
        <w:tabs>
          <w:tab w:leader="none" w:pos="9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SOURCE OF FUNDS WC</w:t>
      </w:r>
    </w:p>
    <w:p>
      <w:pPr>
        <w:ind w:left="900" w:hanging="895"/>
        <w:spacing w:after="0"/>
        <w:tabs>
          <w:tab w:leader="none" w:pos="9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DISCLOSURE OF LEGAL PROCEEDINGS IS REQUIRED PURSUANT TO ITEMS 2(d)</w:t>
      </w:r>
    </w:p>
    <w:p>
      <w:pPr>
        <w:spacing w:after="0" w:line="200" w:lineRule="exact"/>
        <w:rPr>
          <w:sz w:val="20"/>
          <w:szCs w:val="20"/>
          <w:color w:val="auto"/>
        </w:rPr>
      </w:pPr>
    </w:p>
    <w:p>
      <w:pPr>
        <w:spacing w:after="0" w:line="259" w:lineRule="exact"/>
        <w:rPr>
          <w:sz w:val="20"/>
          <w:szCs w:val="20"/>
          <w:color w:val="auto"/>
        </w:rPr>
      </w:pPr>
    </w:p>
    <w:p>
      <w:pPr>
        <w:ind w:left="900" w:hanging="895"/>
        <w:spacing w:after="0"/>
        <w:tabs>
          <w:tab w:leader="none" w:pos="9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900" w:right="8080" w:hanging="895"/>
        <w:spacing w:after="0" w:line="479" w:lineRule="auto"/>
        <w:tabs>
          <w:tab w:leader="none" w:pos="9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 0</w:t>
      </w:r>
    </w:p>
    <w:p>
      <w:pPr>
        <w:ind w:left="900" w:right="7780" w:hanging="895"/>
        <w:spacing w:after="0" w:line="479" w:lineRule="auto"/>
        <w:tabs>
          <w:tab w:leader="none" w:pos="9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VOTING POWER 2,963,509 (5)(9)</w:t>
      </w:r>
    </w:p>
    <w:p>
      <w:pPr>
        <w:ind w:left="900" w:right="7640" w:hanging="895"/>
        <w:spacing w:after="0" w:line="479" w:lineRule="auto"/>
        <w:tabs>
          <w:tab w:leader="none" w:pos="9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DISPOSITIVE POWER 0</w:t>
      </w:r>
    </w:p>
    <w:p>
      <w:pPr>
        <w:ind w:left="900" w:right="7340" w:hanging="895"/>
        <w:spacing w:after="0" w:line="479" w:lineRule="auto"/>
        <w:tabs>
          <w:tab w:leader="none" w:pos="9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 2,963,509 (5)(9)</w:t>
      </w:r>
    </w:p>
    <w:p>
      <w:pPr>
        <w:ind w:left="900" w:right="2920" w:hanging="895"/>
        <w:spacing w:after="0" w:line="479" w:lineRule="auto"/>
        <w:tabs>
          <w:tab w:leader="none" w:pos="9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2,963,509 (5)(9)</w:t>
      </w:r>
    </w:p>
    <w:p>
      <w:pPr>
        <w:ind w:left="900" w:hanging="895"/>
        <w:spacing w:after="0"/>
        <w:tabs>
          <w:tab w:leader="none" w:pos="9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THE AGGREGATE AMOUNT IN ROW (11) EXCLUDES CERTAIN SHARES</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[_]</w:t>
      </w:r>
    </w:p>
    <w:p>
      <w:pPr>
        <w:spacing w:after="0" w:line="207" w:lineRule="exact"/>
        <w:rPr>
          <w:sz w:val="20"/>
          <w:szCs w:val="20"/>
          <w:color w:val="auto"/>
        </w:rPr>
      </w:pPr>
    </w:p>
    <w:p>
      <w:pPr>
        <w:ind w:left="900" w:right="4480" w:hanging="895"/>
        <w:spacing w:after="0" w:line="479" w:lineRule="auto"/>
        <w:tabs>
          <w:tab w:leader="none" w:pos="9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(11) 11.3% (4)</w:t>
      </w:r>
    </w:p>
    <w:p>
      <w:pPr>
        <w:ind w:left="900" w:right="7380" w:hanging="895"/>
        <w:spacing w:after="0" w:line="508" w:lineRule="auto"/>
        <w:tabs>
          <w:tab w:leader="none" w:pos="9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-20320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287655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697"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2"/>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CUSIP No.</w:t>
            </w:r>
          </w:p>
        </w:tc>
        <w:tc>
          <w:tcPr>
            <w:tcW w:w="4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81663L200</w:t>
            </w:r>
          </w:p>
        </w:tc>
      </w:tr>
    </w:tbl>
    <w:p>
      <w:pPr>
        <w:spacing w:after="0" w:line="207" w:lineRule="exact"/>
        <w:rPr>
          <w:sz w:val="20"/>
          <w:szCs w:val="20"/>
          <w:color w:val="auto"/>
        </w:rPr>
      </w:pPr>
    </w:p>
    <w:p>
      <w:pPr>
        <w:ind w:left="900" w:hanging="895"/>
        <w:spacing w:after="0"/>
        <w:tabs>
          <w:tab w:leader="none" w:pos="9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REPORTING PERSONS</w:t>
      </w:r>
    </w:p>
    <w:p>
      <w:pPr>
        <w:spacing w:after="0" w:line="21" w:lineRule="exact"/>
        <w:rPr>
          <w:rFonts w:ascii="Times New Roman" w:cs="Times New Roman" w:eastAsia="Times New Roman" w:hAnsi="Times New Roman"/>
          <w:sz w:val="20"/>
          <w:szCs w:val="20"/>
          <w:color w:val="auto"/>
        </w:rPr>
      </w:pPr>
    </w:p>
    <w:p>
      <w:pPr>
        <w:ind w:left="900" w:right="3980"/>
        <w:spacing w:after="0" w:line="46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 Casdin Partners GP, LLC</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w w:val="93"/>
              </w:rPr>
              <w:t>2.</w:t>
            </w:r>
          </w:p>
        </w:tc>
        <w:tc>
          <w:tcPr>
            <w:tcW w:w="7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226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(a)</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[_]</w:t>
            </w:r>
          </w:p>
        </w:tc>
      </w:tr>
      <w:tr>
        <w:trPr>
          <w:trHeight w:val="258"/>
        </w:trPr>
        <w:tc>
          <w:tcPr>
            <w:tcW w:w="540" w:type="dxa"/>
            <w:vAlign w:val="bottom"/>
          </w:tcPr>
          <w:p>
            <w:pPr>
              <w:spacing w:after="0"/>
              <w:rPr>
                <w:sz w:val="22"/>
                <w:szCs w:val="22"/>
                <w:color w:val="auto"/>
              </w:rPr>
            </w:pPr>
          </w:p>
        </w:tc>
        <w:tc>
          <w:tcPr>
            <w:tcW w:w="7720" w:type="dxa"/>
            <w:vAlign w:val="bottom"/>
          </w:tcPr>
          <w:p>
            <w:pPr>
              <w:spacing w:after="0"/>
              <w:rPr>
                <w:sz w:val="22"/>
                <w:szCs w:val="22"/>
                <w:color w:val="auto"/>
              </w:rPr>
            </w:pPr>
          </w:p>
        </w:tc>
        <w:tc>
          <w:tcPr>
            <w:tcW w:w="226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(b)</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[_]</w:t>
            </w:r>
          </w:p>
        </w:tc>
      </w:tr>
    </w:tbl>
    <w:p>
      <w:pPr>
        <w:spacing w:after="0" w:line="201" w:lineRule="exact"/>
        <w:rPr>
          <w:sz w:val="20"/>
          <w:szCs w:val="20"/>
          <w:color w:val="auto"/>
        </w:rPr>
      </w:pPr>
    </w:p>
    <w:p>
      <w:pPr>
        <w:ind w:left="900" w:hanging="895"/>
        <w:spacing w:after="0"/>
        <w:tabs>
          <w:tab w:leader="none" w:pos="9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88" w:lineRule="exact"/>
        <w:rPr>
          <w:rFonts w:ascii="Times New Roman" w:cs="Times New Roman" w:eastAsia="Times New Roman" w:hAnsi="Times New Roman"/>
          <w:sz w:val="20"/>
          <w:szCs w:val="20"/>
          <w:color w:val="auto"/>
        </w:rPr>
      </w:pPr>
    </w:p>
    <w:p>
      <w:pPr>
        <w:ind w:left="900" w:right="8340" w:hanging="895"/>
        <w:spacing w:after="0" w:line="479" w:lineRule="auto"/>
        <w:tabs>
          <w:tab w:leader="none" w:pos="9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SOURCE OF FUNDS AF</w:t>
      </w:r>
    </w:p>
    <w:p>
      <w:pPr>
        <w:ind w:left="900" w:hanging="895"/>
        <w:spacing w:after="0"/>
        <w:tabs>
          <w:tab w:leader="none" w:pos="9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DISCLOSURE OF LEGAL PROCEEDINGS IS REQUIRED PURSUANT TO ITEMS 2(d)</w:t>
      </w:r>
    </w:p>
    <w:p>
      <w:pPr>
        <w:spacing w:after="0" w:line="200" w:lineRule="exact"/>
        <w:rPr>
          <w:sz w:val="20"/>
          <w:szCs w:val="20"/>
          <w:color w:val="auto"/>
        </w:rPr>
      </w:pPr>
    </w:p>
    <w:p>
      <w:pPr>
        <w:spacing w:after="0" w:line="259" w:lineRule="exact"/>
        <w:rPr>
          <w:sz w:val="20"/>
          <w:szCs w:val="20"/>
          <w:color w:val="auto"/>
        </w:rPr>
      </w:pPr>
    </w:p>
    <w:p>
      <w:pPr>
        <w:ind w:left="900" w:hanging="895"/>
        <w:spacing w:after="0"/>
        <w:tabs>
          <w:tab w:leader="none" w:pos="9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900" w:right="8080" w:hanging="895"/>
        <w:spacing w:after="0" w:line="479" w:lineRule="auto"/>
        <w:tabs>
          <w:tab w:leader="none" w:pos="9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 0</w:t>
      </w:r>
    </w:p>
    <w:p>
      <w:pPr>
        <w:ind w:left="900" w:right="7780" w:hanging="895"/>
        <w:spacing w:after="0" w:line="479" w:lineRule="auto"/>
        <w:tabs>
          <w:tab w:leader="none" w:pos="9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VOTING POWER 3,396,411 (5)(9)</w:t>
      </w:r>
    </w:p>
    <w:p>
      <w:pPr>
        <w:ind w:left="900" w:right="7640" w:hanging="895"/>
        <w:spacing w:after="0" w:line="479" w:lineRule="auto"/>
        <w:tabs>
          <w:tab w:leader="none" w:pos="9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DISPOSITIVE POWER 0</w:t>
      </w:r>
    </w:p>
    <w:p>
      <w:pPr>
        <w:ind w:left="900" w:right="7340" w:hanging="895"/>
        <w:spacing w:after="0" w:line="479" w:lineRule="auto"/>
        <w:tabs>
          <w:tab w:leader="none" w:pos="9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 3,396,411 (5)(9)</w:t>
      </w:r>
    </w:p>
    <w:p>
      <w:pPr>
        <w:ind w:left="900" w:right="2920" w:hanging="895"/>
        <w:spacing w:after="0" w:line="479" w:lineRule="auto"/>
        <w:tabs>
          <w:tab w:leader="none" w:pos="9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3,396,411 (5)(9)</w:t>
      </w:r>
    </w:p>
    <w:p>
      <w:pPr>
        <w:ind w:left="900" w:hanging="895"/>
        <w:spacing w:after="0"/>
        <w:tabs>
          <w:tab w:leader="none" w:pos="9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THE AGGREGATE AMOUNT IN ROW (11) EXCLUDES CERTAIN SHARES</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[_]</w:t>
      </w:r>
    </w:p>
    <w:p>
      <w:pPr>
        <w:spacing w:after="0" w:line="207" w:lineRule="exact"/>
        <w:rPr>
          <w:sz w:val="20"/>
          <w:szCs w:val="20"/>
          <w:color w:val="auto"/>
        </w:rPr>
      </w:pPr>
    </w:p>
    <w:p>
      <w:pPr>
        <w:ind w:left="900" w:right="4480" w:hanging="895"/>
        <w:spacing w:after="0" w:line="479" w:lineRule="auto"/>
        <w:tabs>
          <w:tab w:leader="none" w:pos="9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(11) 13.0% (4)</w:t>
      </w:r>
    </w:p>
    <w:p>
      <w:pPr>
        <w:ind w:left="900" w:right="7380" w:hanging="895"/>
        <w:spacing w:after="0" w:line="508" w:lineRule="auto"/>
        <w:tabs>
          <w:tab w:leader="none" w:pos="9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-20320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433705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697"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2"/>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CUSIP No.</w:t>
            </w:r>
          </w:p>
        </w:tc>
        <w:tc>
          <w:tcPr>
            <w:tcW w:w="4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81663L200</w:t>
            </w:r>
          </w:p>
        </w:tc>
      </w:tr>
    </w:tbl>
    <w:p>
      <w:pPr>
        <w:spacing w:after="0" w:line="207" w:lineRule="exact"/>
        <w:rPr>
          <w:sz w:val="20"/>
          <w:szCs w:val="20"/>
          <w:color w:val="auto"/>
        </w:rPr>
      </w:pPr>
    </w:p>
    <w:p>
      <w:pPr>
        <w:ind w:left="900" w:hanging="895"/>
        <w:spacing w:after="0"/>
        <w:tabs>
          <w:tab w:leader="none" w:pos="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REPORTING PERSONS</w:t>
      </w:r>
    </w:p>
    <w:p>
      <w:pPr>
        <w:spacing w:after="0" w:line="21" w:lineRule="exact"/>
        <w:rPr>
          <w:rFonts w:ascii="Times New Roman" w:cs="Times New Roman" w:eastAsia="Times New Roman" w:hAnsi="Times New Roman"/>
          <w:sz w:val="20"/>
          <w:szCs w:val="20"/>
          <w:color w:val="auto"/>
        </w:rPr>
      </w:pPr>
    </w:p>
    <w:p>
      <w:pPr>
        <w:ind w:left="900" w:right="3980"/>
        <w:spacing w:after="0" w:line="46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 Eli Casdin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w w:val="93"/>
              </w:rPr>
              <w:t>2.</w:t>
            </w:r>
          </w:p>
        </w:tc>
        <w:tc>
          <w:tcPr>
            <w:tcW w:w="7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226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(a)</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[_]</w:t>
            </w:r>
          </w:p>
        </w:tc>
      </w:tr>
      <w:tr>
        <w:trPr>
          <w:trHeight w:val="258"/>
        </w:trPr>
        <w:tc>
          <w:tcPr>
            <w:tcW w:w="540" w:type="dxa"/>
            <w:vAlign w:val="bottom"/>
          </w:tcPr>
          <w:p>
            <w:pPr>
              <w:spacing w:after="0"/>
              <w:rPr>
                <w:sz w:val="22"/>
                <w:szCs w:val="22"/>
                <w:color w:val="auto"/>
              </w:rPr>
            </w:pPr>
          </w:p>
        </w:tc>
        <w:tc>
          <w:tcPr>
            <w:tcW w:w="7720" w:type="dxa"/>
            <w:vAlign w:val="bottom"/>
          </w:tcPr>
          <w:p>
            <w:pPr>
              <w:spacing w:after="0"/>
              <w:rPr>
                <w:sz w:val="22"/>
                <w:szCs w:val="22"/>
                <w:color w:val="auto"/>
              </w:rPr>
            </w:pPr>
          </w:p>
        </w:tc>
        <w:tc>
          <w:tcPr>
            <w:tcW w:w="226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(b)</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[_]</w:t>
            </w:r>
          </w:p>
        </w:tc>
      </w:tr>
    </w:tbl>
    <w:p>
      <w:pPr>
        <w:spacing w:after="0" w:line="201" w:lineRule="exact"/>
        <w:rPr>
          <w:sz w:val="20"/>
          <w:szCs w:val="20"/>
          <w:color w:val="auto"/>
        </w:rPr>
      </w:pPr>
    </w:p>
    <w:p>
      <w:pPr>
        <w:ind w:left="900" w:hanging="895"/>
        <w:spacing w:after="0"/>
        <w:tabs>
          <w:tab w:leader="none" w:pos="9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88" w:lineRule="exact"/>
        <w:rPr>
          <w:rFonts w:ascii="Times New Roman" w:cs="Times New Roman" w:eastAsia="Times New Roman" w:hAnsi="Times New Roman"/>
          <w:sz w:val="20"/>
          <w:szCs w:val="20"/>
          <w:color w:val="auto"/>
        </w:rPr>
      </w:pPr>
    </w:p>
    <w:p>
      <w:pPr>
        <w:ind w:left="900" w:right="8340" w:hanging="895"/>
        <w:spacing w:after="0" w:line="479" w:lineRule="auto"/>
        <w:tabs>
          <w:tab w:leader="none" w:pos="9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SOURCE OF FUNDS AF</w:t>
      </w:r>
    </w:p>
    <w:p>
      <w:pPr>
        <w:ind w:left="900" w:hanging="895"/>
        <w:spacing w:after="0"/>
        <w:tabs>
          <w:tab w:leader="none" w:pos="9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DISCLOSURE OF LEGAL PROCEEDINGS IS REQUIRED PURSUANT TO ITEMS 2(d)</w:t>
      </w:r>
    </w:p>
    <w:p>
      <w:pPr>
        <w:spacing w:after="0" w:line="200" w:lineRule="exact"/>
        <w:rPr>
          <w:sz w:val="20"/>
          <w:szCs w:val="20"/>
          <w:color w:val="auto"/>
        </w:rPr>
      </w:pPr>
    </w:p>
    <w:p>
      <w:pPr>
        <w:spacing w:after="0" w:line="259" w:lineRule="exact"/>
        <w:rPr>
          <w:sz w:val="20"/>
          <w:szCs w:val="20"/>
          <w:color w:val="auto"/>
        </w:rPr>
      </w:pPr>
    </w:p>
    <w:p>
      <w:pPr>
        <w:ind w:left="900" w:hanging="895"/>
        <w:spacing w:after="0"/>
        <w:tabs>
          <w:tab w:leader="none" w:pos="9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900" w:right="8080" w:hanging="895"/>
        <w:spacing w:after="0" w:line="479" w:lineRule="auto"/>
        <w:tabs>
          <w:tab w:leader="none" w:pos="9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 4,831 (7)(9)</w:t>
      </w:r>
    </w:p>
    <w:p>
      <w:pPr>
        <w:ind w:left="900" w:right="7780" w:hanging="895"/>
        <w:spacing w:after="0" w:line="504" w:lineRule="auto"/>
        <w:tabs>
          <w:tab w:leader="none" w:pos="9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SHARED VOTING POWER 3,933,696 (1)(2)(3)(5)(9)</w:t>
      </w:r>
    </w:p>
    <w:p>
      <w:pPr>
        <w:ind w:left="900" w:right="7640" w:hanging="895"/>
        <w:spacing w:after="0" w:line="479" w:lineRule="auto"/>
        <w:tabs>
          <w:tab w:leader="none" w:pos="9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DISPOSITIVE POWER 4,831 (7)(9)</w:t>
      </w:r>
    </w:p>
    <w:p>
      <w:pPr>
        <w:ind w:left="900" w:right="7340" w:hanging="895"/>
        <w:spacing w:after="0" w:line="479" w:lineRule="auto"/>
        <w:tabs>
          <w:tab w:leader="none" w:pos="9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 3,933,696 (1)(2)(3)(5)(9)</w:t>
      </w:r>
    </w:p>
    <w:p>
      <w:pPr>
        <w:ind w:left="900" w:right="2920" w:hanging="895"/>
        <w:spacing w:after="0" w:line="479" w:lineRule="auto"/>
        <w:tabs>
          <w:tab w:leader="none" w:pos="9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3,938,527 (1)(2)(3)(5)(9)</w:t>
      </w:r>
    </w:p>
    <w:p>
      <w:pPr>
        <w:ind w:left="900" w:hanging="895"/>
        <w:spacing w:after="0"/>
        <w:tabs>
          <w:tab w:leader="none" w:pos="9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THE AGGREGATE AMOUNT IN ROW (11) EXCLUDES CERTAIN SHARES</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[_]</w:t>
      </w:r>
    </w:p>
    <w:p>
      <w:pPr>
        <w:spacing w:after="0" w:line="207" w:lineRule="exact"/>
        <w:rPr>
          <w:sz w:val="20"/>
          <w:szCs w:val="20"/>
          <w:color w:val="auto"/>
        </w:rPr>
      </w:pPr>
    </w:p>
    <w:p>
      <w:pPr>
        <w:ind w:left="900" w:right="4480" w:hanging="895"/>
        <w:spacing w:after="0" w:line="479" w:lineRule="auto"/>
        <w:tabs>
          <w:tab w:leader="none" w:pos="9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(11) 14.9% (10)</w:t>
      </w:r>
    </w:p>
    <w:p>
      <w:pPr>
        <w:ind w:left="900" w:right="7380" w:hanging="895"/>
        <w:spacing w:after="0" w:line="508" w:lineRule="auto"/>
        <w:tabs>
          <w:tab w:leader="none" w:pos="9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-20320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433705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697" w:right="4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2"/>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CUSIP No.</w:t>
            </w:r>
          </w:p>
        </w:tc>
        <w:tc>
          <w:tcPr>
            <w:tcW w:w="4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81663L200</w:t>
            </w:r>
          </w:p>
        </w:tc>
      </w:tr>
    </w:tbl>
    <w:p>
      <w:pPr>
        <w:spacing w:after="0" w:line="207" w:lineRule="exact"/>
        <w:rPr>
          <w:sz w:val="20"/>
          <w:szCs w:val="20"/>
          <w:color w:val="auto"/>
        </w:rPr>
      </w:pPr>
    </w:p>
    <w:p>
      <w:pPr>
        <w:ind w:left="900" w:hanging="895"/>
        <w:spacing w:after="0"/>
        <w:tabs>
          <w:tab w:leader="none" w:pos="9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REPORTING PERSONS</w:t>
      </w:r>
    </w:p>
    <w:p>
      <w:pPr>
        <w:spacing w:after="0" w:line="21" w:lineRule="exact"/>
        <w:rPr>
          <w:rFonts w:ascii="Times New Roman" w:cs="Times New Roman" w:eastAsia="Times New Roman" w:hAnsi="Times New Roman"/>
          <w:sz w:val="20"/>
          <w:szCs w:val="20"/>
          <w:color w:val="auto"/>
        </w:rPr>
      </w:pPr>
    </w:p>
    <w:p>
      <w:pPr>
        <w:ind w:left="900" w:right="3980"/>
        <w:spacing w:after="0" w:line="46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 Keith A. Meister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w w:val="93"/>
              </w:rPr>
              <w:t>2.</w:t>
            </w:r>
          </w:p>
        </w:tc>
        <w:tc>
          <w:tcPr>
            <w:tcW w:w="7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226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(a)</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[_]</w:t>
            </w:r>
          </w:p>
        </w:tc>
      </w:tr>
      <w:tr>
        <w:trPr>
          <w:trHeight w:val="258"/>
        </w:trPr>
        <w:tc>
          <w:tcPr>
            <w:tcW w:w="540" w:type="dxa"/>
            <w:vAlign w:val="bottom"/>
          </w:tcPr>
          <w:p>
            <w:pPr>
              <w:spacing w:after="0"/>
              <w:rPr>
                <w:sz w:val="22"/>
                <w:szCs w:val="22"/>
                <w:color w:val="auto"/>
              </w:rPr>
            </w:pPr>
          </w:p>
        </w:tc>
        <w:tc>
          <w:tcPr>
            <w:tcW w:w="7720" w:type="dxa"/>
            <w:vAlign w:val="bottom"/>
          </w:tcPr>
          <w:p>
            <w:pPr>
              <w:spacing w:after="0"/>
              <w:rPr>
                <w:sz w:val="22"/>
                <w:szCs w:val="22"/>
                <w:color w:val="auto"/>
              </w:rPr>
            </w:pPr>
          </w:p>
        </w:tc>
        <w:tc>
          <w:tcPr>
            <w:tcW w:w="226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(b)</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[_]</w:t>
            </w:r>
          </w:p>
        </w:tc>
      </w:tr>
    </w:tbl>
    <w:p>
      <w:pPr>
        <w:spacing w:after="0" w:line="201" w:lineRule="exact"/>
        <w:rPr>
          <w:sz w:val="20"/>
          <w:szCs w:val="20"/>
          <w:color w:val="auto"/>
        </w:rPr>
      </w:pPr>
    </w:p>
    <w:p>
      <w:pPr>
        <w:ind w:left="900" w:hanging="895"/>
        <w:spacing w:after="0"/>
        <w:tabs>
          <w:tab w:leader="none" w:pos="9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88" w:lineRule="exact"/>
        <w:rPr>
          <w:rFonts w:ascii="Times New Roman" w:cs="Times New Roman" w:eastAsia="Times New Roman" w:hAnsi="Times New Roman"/>
          <w:sz w:val="20"/>
          <w:szCs w:val="20"/>
          <w:color w:val="auto"/>
        </w:rPr>
      </w:pPr>
    </w:p>
    <w:p>
      <w:pPr>
        <w:ind w:left="900" w:right="8340" w:hanging="895"/>
        <w:spacing w:after="0" w:line="479" w:lineRule="auto"/>
        <w:tabs>
          <w:tab w:leader="none" w:pos="9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SOURCE OF FUNDS OO</w:t>
      </w:r>
    </w:p>
    <w:p>
      <w:pPr>
        <w:ind w:left="900" w:hanging="895"/>
        <w:spacing w:after="0"/>
        <w:tabs>
          <w:tab w:leader="none" w:pos="9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DISCLOSURE OF LEGAL PROCEEDINGS IS REQUIRED PURSUANT TO ITEMS 2(d)</w:t>
      </w:r>
    </w:p>
    <w:p>
      <w:pPr>
        <w:spacing w:after="0" w:line="200" w:lineRule="exact"/>
        <w:rPr>
          <w:sz w:val="20"/>
          <w:szCs w:val="20"/>
          <w:color w:val="auto"/>
        </w:rPr>
      </w:pPr>
    </w:p>
    <w:p>
      <w:pPr>
        <w:spacing w:after="0" w:line="259" w:lineRule="exact"/>
        <w:rPr>
          <w:sz w:val="20"/>
          <w:szCs w:val="20"/>
          <w:color w:val="auto"/>
        </w:rPr>
      </w:pPr>
    </w:p>
    <w:p>
      <w:pPr>
        <w:ind w:left="900" w:hanging="895"/>
        <w:spacing w:after="0"/>
        <w:tabs>
          <w:tab w:leader="none" w:pos="9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900" w:right="8080" w:hanging="895"/>
        <w:spacing w:after="0" w:line="479" w:lineRule="auto"/>
        <w:tabs>
          <w:tab w:leader="none" w:pos="9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 3,768 (8)(9)</w:t>
      </w:r>
    </w:p>
    <w:p>
      <w:pPr>
        <w:ind w:left="900" w:right="7780" w:hanging="895"/>
        <w:spacing w:after="0" w:line="504" w:lineRule="auto"/>
        <w:tabs>
          <w:tab w:leader="none" w:pos="90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SHARED VOTING POWER 3,011,066 (1)(2)(3)(6)(9)</w:t>
      </w:r>
    </w:p>
    <w:p>
      <w:pPr>
        <w:ind w:left="900" w:right="7640" w:hanging="895"/>
        <w:spacing w:after="0" w:line="479" w:lineRule="auto"/>
        <w:tabs>
          <w:tab w:leader="none" w:pos="9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DISPOSITIVE POWER 3,768 (8)(9)</w:t>
      </w:r>
    </w:p>
    <w:p>
      <w:pPr>
        <w:ind w:left="900" w:right="7340" w:hanging="895"/>
        <w:spacing w:after="0" w:line="479" w:lineRule="auto"/>
        <w:tabs>
          <w:tab w:leader="none" w:pos="9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 3,011,066 (1)(2)(3)(6)(9)</w:t>
      </w:r>
    </w:p>
    <w:p>
      <w:pPr>
        <w:ind w:left="900" w:right="2920" w:hanging="895"/>
        <w:spacing w:after="0" w:line="479" w:lineRule="auto"/>
        <w:tabs>
          <w:tab w:leader="none" w:pos="9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3,014,834 (1)(2)(3)(6)(8)(9)</w:t>
      </w:r>
    </w:p>
    <w:p>
      <w:pPr>
        <w:ind w:left="900" w:hanging="895"/>
        <w:spacing w:after="0"/>
        <w:tabs>
          <w:tab w:leader="none" w:pos="9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THE AGGREGATE AMOUNT IN ROW (11) EXCLUDES CERTAIN SHARES</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[_]</w:t>
      </w:r>
    </w:p>
    <w:p>
      <w:pPr>
        <w:spacing w:after="0" w:line="207" w:lineRule="exact"/>
        <w:rPr>
          <w:sz w:val="20"/>
          <w:szCs w:val="20"/>
          <w:color w:val="auto"/>
        </w:rPr>
      </w:pPr>
    </w:p>
    <w:p>
      <w:pPr>
        <w:ind w:left="900" w:right="4480" w:hanging="895"/>
        <w:spacing w:after="0" w:line="479" w:lineRule="auto"/>
        <w:tabs>
          <w:tab w:leader="none" w:pos="9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(11) 11.5% (10)</w:t>
      </w:r>
    </w:p>
    <w:p>
      <w:pPr>
        <w:ind w:left="900" w:right="7380" w:hanging="895"/>
        <w:spacing w:after="0" w:line="508" w:lineRule="auto"/>
        <w:tabs>
          <w:tab w:leader="none" w:pos="9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-20320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433705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697"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2"/>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CUSIP No.</w:t>
            </w:r>
          </w:p>
        </w:tc>
        <w:tc>
          <w:tcPr>
            <w:tcW w:w="4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81663L200</w:t>
            </w:r>
          </w:p>
        </w:tc>
      </w:tr>
    </w:tbl>
    <w:p>
      <w:pPr>
        <w:spacing w:after="0" w:line="207" w:lineRule="exact"/>
        <w:rPr>
          <w:sz w:val="20"/>
          <w:szCs w:val="20"/>
          <w:color w:val="auto"/>
        </w:rPr>
      </w:pPr>
    </w:p>
    <w:p>
      <w:pPr>
        <w:ind w:left="900" w:hanging="895"/>
        <w:spacing w:after="0"/>
        <w:tabs>
          <w:tab w:leader="none" w:pos="9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REPORTING PERSONS</w:t>
      </w:r>
    </w:p>
    <w:p>
      <w:pPr>
        <w:spacing w:after="0" w:line="21" w:lineRule="exact"/>
        <w:rPr>
          <w:rFonts w:ascii="Times New Roman" w:cs="Times New Roman" w:eastAsia="Times New Roman" w:hAnsi="Times New Roman"/>
          <w:sz w:val="20"/>
          <w:szCs w:val="20"/>
          <w:color w:val="auto"/>
        </w:rPr>
      </w:pPr>
    </w:p>
    <w:p>
      <w:pPr>
        <w:ind w:left="9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40" w:type="dxa"/>
            <w:vAlign w:val="bottom"/>
          </w:tcPr>
          <w:p>
            <w:pPr>
              <w:spacing w:after="0"/>
              <w:rPr>
                <w:sz w:val="22"/>
                <w:szCs w:val="22"/>
                <w:color w:val="auto"/>
              </w:rPr>
            </w:pPr>
          </w:p>
        </w:tc>
        <w:tc>
          <w:tcPr>
            <w:tcW w:w="7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Corvex Management LP</w:t>
            </w:r>
          </w:p>
        </w:tc>
        <w:tc>
          <w:tcPr>
            <w:tcW w:w="226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430"/>
        </w:trPr>
        <w:tc>
          <w:tcPr>
            <w:tcW w:w="54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w w:val="93"/>
              </w:rPr>
              <w:t>2.</w:t>
            </w:r>
          </w:p>
        </w:tc>
        <w:tc>
          <w:tcPr>
            <w:tcW w:w="77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226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(a)</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[_]</w:t>
            </w:r>
          </w:p>
        </w:tc>
      </w:tr>
      <w:tr>
        <w:trPr>
          <w:trHeight w:val="258"/>
        </w:trPr>
        <w:tc>
          <w:tcPr>
            <w:tcW w:w="540" w:type="dxa"/>
            <w:vAlign w:val="bottom"/>
          </w:tcPr>
          <w:p>
            <w:pPr>
              <w:spacing w:after="0"/>
              <w:rPr>
                <w:sz w:val="22"/>
                <w:szCs w:val="22"/>
                <w:color w:val="auto"/>
              </w:rPr>
            </w:pPr>
          </w:p>
        </w:tc>
        <w:tc>
          <w:tcPr>
            <w:tcW w:w="7720" w:type="dxa"/>
            <w:vAlign w:val="bottom"/>
          </w:tcPr>
          <w:p>
            <w:pPr>
              <w:spacing w:after="0"/>
              <w:rPr>
                <w:sz w:val="22"/>
                <w:szCs w:val="22"/>
                <w:color w:val="auto"/>
              </w:rPr>
            </w:pPr>
          </w:p>
        </w:tc>
        <w:tc>
          <w:tcPr>
            <w:tcW w:w="226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(b)</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[_]</w:t>
            </w:r>
          </w:p>
        </w:tc>
      </w:tr>
    </w:tbl>
    <w:p>
      <w:pPr>
        <w:spacing w:after="0" w:line="201" w:lineRule="exact"/>
        <w:rPr>
          <w:sz w:val="20"/>
          <w:szCs w:val="20"/>
          <w:color w:val="auto"/>
        </w:rPr>
      </w:pPr>
    </w:p>
    <w:p>
      <w:pPr>
        <w:ind w:left="900" w:hanging="895"/>
        <w:spacing w:after="0"/>
        <w:tabs>
          <w:tab w:leader="none" w:pos="9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88" w:lineRule="exact"/>
        <w:rPr>
          <w:rFonts w:ascii="Times New Roman" w:cs="Times New Roman" w:eastAsia="Times New Roman" w:hAnsi="Times New Roman"/>
          <w:sz w:val="20"/>
          <w:szCs w:val="20"/>
          <w:color w:val="auto"/>
        </w:rPr>
      </w:pPr>
    </w:p>
    <w:p>
      <w:pPr>
        <w:ind w:left="900" w:right="8340" w:hanging="895"/>
        <w:spacing w:after="0" w:line="479" w:lineRule="auto"/>
        <w:tabs>
          <w:tab w:leader="none" w:pos="9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SOURCE OF FUNDS AF</w:t>
      </w:r>
    </w:p>
    <w:p>
      <w:pPr>
        <w:ind w:left="900" w:hanging="895"/>
        <w:spacing w:after="0"/>
        <w:tabs>
          <w:tab w:leader="none" w:pos="9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DISCLOSURE OF LEGAL PROCEEDINGS IS REQUIRED PURSUANT TO ITEMS 2(d)</w:t>
      </w:r>
    </w:p>
    <w:p>
      <w:pPr>
        <w:spacing w:after="0" w:line="200" w:lineRule="exact"/>
        <w:rPr>
          <w:sz w:val="20"/>
          <w:szCs w:val="20"/>
          <w:color w:val="auto"/>
        </w:rPr>
      </w:pPr>
    </w:p>
    <w:p>
      <w:pPr>
        <w:spacing w:after="0" w:line="259" w:lineRule="exact"/>
        <w:rPr>
          <w:sz w:val="20"/>
          <w:szCs w:val="20"/>
          <w:color w:val="auto"/>
        </w:rPr>
      </w:pPr>
    </w:p>
    <w:p>
      <w:pPr>
        <w:ind w:left="900" w:right="6100" w:hanging="895"/>
        <w:spacing w:after="0" w:line="508" w:lineRule="auto"/>
        <w:tabs>
          <w:tab w:leader="none" w:pos="9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 Delaware</w:t>
      </w:r>
    </w:p>
    <w:p>
      <w:pPr>
        <w:spacing w:after="0" w:line="200" w:lineRule="exact"/>
        <w:rPr>
          <w:sz w:val="20"/>
          <w:szCs w:val="20"/>
          <w:color w:val="auto"/>
        </w:rPr>
      </w:pPr>
    </w:p>
    <w:p>
      <w:pPr>
        <w:spacing w:after="0" w:line="203" w:lineRule="exact"/>
        <w:rPr>
          <w:sz w:val="20"/>
          <w:szCs w:val="20"/>
          <w:color w:val="auto"/>
        </w:rPr>
      </w:pPr>
    </w:p>
    <w:p>
      <w:pPr>
        <w:ind w:left="900" w:right="8080" w:hanging="895"/>
        <w:spacing w:after="0" w:line="479" w:lineRule="auto"/>
        <w:tabs>
          <w:tab w:leader="none" w:pos="9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 0</w:t>
      </w:r>
    </w:p>
    <w:p>
      <w:pPr>
        <w:ind w:left="900" w:right="7780" w:hanging="895"/>
        <w:spacing w:after="0" w:line="479" w:lineRule="auto"/>
        <w:tabs>
          <w:tab w:leader="none" w:pos="9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VOTING POWER 2,473,781 (6)(9)</w:t>
      </w:r>
    </w:p>
    <w:p>
      <w:pPr>
        <w:ind w:left="900" w:right="7640" w:hanging="895"/>
        <w:spacing w:after="0" w:line="479" w:lineRule="auto"/>
        <w:tabs>
          <w:tab w:leader="none" w:pos="9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DISPOSITIVE POWER 0</w:t>
      </w:r>
    </w:p>
    <w:p>
      <w:pPr>
        <w:ind w:left="900" w:right="7340" w:hanging="895"/>
        <w:spacing w:after="0" w:line="479" w:lineRule="auto"/>
        <w:tabs>
          <w:tab w:leader="none" w:pos="9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 2,473,781 (6)(9)</w:t>
      </w:r>
    </w:p>
    <w:p>
      <w:pPr>
        <w:ind w:left="900" w:right="2920" w:hanging="895"/>
        <w:spacing w:after="0" w:line="479" w:lineRule="auto"/>
        <w:tabs>
          <w:tab w:leader="none" w:pos="9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2,473,781 (6)(9)</w:t>
      </w:r>
    </w:p>
    <w:p>
      <w:pPr>
        <w:ind w:left="900" w:hanging="895"/>
        <w:spacing w:after="0"/>
        <w:tabs>
          <w:tab w:leader="none" w:pos="9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THE AGGREGATE AMOUNT IN ROW (11) EXCLUDES CERTAIN SHARES</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[_]</w:t>
      </w:r>
    </w:p>
    <w:p>
      <w:pPr>
        <w:spacing w:after="0" w:line="207" w:lineRule="exact"/>
        <w:rPr>
          <w:sz w:val="20"/>
          <w:szCs w:val="20"/>
          <w:color w:val="auto"/>
        </w:rPr>
      </w:pPr>
    </w:p>
    <w:p>
      <w:pPr>
        <w:ind w:left="900" w:right="4480" w:hanging="895"/>
        <w:spacing w:after="0" w:line="479" w:lineRule="auto"/>
        <w:tabs>
          <w:tab w:leader="none" w:pos="9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(11) 9.5% (4)</w:t>
      </w:r>
    </w:p>
    <w:p>
      <w:pPr>
        <w:ind w:left="900" w:right="7380" w:hanging="895"/>
        <w:spacing w:after="0" w:line="508" w:lineRule="auto"/>
        <w:tabs>
          <w:tab w:leader="none" w:pos="9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PN,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-20320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287655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697" w:right="439" w:bottom="1440" w:gutter="0" w:footer="0" w:header="0"/>
        </w:sectPr>
      </w:pPr>
    </w:p>
    <w:bookmarkStart w:id="11" w:name="page12"/>
    <w:bookmarkEnd w:id="11"/>
    <w:p>
      <w:pPr>
        <w:ind w:left="672" w:hanging="672"/>
        <w:spacing w:after="0"/>
        <w:tabs>
          <w:tab w:leader="none" w:pos="67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333,144 shares of Class A common stock of GeneDx Holdings Corp.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par value $0.0001 per share (“Shares”).</w:t>
      </w:r>
    </w:p>
    <w:p>
      <w:pPr>
        <w:spacing w:after="0" w:line="27" w:lineRule="exact"/>
        <w:rPr>
          <w:rFonts w:ascii="Times New Roman" w:cs="Times New Roman" w:eastAsia="Times New Roman" w:hAnsi="Times New Roman"/>
          <w:sz w:val="18"/>
          <w:szCs w:val="18"/>
          <w:color w:val="auto"/>
        </w:rPr>
      </w:pPr>
    </w:p>
    <w:p>
      <w:pPr>
        <w:jc w:val="both"/>
        <w:ind w:left="672" w:hanging="672"/>
        <w:spacing w:after="0" w:line="250" w:lineRule="auto"/>
        <w:tabs>
          <w:tab w:leader="none" w:pos="67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204,141 Shares issuable upon the exercise of 204,141 private placement warrants of the Issuer. On September 3, 2021, each private placement warrant became exercisable to purchase one Share at a price of $379.50 per share, subject to adjustment, as described in the definitive proxy statement of the Issuer (File No. 001-39482) filed with the U.S. Securities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July 2, 2021.</w:t>
      </w:r>
    </w:p>
    <w:p>
      <w:pPr>
        <w:spacing w:after="0" w:line="1" w:lineRule="exact"/>
        <w:rPr>
          <w:rFonts w:ascii="Times New Roman" w:cs="Times New Roman" w:eastAsia="Times New Roman" w:hAnsi="Times New Roman"/>
          <w:sz w:val="18"/>
          <w:szCs w:val="18"/>
          <w:color w:val="auto"/>
        </w:rPr>
      </w:pPr>
    </w:p>
    <w:p>
      <w:pPr>
        <w:jc w:val="both"/>
        <w:ind w:left="672" w:hanging="672"/>
        <w:spacing w:after="0" w:line="250" w:lineRule="auto"/>
        <w:tabs>
          <w:tab w:leader="none" w:pos="67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CMLS Holdings LLC is the record holder of the shares reported herein. The Board of Managers of CMLS Holdings LLC is comprised of Mr. Casdin and Mr. Meister who share voting and investment discretion with respect to the Shares held of record by CMLS Holdings LLC. C-LSH LLC and M-LSH LLC are the members of CMLS Holdings LLC, and Mr. Casdin and Mr. Meister are the managing members of C-LSH LLC and M-LSH LLC, respectively. As such, each of the foregoing may be deemed to have or share beneficial ownership of the Shares held directly by CMLS Holdings LLC.</w:t>
      </w:r>
    </w:p>
    <w:p>
      <w:pPr>
        <w:spacing w:after="0" w:line="1" w:lineRule="exact"/>
        <w:rPr>
          <w:rFonts w:ascii="Times New Roman" w:cs="Times New Roman" w:eastAsia="Times New Roman" w:hAnsi="Times New Roman"/>
          <w:sz w:val="18"/>
          <w:szCs w:val="18"/>
          <w:color w:val="auto"/>
        </w:rPr>
      </w:pPr>
    </w:p>
    <w:p>
      <w:pPr>
        <w:jc w:val="both"/>
        <w:ind w:left="672" w:hanging="672"/>
        <w:spacing w:after="0" w:line="250" w:lineRule="auto"/>
        <w:tabs>
          <w:tab w:leader="none" w:pos="67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26,150,866 Shares outstanding as of April 24, 2024, as reported in the Issuer’s Schedule 14A filed with the SEC on April 29, 2024. In computing the number of shares beneficially owned by a person or entity and the percentage ownership of that person or entity, all shares subject to options, restricted stock units, or warrants held by such person or entity were deemed outstanding if such securities are currently vested, settled, or exercisable, or will vest, settle, or become exercisable. These shares were not deemed outstanding, however, for the purpose of computing the percentage ownership of any other person or entity.</w:t>
      </w:r>
    </w:p>
    <w:p>
      <w:pPr>
        <w:spacing w:after="0" w:line="1" w:lineRule="exact"/>
        <w:rPr>
          <w:rFonts w:ascii="Times New Roman" w:cs="Times New Roman" w:eastAsia="Times New Roman" w:hAnsi="Times New Roman"/>
          <w:sz w:val="18"/>
          <w:szCs w:val="18"/>
          <w:color w:val="auto"/>
        </w:rPr>
      </w:pPr>
    </w:p>
    <w:p>
      <w:pPr>
        <w:jc w:val="both"/>
        <w:ind w:left="672" w:hanging="672"/>
        <w:spacing w:after="0" w:line="250" w:lineRule="auto"/>
        <w:tabs>
          <w:tab w:leader="none" w:pos="67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Casdin Partners Master Fund, LP is the record holder of 2,963,509 shares reported herein. Casdin Partners FO1-MSV LP is the record holder of 432,902 shares reported herein. Casdin Capital, LLC is the investment adviser to Casdin Partners Master Fund, LP and Casdin Partners FO1-MSV LP, and Casdin Partners GP, LLC is the general partner of Casdin Partners Master Fund LP and Casdin Partners FO1-MSV LP. Eli Casdin is the managing member of Casdin Capital, LLC and Casdin Partners GP, LLC. As such, each of the foregoing may be deemed to have or share beneficial ownership of the Shares held directly by Casdin Partners Master Fund, LP and Casdin Partners FO1-MSV LP.</w:t>
      </w:r>
    </w:p>
    <w:p>
      <w:pPr>
        <w:spacing w:after="0" w:line="1" w:lineRule="exact"/>
        <w:rPr>
          <w:rFonts w:ascii="Times New Roman" w:cs="Times New Roman" w:eastAsia="Times New Roman" w:hAnsi="Times New Roman"/>
          <w:sz w:val="18"/>
          <w:szCs w:val="18"/>
          <w:color w:val="auto"/>
        </w:rPr>
      </w:pPr>
    </w:p>
    <w:p>
      <w:pPr>
        <w:jc w:val="both"/>
        <w:ind w:left="672" w:hanging="672"/>
        <w:spacing w:after="0" w:line="250" w:lineRule="auto"/>
        <w:tabs>
          <w:tab w:leader="none" w:pos="67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reflected as beneficially owned by Mr. Meister include 2,473,781 Shares owned by investment funds advised by Corvex Management, L.P., which may be deemed to be indirectly beneficially owned by Keith Meister by virtue of Mr. Meister’s control of the general partner of Corvex Management, L.P.</w:t>
      </w:r>
    </w:p>
    <w:p>
      <w:pPr>
        <w:spacing w:after="0" w:line="1" w:lineRule="exact"/>
        <w:rPr>
          <w:rFonts w:ascii="Times New Roman" w:cs="Times New Roman" w:eastAsia="Times New Roman" w:hAnsi="Times New Roman"/>
          <w:sz w:val="18"/>
          <w:szCs w:val="18"/>
          <w:color w:val="auto"/>
        </w:rPr>
      </w:pPr>
    </w:p>
    <w:p>
      <w:pPr>
        <w:jc w:val="both"/>
        <w:ind w:left="672" w:hanging="672"/>
        <w:spacing w:after="0" w:line="250" w:lineRule="auto"/>
        <w:tabs>
          <w:tab w:leader="none" w:pos="67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3,066 shares issuable upon the exercise of fully vested options and 1,765 Shares that were issued upon the vesting of restricted stock units, in each case that were granted to Mr. Casdin in connection with his service on the board of directors of the Issuer. Does not include shares underlying 8,816 unvested options and 5,828 unvested restricted stock units.</w:t>
      </w:r>
    </w:p>
    <w:p>
      <w:pPr>
        <w:spacing w:after="0" w:line="1" w:lineRule="exact"/>
        <w:rPr>
          <w:rFonts w:ascii="Times New Roman" w:cs="Times New Roman" w:eastAsia="Times New Roman" w:hAnsi="Times New Roman"/>
          <w:sz w:val="18"/>
          <w:szCs w:val="18"/>
          <w:color w:val="auto"/>
        </w:rPr>
      </w:pPr>
    </w:p>
    <w:p>
      <w:pPr>
        <w:jc w:val="both"/>
        <w:ind w:left="672" w:hanging="672"/>
        <w:spacing w:after="0" w:line="250" w:lineRule="auto"/>
        <w:tabs>
          <w:tab w:leader="none" w:pos="67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2,391 shares issuable upon the exercise of fully vested options and 1,377 Shares that were issued upon the vesting of restricted stock units, in each case that were granted to Mr. Meister in connection with his service on the board of directors of the Issuer. Does not include shares underlying 8,816 unvested options and 5,828 unvested restricted stock units.</w:t>
      </w:r>
    </w:p>
    <w:p>
      <w:pPr>
        <w:spacing w:after="0" w:line="1" w:lineRule="exact"/>
        <w:rPr>
          <w:rFonts w:ascii="Times New Roman" w:cs="Times New Roman" w:eastAsia="Times New Roman" w:hAnsi="Times New Roman"/>
          <w:sz w:val="18"/>
          <w:szCs w:val="18"/>
          <w:color w:val="auto"/>
        </w:rPr>
      </w:pPr>
    </w:p>
    <w:p>
      <w:pPr>
        <w:ind w:left="672" w:hanging="672"/>
        <w:spacing w:after="0" w:line="250" w:lineRule="auto"/>
        <w:tabs>
          <w:tab w:leader="none" w:pos="67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amounts have been adjusted to reflect the impact of a 1-for-33 reverse stock split of the Issuer’s Shares that became effective on May 4, 2023.</w:t>
      </w:r>
    </w:p>
    <w:p>
      <w:pPr>
        <w:jc w:val="both"/>
        <w:ind w:left="672" w:right="160" w:hanging="672"/>
        <w:spacing w:after="0" w:line="252" w:lineRule="auto"/>
        <w:tabs>
          <w:tab w:leader="none" w:pos="67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26,150,866 Shares outstanding as of April 24, 2024, as reported in the Issuer’s Schedule 14A filed with the SEC on April 29, 2024 and 204,141 Shares issuable upon the exercise of 204,141 private placement warrants of the Issuer. In computing the number of shares beneficially owned by a person or entity and the percentage ownership of that person or entity, all shares subject to options, restricted stock units, or warrants held by such person or entity were deemed outstanding if such securities are currently vested, settled, or exercisable, or will vest, settle, or become exercisable. These shares were not deemed outstanding, however, for the purpose of computing the percentage ownership of any other person 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286385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31" w:right="339" w:bottom="1440" w:gutter="0" w:footer="0" w:header="0"/>
        </w:sectPr>
      </w:pPr>
    </w:p>
    <w:bookmarkStart w:id="12" w:name="page13"/>
    <w:bookmarkEnd w:id="12"/>
    <w:p>
      <w:pPr>
        <w:jc w:val="both"/>
        <w:ind w:left="1020" w:right="140"/>
        <w:spacing w:after="0" w:line="244" w:lineRule="auto"/>
        <w:rPr>
          <w:sz w:val="20"/>
          <w:szCs w:val="20"/>
          <w:color w:val="auto"/>
        </w:rPr>
      </w:pPr>
      <w:r>
        <w:rPr>
          <w:rFonts w:ascii="Times New Roman" w:cs="Times New Roman" w:eastAsia="Times New Roman" w:hAnsi="Times New Roman"/>
          <w:sz w:val="20"/>
          <w:szCs w:val="20"/>
          <w:color w:val="auto"/>
        </w:rPr>
        <w:t>This Amendment No. 7 (the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supplements the information set forth in the Schedule 13D (the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13D</w:t>
      </w:r>
      <w:r>
        <w:rPr>
          <w:rFonts w:ascii="Times New Roman" w:cs="Times New Roman" w:eastAsia="Times New Roman" w:hAnsi="Times New Roman"/>
          <w:sz w:val="20"/>
          <w:szCs w:val="20"/>
          <w:color w:val="auto"/>
        </w:rPr>
        <w:t>”) filed with the United States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on August 2, 2021, as amended as of January 19, 2022, May 3, 2022, December 5, 2022, February 1, 2023, April 20, 2023, and November 17, 2023 by CMLS Holdings LLC, Keith Meister, Eli Casdin and the other Reporting Persons named therein, relating to the shares of Class A common stock, par value $0.0001 per share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of GeneDx Holdings Corp. (formerly known as Sema4 Holdings Corp., the “</w:t>
      </w:r>
      <w:r>
        <w:rPr>
          <w:rFonts w:ascii="Times New Roman" w:cs="Times New Roman" w:eastAsia="Times New Roman" w:hAnsi="Times New Roman"/>
          <w:sz w:val="20"/>
          <w:szCs w:val="20"/>
          <w:u w:val="single" w:color="auto"/>
          <w:color w:val="auto"/>
        </w:rPr>
        <w:t>Issuer</w:t>
      </w:r>
      <w:r>
        <w:rPr>
          <w:rFonts w:ascii="Times New Roman" w:cs="Times New Roman" w:eastAsia="Times New Roman" w:hAnsi="Times New Roman"/>
          <w:sz w:val="20"/>
          <w:szCs w:val="20"/>
          <w:color w:val="auto"/>
        </w:rPr>
        <w:t>”). Capitalized terms used but not defined herein shall have the meanings ascribed to them in the Schedule 13D.</w:t>
      </w:r>
    </w:p>
    <w:p>
      <w:pPr>
        <w:spacing w:after="0" w:line="199" w:lineRule="exact"/>
        <w:rPr>
          <w:sz w:val="20"/>
          <w:szCs w:val="20"/>
          <w:color w:val="auto"/>
        </w:rPr>
      </w:pPr>
    </w:p>
    <w:p>
      <w:pPr>
        <w:jc w:val="both"/>
        <w:ind w:left="1020" w:right="140"/>
        <w:spacing w:after="0" w:line="246" w:lineRule="auto"/>
        <w:rPr>
          <w:sz w:val="20"/>
          <w:szCs w:val="20"/>
          <w:color w:val="auto"/>
        </w:rPr>
      </w:pPr>
      <w:r>
        <w:rPr>
          <w:rFonts w:ascii="Times New Roman" w:cs="Times New Roman" w:eastAsia="Times New Roman" w:hAnsi="Times New Roman"/>
          <w:sz w:val="20"/>
          <w:szCs w:val="20"/>
          <w:color w:val="auto"/>
        </w:rPr>
        <w:t>The information set forth in response to each separate Item below shall be deemed to be a response to all Items where such information is relevant. Item 3 and 5 to the Schedule 13D are supplementally amended as follows. Information with respect to each Reporting Person is given solely by such Reporting Person and no Reporting Person assumes responsibility for the accuracy or completeness of the information furnished by another Reporting Person, except as otherwise provided in Rule 13d-1(k).</w:t>
      </w:r>
    </w:p>
    <w:p>
      <w:pPr>
        <w:spacing w:after="0" w:line="21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19"/>
          <w:szCs w:val="19"/>
          <w:color w:val="auto"/>
        </w:rPr>
        <w:t>Source and Amount of Funds or Other Consideration.</w:t>
      </w:r>
    </w:p>
    <w:p>
      <w:pPr>
        <w:spacing w:after="0" w:line="229" w:lineRule="exact"/>
        <w:rPr>
          <w:sz w:val="20"/>
          <w:szCs w:val="20"/>
          <w:color w:val="auto"/>
        </w:rPr>
      </w:pPr>
    </w:p>
    <w:p>
      <w:pPr>
        <w:jc w:val="both"/>
        <w:ind w:left="1020" w:right="140"/>
        <w:spacing w:after="0" w:line="249" w:lineRule="auto"/>
        <w:rPr>
          <w:sz w:val="20"/>
          <w:szCs w:val="20"/>
          <w:color w:val="auto"/>
        </w:rPr>
      </w:pPr>
      <w:r>
        <w:rPr>
          <w:rFonts w:ascii="Times New Roman" w:cs="Times New Roman" w:eastAsia="Times New Roman" w:hAnsi="Times New Roman"/>
          <w:sz w:val="20"/>
          <w:szCs w:val="20"/>
          <w:color w:val="auto"/>
        </w:rPr>
        <w:t>The funds for the purchase of the Shares listed in Exhibit B came from the working capital of Casdin Partners Master Fund L.P., an investment fund advised by Casdin Capital LLC, of which Mr. Casdin is the managing member. No borrowed funds were used to purchase the Shares, other than borrowed funds used for working capital purposes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137160</wp:posOffset>
            </wp:positionV>
            <wp:extent cx="64890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Interest in Securities of the Issuer.</w:t>
      </w:r>
    </w:p>
    <w:p>
      <w:pPr>
        <w:spacing w:after="0" w:line="229" w:lineRule="exact"/>
        <w:rPr>
          <w:sz w:val="20"/>
          <w:szCs w:val="20"/>
          <w:color w:val="auto"/>
        </w:rPr>
      </w:pPr>
    </w:p>
    <w:p>
      <w:pPr>
        <w:jc w:val="both"/>
        <w:ind w:left="1020"/>
        <w:spacing w:after="0" w:line="269" w:lineRule="auto"/>
        <w:rPr>
          <w:sz w:val="20"/>
          <w:szCs w:val="20"/>
          <w:color w:val="auto"/>
        </w:rPr>
      </w:pPr>
      <w:r>
        <w:rPr>
          <w:rFonts w:ascii="Times New Roman" w:cs="Times New Roman" w:eastAsia="Times New Roman" w:hAnsi="Times New Roman"/>
          <w:sz w:val="20"/>
          <w:szCs w:val="20"/>
          <w:color w:val="auto"/>
        </w:rPr>
        <w:t>The information set forth in this Schedule 13D with respect to the shared beneficial ownership of Common Stock by the Reporting Persons is incorporated by reference into this Item 5.</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The information set forth in Items 2, 3 and 4 is hereby incorporated by reference into this Item 5.</w:t>
      </w:r>
    </w:p>
    <w:p>
      <w:pPr>
        <w:spacing w:after="0" w:line="229" w:lineRule="exact"/>
        <w:rPr>
          <w:sz w:val="20"/>
          <w:szCs w:val="20"/>
          <w:color w:val="auto"/>
        </w:rPr>
      </w:pPr>
    </w:p>
    <w:p>
      <w:pPr>
        <w:jc w:val="both"/>
        <w:ind w:left="1020"/>
        <w:spacing w:after="0" w:line="269" w:lineRule="auto"/>
        <w:rPr>
          <w:sz w:val="20"/>
          <w:szCs w:val="20"/>
          <w:color w:val="auto"/>
        </w:rPr>
      </w:pPr>
      <w:r>
        <w:rPr>
          <w:rFonts w:ascii="Times New Roman" w:cs="Times New Roman" w:eastAsia="Times New Roman" w:hAnsi="Times New Roman"/>
          <w:sz w:val="20"/>
          <w:szCs w:val="20"/>
          <w:color w:val="auto"/>
        </w:rPr>
        <w:t>Eli Casdin has the sole power to vote or direct the vote of 4,831 Shares and shared power to vote or to direct the vote and shared power to dispose or to direct the disposition of the 3,933,696 Shares.</w:t>
      </w:r>
    </w:p>
    <w:p>
      <w:pPr>
        <w:spacing w:after="0" w:line="173" w:lineRule="exact"/>
        <w:rPr>
          <w:sz w:val="20"/>
          <w:szCs w:val="20"/>
          <w:color w:val="auto"/>
        </w:rPr>
      </w:pPr>
    </w:p>
    <w:p>
      <w:pPr>
        <w:jc w:val="both"/>
        <w:ind w:left="1020"/>
        <w:spacing w:after="0" w:line="254" w:lineRule="auto"/>
        <w:rPr>
          <w:sz w:val="20"/>
          <w:szCs w:val="20"/>
          <w:color w:val="auto"/>
        </w:rPr>
      </w:pPr>
      <w:r>
        <w:rPr>
          <w:rFonts w:ascii="Times New Roman" w:cs="Times New Roman" w:eastAsia="Times New Roman" w:hAnsi="Times New Roman"/>
          <w:sz w:val="20"/>
          <w:szCs w:val="20"/>
          <w:color w:val="auto"/>
        </w:rPr>
        <w:t>Keith Meister has the sole power to vote or to direct the vote and sole power to dispose or to direct the disposition of 3,768 Shares and shared power to vote or direct the vote and shared power to dispose or to direct the disposition of 3,011,066 Shares.</w:t>
      </w:r>
    </w:p>
    <w:p>
      <w:pPr>
        <w:spacing w:after="0" w:line="188" w:lineRule="exact"/>
        <w:rPr>
          <w:sz w:val="20"/>
          <w:szCs w:val="20"/>
          <w:color w:val="auto"/>
        </w:rPr>
      </w:pPr>
    </w:p>
    <w:p>
      <w:pPr>
        <w:jc w:val="both"/>
        <w:ind w:left="1020"/>
        <w:spacing w:after="0" w:line="269" w:lineRule="auto"/>
        <w:rPr>
          <w:sz w:val="20"/>
          <w:szCs w:val="20"/>
          <w:color w:val="auto"/>
        </w:rPr>
      </w:pPr>
      <w:r>
        <w:rPr>
          <w:rFonts w:ascii="Times New Roman" w:cs="Times New Roman" w:eastAsia="Times New Roman" w:hAnsi="Times New Roman"/>
          <w:sz w:val="20"/>
          <w:szCs w:val="20"/>
          <w:color w:val="auto"/>
        </w:rPr>
        <w:t>Each of CMLS, C-LSH and M-LSH shared power to vote or to direct the vote and shared power to dispose or to direct the disposition of the 537,285 Shares.</w:t>
      </w:r>
    </w:p>
    <w:p>
      <w:pPr>
        <w:spacing w:after="0" w:line="173" w:lineRule="exact"/>
        <w:rPr>
          <w:sz w:val="20"/>
          <w:szCs w:val="20"/>
          <w:color w:val="auto"/>
        </w:rPr>
      </w:pPr>
    </w:p>
    <w:p>
      <w:pPr>
        <w:jc w:val="both"/>
        <w:ind w:left="1020"/>
        <w:spacing w:after="0" w:line="269" w:lineRule="auto"/>
        <w:rPr>
          <w:sz w:val="20"/>
          <w:szCs w:val="20"/>
          <w:color w:val="auto"/>
        </w:rPr>
      </w:pPr>
      <w:r>
        <w:rPr>
          <w:rFonts w:ascii="Times New Roman" w:cs="Times New Roman" w:eastAsia="Times New Roman" w:hAnsi="Times New Roman"/>
          <w:sz w:val="20"/>
          <w:szCs w:val="20"/>
          <w:color w:val="auto"/>
        </w:rPr>
        <w:t>Each of Casdin Capital, LLC and Casdin Partners GP, LLC has shared power to vote or direct the vote and shared power to dispose or to direct the disposition of 3,396,411 Shares.</w:t>
      </w:r>
    </w:p>
    <w:p>
      <w:pPr>
        <w:spacing w:after="0" w:line="173" w:lineRule="exact"/>
        <w:rPr>
          <w:sz w:val="20"/>
          <w:szCs w:val="20"/>
          <w:color w:val="auto"/>
        </w:rPr>
      </w:pPr>
    </w:p>
    <w:p>
      <w:pPr>
        <w:jc w:val="both"/>
        <w:ind w:left="1020"/>
        <w:spacing w:after="0" w:line="269" w:lineRule="auto"/>
        <w:rPr>
          <w:sz w:val="20"/>
          <w:szCs w:val="20"/>
          <w:color w:val="auto"/>
        </w:rPr>
      </w:pPr>
      <w:r>
        <w:rPr>
          <w:rFonts w:ascii="Times New Roman" w:cs="Times New Roman" w:eastAsia="Times New Roman" w:hAnsi="Times New Roman"/>
          <w:sz w:val="20"/>
          <w:szCs w:val="20"/>
          <w:color w:val="auto"/>
        </w:rPr>
        <w:t>Casdin Partners Master Fund, L.P has shared power to vote or direct the vote and shared power to dispose or to direct the disposition of 2,963,509 Shares.</w:t>
      </w:r>
    </w:p>
    <w:p>
      <w:pPr>
        <w:spacing w:after="0" w:line="173" w:lineRule="exact"/>
        <w:rPr>
          <w:sz w:val="20"/>
          <w:szCs w:val="20"/>
          <w:color w:val="auto"/>
        </w:rPr>
      </w:pPr>
    </w:p>
    <w:p>
      <w:pPr>
        <w:jc w:val="both"/>
        <w:ind w:left="1020"/>
        <w:spacing w:after="0" w:line="269" w:lineRule="auto"/>
        <w:rPr>
          <w:sz w:val="20"/>
          <w:szCs w:val="20"/>
          <w:color w:val="auto"/>
        </w:rPr>
      </w:pPr>
      <w:r>
        <w:rPr>
          <w:rFonts w:ascii="Times New Roman" w:cs="Times New Roman" w:eastAsia="Times New Roman" w:hAnsi="Times New Roman"/>
          <w:sz w:val="20"/>
          <w:szCs w:val="20"/>
          <w:color w:val="auto"/>
        </w:rPr>
        <w:t>Casdin Partners FO1-MSV, LP has shared power to vote or direct the vote and shared power to dispose or to direct the disposition of 432,902 Shares.</w:t>
      </w:r>
    </w:p>
    <w:p>
      <w:pPr>
        <w:spacing w:after="0" w:line="173" w:lineRule="exact"/>
        <w:rPr>
          <w:sz w:val="20"/>
          <w:szCs w:val="20"/>
          <w:color w:val="auto"/>
        </w:rPr>
      </w:pPr>
    </w:p>
    <w:p>
      <w:pPr>
        <w:ind w:left="1020" w:right="860"/>
        <w:spacing w:after="0" w:line="269" w:lineRule="auto"/>
        <w:rPr>
          <w:sz w:val="20"/>
          <w:szCs w:val="20"/>
          <w:color w:val="auto"/>
        </w:rPr>
      </w:pPr>
      <w:r>
        <w:rPr>
          <w:rFonts w:ascii="Times New Roman" w:cs="Times New Roman" w:eastAsia="Times New Roman" w:hAnsi="Times New Roman"/>
          <w:sz w:val="20"/>
          <w:szCs w:val="20"/>
          <w:color w:val="auto"/>
        </w:rPr>
        <w:t>Corvex Management LP has shared power to vote or direct the vote and shared power to dispose or to direct the disposition of 2,473,781 Shares.</w:t>
      </w:r>
    </w:p>
    <w:p>
      <w:pPr>
        <w:spacing w:after="0" w:line="173" w:lineRule="exact"/>
        <w:rPr>
          <w:sz w:val="20"/>
          <w:szCs w:val="20"/>
          <w:color w:val="auto"/>
        </w:rPr>
      </w:pPr>
    </w:p>
    <w:p>
      <w:pPr>
        <w:ind w:left="1020"/>
        <w:spacing w:after="0" w:line="269" w:lineRule="auto"/>
        <w:rPr>
          <w:sz w:val="20"/>
          <w:szCs w:val="20"/>
          <w:color w:val="auto"/>
        </w:rPr>
      </w:pPr>
      <w:r>
        <w:rPr>
          <w:rFonts w:ascii="Times New Roman" w:cs="Times New Roman" w:eastAsia="Times New Roman" w:hAnsi="Times New Roman"/>
          <w:sz w:val="20"/>
          <w:szCs w:val="20"/>
          <w:color w:val="auto"/>
        </w:rPr>
        <w:t>The transactions by the Reporting Persons in the securities of the Issuer during the past sixty days are set forth in Exhibit B. All such transactions were carried out in open market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124460</wp:posOffset>
            </wp:positionV>
            <wp:extent cx="64890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19"/>
          <w:szCs w:val="19"/>
          <w:color w:val="auto"/>
        </w:rPr>
        <w:t>Material to be Filed as Exhibits.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Exhibit A: Joint Filing Agreement</w:t>
      </w:r>
    </w:p>
    <w:p>
      <w:pPr>
        <w:spacing w:after="0" w:line="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Exhibit B: Schedule of Transactions 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146050</wp:posOffset>
            </wp:positionV>
            <wp:extent cx="64890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308610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420" w:top="697" w:right="7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5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2"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20"/>
          <w:szCs w:val="20"/>
          <w:color w:val="auto"/>
        </w:rPr>
        <w:t>May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13970</wp:posOffset>
            </wp:positionV>
            <wp:extent cx="24942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8"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20"/>
          <w:szCs w:val="20"/>
          <w:color w:val="auto"/>
        </w:rPr>
        <w:t>(Date)</w:t>
      </w:r>
    </w:p>
    <w:p>
      <w:pPr>
        <w:spacing w:after="0" w:line="21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CMLS Holdings LLC*</w:t>
      </w:r>
    </w:p>
    <w:p>
      <w:pPr>
        <w:spacing w:after="0" w:line="22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13970</wp:posOffset>
            </wp:positionV>
            <wp:extent cx="34886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8"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20"/>
          <w:szCs w:val="20"/>
          <w:color w:val="auto"/>
        </w:rPr>
        <w:t>(Signature)</w:t>
      </w:r>
    </w:p>
    <w:p>
      <w:pPr>
        <w:spacing w:after="0" w:line="21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Eli Casdin,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13970</wp:posOffset>
            </wp:positionV>
            <wp:extent cx="34886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8"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20"/>
          <w:szCs w:val="20"/>
          <w:color w:val="auto"/>
        </w:rPr>
        <w:t>(Name/Title)</w:t>
      </w:r>
    </w:p>
    <w:p>
      <w:pPr>
        <w:spacing w:after="0" w:line="21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C-LSH LLC*</w:t>
      </w:r>
    </w:p>
    <w:p>
      <w:pPr>
        <w:spacing w:after="0" w:line="22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13970</wp:posOffset>
            </wp:positionV>
            <wp:extent cx="34886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8"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20"/>
          <w:szCs w:val="20"/>
          <w:color w:val="auto"/>
        </w:rPr>
        <w:t>(Signature)</w:t>
      </w:r>
    </w:p>
    <w:p>
      <w:pPr>
        <w:spacing w:after="0" w:line="21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13970</wp:posOffset>
            </wp:positionV>
            <wp:extent cx="3488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8"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20"/>
          <w:szCs w:val="20"/>
          <w:color w:val="auto"/>
        </w:rPr>
        <w:t>(Name/Title)</w:t>
      </w:r>
    </w:p>
    <w:p>
      <w:pPr>
        <w:spacing w:after="0" w:line="21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M-LSH LLC*</w:t>
      </w:r>
    </w:p>
    <w:p>
      <w:pPr>
        <w:spacing w:after="0" w:line="22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By: /s/ Keith A.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13970</wp:posOffset>
            </wp:positionV>
            <wp:extent cx="34886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8"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20"/>
          <w:szCs w:val="20"/>
          <w:color w:val="auto"/>
        </w:rPr>
        <w:t>(Signature)</w:t>
      </w:r>
    </w:p>
    <w:p>
      <w:pPr>
        <w:spacing w:after="0" w:line="21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Keith A. Meister,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13970</wp:posOffset>
            </wp:positionV>
            <wp:extent cx="34886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8"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20"/>
          <w:szCs w:val="20"/>
          <w:color w:val="auto"/>
        </w:rPr>
        <w:t>(Name/Title)</w:t>
      </w:r>
    </w:p>
    <w:p>
      <w:pPr>
        <w:spacing w:after="0" w:line="21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Casdin Capital, LLC*</w:t>
      </w:r>
    </w:p>
    <w:p>
      <w:pPr>
        <w:spacing w:after="0" w:line="22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13970</wp:posOffset>
            </wp:positionV>
            <wp:extent cx="34886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8"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20"/>
          <w:szCs w:val="20"/>
          <w:color w:val="auto"/>
        </w:rPr>
        <w:t>(Signature)</w:t>
      </w:r>
    </w:p>
    <w:p>
      <w:pPr>
        <w:spacing w:after="0" w:line="21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13970</wp:posOffset>
            </wp:positionV>
            <wp:extent cx="34886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8"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20"/>
          <w:szCs w:val="20"/>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14" w:name="page15"/>
    <w:bookmarkEnd w:id="14"/>
    <w:p>
      <w:pPr>
        <w:ind w:left="5840"/>
        <w:spacing w:after="0"/>
        <w:rPr>
          <w:sz w:val="20"/>
          <w:szCs w:val="20"/>
          <w:color w:val="auto"/>
        </w:rPr>
      </w:pPr>
      <w:r>
        <w:rPr>
          <w:rFonts w:ascii="Times New Roman" w:cs="Times New Roman" w:eastAsia="Times New Roman" w:hAnsi="Times New Roman"/>
          <w:sz w:val="20"/>
          <w:szCs w:val="20"/>
          <w:color w:val="auto"/>
        </w:rPr>
        <w:t>Casdin Partners Master Fund, L.P.</w:t>
      </w:r>
    </w:p>
    <w:p>
      <w:pPr>
        <w:spacing w:after="0" w:line="2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By: Casdin Partners GP, LLC, its general partner</w:t>
      </w:r>
    </w:p>
    <w:p>
      <w:pPr>
        <w:spacing w:after="0" w:line="20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13970</wp:posOffset>
            </wp:positionV>
            <wp:extent cx="34886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8"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20"/>
          <w:szCs w:val="20"/>
          <w:color w:val="auto"/>
        </w:rPr>
        <w:t>(Signature)</w:t>
      </w:r>
    </w:p>
    <w:p>
      <w:pPr>
        <w:spacing w:after="0" w:line="21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13970</wp:posOffset>
            </wp:positionV>
            <wp:extent cx="34886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8"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20"/>
          <w:szCs w:val="20"/>
          <w:color w:val="auto"/>
        </w:rPr>
        <w:t>(Name/Title)</w:t>
      </w:r>
    </w:p>
    <w:p>
      <w:pPr>
        <w:spacing w:after="0" w:line="2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Casdin Partners GP,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20"/>
          <w:szCs w:val="20"/>
          <w:color w:val="auto"/>
        </w:rPr>
        <w:t>(Signature)</w:t>
      </w:r>
    </w:p>
    <w:p>
      <w:pPr>
        <w:spacing w:after="0" w:line="2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20"/>
          <w:szCs w:val="20"/>
          <w:color w:val="auto"/>
        </w:rPr>
        <w:t>(Name/Title)</w:t>
      </w:r>
    </w:p>
    <w:p>
      <w:pPr>
        <w:spacing w:after="0" w:line="200" w:lineRule="exact"/>
        <w:rPr>
          <w:sz w:val="20"/>
          <w:szCs w:val="20"/>
          <w:color w:val="auto"/>
        </w:rPr>
      </w:pPr>
    </w:p>
    <w:p>
      <w:pPr>
        <w:spacing w:after="0" w:line="2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Eli Casdin</w:t>
      </w:r>
    </w:p>
    <w:p>
      <w:pPr>
        <w:spacing w:after="0" w:line="2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/s/ Keith A.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Keith A. Meister</w:t>
      </w:r>
    </w:p>
    <w:p>
      <w:pPr>
        <w:spacing w:after="0" w:line="200" w:lineRule="exact"/>
        <w:rPr>
          <w:sz w:val="20"/>
          <w:szCs w:val="20"/>
          <w:color w:val="auto"/>
        </w:rPr>
      </w:pPr>
    </w:p>
    <w:p>
      <w:pPr>
        <w:spacing w:after="0" w:line="2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Casdin Partners FO1-MSV, LP*</w:t>
      </w:r>
    </w:p>
    <w:p>
      <w:pPr>
        <w:spacing w:after="0" w:line="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Casdin Partners GP, LLC, its general partner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20"/>
          <w:szCs w:val="20"/>
          <w:color w:val="auto"/>
        </w:rPr>
        <w:t>(Signature)</w:t>
      </w:r>
    </w:p>
    <w:p>
      <w:pPr>
        <w:spacing w:after="0" w:line="2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20"/>
          <w:szCs w:val="20"/>
          <w:color w:val="auto"/>
        </w:rPr>
        <w:t>(Name/Title)</w:t>
      </w:r>
    </w:p>
    <w:p>
      <w:pPr>
        <w:spacing w:after="0" w:line="2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Corvex Management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Keith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20"/>
          <w:szCs w:val="20"/>
          <w:color w:val="auto"/>
        </w:rPr>
        <w:t>(Signature)</w:t>
      </w:r>
    </w:p>
    <w:p>
      <w:pPr>
        <w:spacing w:after="0" w:line="2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Keith Meister,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20"/>
          <w:szCs w:val="20"/>
          <w:color w:val="auto"/>
        </w:rPr>
        <w:t>(Name/Title)</w:t>
      </w:r>
    </w:p>
    <w:p>
      <w:pPr>
        <w:spacing w:after="0" w:line="200" w:lineRule="exact"/>
        <w:rPr>
          <w:sz w:val="20"/>
          <w:szCs w:val="20"/>
          <w:color w:val="auto"/>
        </w:rPr>
      </w:pPr>
    </w:p>
    <w:p>
      <w:pPr>
        <w:spacing w:after="0" w:line="243" w:lineRule="exact"/>
        <w:rPr>
          <w:sz w:val="20"/>
          <w:szCs w:val="20"/>
          <w:color w:val="auto"/>
        </w:rPr>
      </w:pPr>
    </w:p>
    <w:p>
      <w:pPr>
        <w:jc w:val="both"/>
        <w:ind w:firstLine="8"/>
        <w:spacing w:after="0" w:line="254" w:lineRule="auto"/>
        <w:tabs>
          <w:tab w:leader="none" w:pos="159"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reporting person disclaims beneficial ownership of these reported securities except to the extent of its pecuniary interest therein, and this report shall not be deemed an admission that any such person is the beneficial owner of these securities for purposes of Section 16 of the U.S. Securities Exchange Act of 1934, as amended.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Intentional misstatements or omissions of fact constitute Federal criminal violations (see 18 U.S.C.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20"/>
          <w:szCs w:val="20"/>
          <w:color w:val="auto"/>
        </w:rPr>
        <w:t>Exhibit A</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AGREEMENT</w:t>
      </w:r>
    </w:p>
    <w:p>
      <w:pPr>
        <w:spacing w:after="0" w:line="200" w:lineRule="exact"/>
        <w:rPr>
          <w:sz w:val="20"/>
          <w:szCs w:val="20"/>
          <w:color w:val="auto"/>
        </w:rPr>
      </w:pPr>
    </w:p>
    <w:p>
      <w:pPr>
        <w:spacing w:after="0" w:line="25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13D amendment, dated May 31, 2024, relating to the Class A common stock, $0.0001 par value per share, of GeneDx Holdings Corp. shall be filed on behalf of the undersigned.</w:t>
      </w:r>
    </w:p>
    <w:p>
      <w:pPr>
        <w:spacing w:after="0" w:line="173"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20"/>
          <w:szCs w:val="20"/>
          <w:color w:val="auto"/>
        </w:rPr>
        <w:t>May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13970</wp:posOffset>
            </wp:positionV>
            <wp:extent cx="24942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8"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20"/>
          <w:szCs w:val="20"/>
          <w:color w:val="auto"/>
        </w:rPr>
        <w:t>(Date)</w:t>
      </w:r>
    </w:p>
    <w:p>
      <w:pPr>
        <w:spacing w:after="0" w:line="21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CMLS Holdings LLC</w:t>
      </w:r>
    </w:p>
    <w:p>
      <w:pPr>
        <w:spacing w:after="0" w:line="22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13970</wp:posOffset>
            </wp:positionV>
            <wp:extent cx="33515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8"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20"/>
          <w:szCs w:val="20"/>
          <w:color w:val="auto"/>
        </w:rPr>
        <w:t>(Signature)</w:t>
      </w:r>
    </w:p>
    <w:p>
      <w:pPr>
        <w:spacing w:after="0" w:line="21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Eli Casdin,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13970</wp:posOffset>
            </wp:positionV>
            <wp:extent cx="33515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8"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20"/>
          <w:szCs w:val="20"/>
          <w:color w:val="auto"/>
        </w:rPr>
        <w:t>(Name/Title)</w:t>
      </w:r>
    </w:p>
    <w:p>
      <w:pPr>
        <w:spacing w:after="0" w:line="21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C-LSH LLC</w:t>
      </w:r>
    </w:p>
    <w:p>
      <w:pPr>
        <w:spacing w:after="0" w:line="22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13970</wp:posOffset>
            </wp:positionV>
            <wp:extent cx="33515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8"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20"/>
          <w:szCs w:val="20"/>
          <w:color w:val="auto"/>
        </w:rPr>
        <w:t>(Signature)</w:t>
      </w:r>
    </w:p>
    <w:p>
      <w:pPr>
        <w:spacing w:after="0" w:line="21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13970</wp:posOffset>
            </wp:positionV>
            <wp:extent cx="33515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8"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20"/>
          <w:szCs w:val="20"/>
          <w:color w:val="auto"/>
        </w:rPr>
        <w:t>(Name/Title)</w:t>
      </w:r>
    </w:p>
    <w:p>
      <w:pPr>
        <w:spacing w:after="0" w:line="21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M-LSH LLC</w:t>
      </w:r>
    </w:p>
    <w:p>
      <w:pPr>
        <w:spacing w:after="0" w:line="22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By: /s/ Keith A.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13970</wp:posOffset>
            </wp:positionV>
            <wp:extent cx="33515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8"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20"/>
          <w:szCs w:val="20"/>
          <w:color w:val="auto"/>
        </w:rPr>
        <w:t>(Signature)</w:t>
      </w:r>
    </w:p>
    <w:p>
      <w:pPr>
        <w:spacing w:after="0" w:line="21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Keith A. Meister,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13970</wp:posOffset>
            </wp:positionV>
            <wp:extent cx="33515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8"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20"/>
          <w:szCs w:val="20"/>
          <w:color w:val="auto"/>
        </w:rPr>
        <w:t>(Name/Title)</w:t>
      </w:r>
    </w:p>
    <w:p>
      <w:pPr>
        <w:spacing w:after="0" w:line="21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Casdin Capital, LLC</w:t>
      </w:r>
    </w:p>
    <w:p>
      <w:pPr>
        <w:spacing w:after="0" w:line="22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13970</wp:posOffset>
            </wp:positionV>
            <wp:extent cx="33515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8"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20"/>
          <w:szCs w:val="20"/>
          <w:color w:val="auto"/>
        </w:rPr>
        <w:t>(Signature)</w:t>
      </w:r>
    </w:p>
    <w:p>
      <w:pPr>
        <w:spacing w:after="0" w:line="21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13970</wp:posOffset>
            </wp:positionV>
            <wp:extent cx="33515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8"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20"/>
          <w:szCs w:val="20"/>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6" w:name="page17"/>
    <w:bookmarkEnd w:id="16"/>
    <w:p>
      <w:pPr>
        <w:ind w:left="4940"/>
        <w:spacing w:after="0"/>
        <w:rPr>
          <w:sz w:val="20"/>
          <w:szCs w:val="20"/>
          <w:color w:val="auto"/>
        </w:rPr>
      </w:pPr>
      <w:r>
        <w:rPr>
          <w:rFonts w:ascii="Times New Roman" w:cs="Times New Roman" w:eastAsia="Times New Roman" w:hAnsi="Times New Roman"/>
          <w:sz w:val="20"/>
          <w:szCs w:val="20"/>
          <w:color w:val="auto"/>
        </w:rPr>
        <w:t>Casdin Partners Master Fund, L.P.</w:t>
      </w:r>
    </w:p>
    <w:p>
      <w:pPr>
        <w:spacing w:after="0" w:line="2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9"/>
          <w:szCs w:val="19"/>
          <w:color w:val="auto"/>
        </w:rPr>
        <w:t>By: Casdin Partners GP, LLC, its general partner</w:t>
      </w:r>
    </w:p>
    <w:p>
      <w:pPr>
        <w:spacing w:after="0" w:line="21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13970</wp:posOffset>
            </wp:positionV>
            <wp:extent cx="33515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8"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0"/>
          <w:szCs w:val="20"/>
          <w:color w:val="auto"/>
        </w:rPr>
        <w:t>(Signature)</w:t>
      </w:r>
    </w:p>
    <w:p>
      <w:pPr>
        <w:spacing w:after="0" w:line="21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13970</wp:posOffset>
            </wp:positionV>
            <wp:extent cx="33515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8"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20"/>
          <w:szCs w:val="20"/>
          <w:color w:val="auto"/>
        </w:rPr>
        <w:t>(Name/Title)</w:t>
      </w:r>
    </w:p>
    <w:p>
      <w:pPr>
        <w:spacing w:after="0" w:line="21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Casdin Partners GP, LLC</w:t>
      </w:r>
    </w:p>
    <w:p>
      <w:pPr>
        <w:spacing w:after="0" w:line="22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13970</wp:posOffset>
            </wp:positionV>
            <wp:extent cx="33515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8"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0"/>
          <w:szCs w:val="20"/>
          <w:color w:val="auto"/>
        </w:rPr>
        <w:t>(Signature)</w:t>
      </w:r>
    </w:p>
    <w:p>
      <w:pPr>
        <w:spacing w:after="0" w:line="21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13970</wp:posOffset>
            </wp:positionV>
            <wp:extent cx="33515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8"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20"/>
          <w:szCs w:val="20"/>
          <w:color w:val="auto"/>
        </w:rPr>
        <w:t>(Name/Title)</w:t>
      </w:r>
    </w:p>
    <w:p>
      <w:pPr>
        <w:spacing w:after="0" w:line="200" w:lineRule="exact"/>
        <w:rPr>
          <w:sz w:val="20"/>
          <w:szCs w:val="20"/>
          <w:color w:val="auto"/>
        </w:rPr>
      </w:pPr>
    </w:p>
    <w:p>
      <w:pPr>
        <w:spacing w:after="0" w:line="24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13970</wp:posOffset>
            </wp:positionV>
            <wp:extent cx="33515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Eli Casdin</w:t>
      </w:r>
    </w:p>
    <w:p>
      <w:pPr>
        <w:spacing w:after="0" w:line="21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/s/ Keith A.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13970</wp:posOffset>
            </wp:positionV>
            <wp:extent cx="33515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Keith A. Meister</w:t>
      </w:r>
    </w:p>
    <w:p>
      <w:pPr>
        <w:spacing w:after="0" w:line="200" w:lineRule="exact"/>
        <w:rPr>
          <w:sz w:val="20"/>
          <w:szCs w:val="20"/>
          <w:color w:val="auto"/>
        </w:rPr>
      </w:pPr>
    </w:p>
    <w:p>
      <w:pPr>
        <w:spacing w:after="0" w:line="24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Casdin Partners FO1-MSV, LP</w:t>
      </w:r>
    </w:p>
    <w:p>
      <w:pPr>
        <w:spacing w:after="0" w:line="2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9"/>
          <w:szCs w:val="19"/>
          <w:color w:val="auto"/>
        </w:rPr>
        <w:t>By: Casdin Partners GP, LLC, its general partner</w:t>
      </w:r>
    </w:p>
    <w:p>
      <w:pPr>
        <w:spacing w:after="0" w:line="21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13970</wp:posOffset>
            </wp:positionV>
            <wp:extent cx="33515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8"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0"/>
          <w:szCs w:val="20"/>
          <w:color w:val="auto"/>
        </w:rPr>
        <w:t>(Signature)</w:t>
      </w:r>
    </w:p>
    <w:p>
      <w:pPr>
        <w:spacing w:after="0" w:line="21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13970</wp:posOffset>
            </wp:positionV>
            <wp:extent cx="33515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8"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20"/>
          <w:szCs w:val="20"/>
          <w:color w:val="auto"/>
        </w:rPr>
        <w:t>(Name/Title)</w:t>
      </w:r>
    </w:p>
    <w:p>
      <w:pPr>
        <w:spacing w:after="0" w:line="21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Corvex Management LP</w:t>
      </w:r>
    </w:p>
    <w:p>
      <w:pPr>
        <w:spacing w:after="0" w:line="22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By: /s/ Keith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13970</wp:posOffset>
            </wp:positionV>
            <wp:extent cx="33515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8"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0"/>
          <w:szCs w:val="20"/>
          <w:color w:val="auto"/>
        </w:rPr>
        <w:t>(Signature)</w:t>
      </w:r>
    </w:p>
    <w:p>
      <w:pPr>
        <w:spacing w:after="0" w:line="21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Keith Meister,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13970</wp:posOffset>
            </wp:positionV>
            <wp:extent cx="33515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8"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20"/>
          <w:szCs w:val="20"/>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304800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697" w:right="1440" w:bottom="1440" w:gutter="0" w:footer="0" w:header="0"/>
        </w:sectPr>
      </w:pPr>
    </w:p>
    <w:bookmarkStart w:id="17" w:name="page18"/>
    <w:bookmarkEnd w:id="17"/>
    <w:tbl>
      <w:tblPr>
        <w:tblLayout w:type="fixed"/>
        <w:tblInd w:w="92" w:type="dxa"/>
        <w:tblCellMar>
          <w:top w:w="0" w:type="dxa"/>
          <w:left w:w="0" w:type="dxa"/>
          <w:bottom w:w="0" w:type="dxa"/>
          <w:right w:w="0" w:type="dxa"/>
        </w:tblCellMar>
      </w:tblPr>
      <w:tr>
        <w:trPr>
          <w:trHeight w:val="258"/>
        </w:trPr>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w w:val="95"/>
              </w:rPr>
              <w:t>Exhibit B</w:t>
            </w:r>
          </w:p>
        </w:tc>
        <w:tc>
          <w:tcPr>
            <w:tcW w:w="0" w:type="dxa"/>
            <w:vAlign w:val="bottom"/>
          </w:tcPr>
          <w:p>
            <w:pPr>
              <w:spacing w:after="0"/>
              <w:rPr>
                <w:sz w:val="1"/>
                <w:szCs w:val="1"/>
                <w:color w:val="auto"/>
              </w:rPr>
            </w:pPr>
          </w:p>
        </w:tc>
      </w:tr>
      <w:tr>
        <w:trPr>
          <w:trHeight w:val="688"/>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40" w:type="dxa"/>
            <w:vAlign w:val="bottom"/>
            <w:gridSpan w:val="8"/>
          </w:tcPr>
          <w:p>
            <w:pPr>
              <w:ind w:left="100"/>
              <w:spacing w:after="0"/>
              <w:rPr>
                <w:sz w:val="20"/>
                <w:szCs w:val="20"/>
                <w:color w:val="auto"/>
              </w:rPr>
            </w:pPr>
            <w:r>
              <w:rPr>
                <w:rFonts w:ascii="Times New Roman" w:cs="Times New Roman" w:eastAsia="Times New Roman" w:hAnsi="Times New Roman"/>
                <w:sz w:val="20"/>
                <w:szCs w:val="20"/>
                <w:b w:val="1"/>
                <w:bCs w:val="1"/>
                <w:color w:val="auto"/>
              </w:rPr>
              <w:t>Schedule of Transactions in Shares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7"/>
              </w:rPr>
              <w:t>Date of</w:t>
            </w:r>
          </w:p>
        </w:tc>
        <w:tc>
          <w:tcPr>
            <w:tcW w:w="360" w:type="dxa"/>
            <w:vAlign w:val="bottom"/>
            <w:gridSpan w:val="2"/>
            <w:vMerge w:val="restart"/>
          </w:tcPr>
          <w:p>
            <w:pPr>
              <w:spacing w:after="0"/>
              <w:rPr>
                <w:sz w:val="24"/>
                <w:szCs w:val="24"/>
                <w:color w:val="auto"/>
              </w:rPr>
            </w:pPr>
          </w:p>
        </w:tc>
        <w:tc>
          <w:tcPr>
            <w:tcW w:w="680" w:type="dxa"/>
            <w:vAlign w:val="bottom"/>
          </w:tcPr>
          <w:p>
            <w:pPr>
              <w:spacing w:after="0"/>
              <w:rPr>
                <w:sz w:val="24"/>
                <w:szCs w:val="24"/>
                <w:color w:val="auto"/>
              </w:rPr>
            </w:pPr>
          </w:p>
        </w:tc>
        <w:tc>
          <w:tcPr>
            <w:tcW w:w="19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Reporting Person</w:t>
            </w:r>
          </w:p>
        </w:tc>
        <w:tc>
          <w:tcPr>
            <w:tcW w:w="560" w:type="dxa"/>
            <w:vAlign w:val="bottom"/>
          </w:tcPr>
          <w:p>
            <w:pPr>
              <w:spacing w:after="0"/>
              <w:rPr>
                <w:sz w:val="24"/>
                <w:szCs w:val="24"/>
                <w:color w:val="auto"/>
              </w:rPr>
            </w:pPr>
          </w:p>
        </w:tc>
        <w:tc>
          <w:tcPr>
            <w:tcW w:w="158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20"/>
                <w:szCs w:val="20"/>
                <w:color w:val="auto"/>
                <w:w w:val="98"/>
              </w:rPr>
              <w:t>Title of Class</w:t>
            </w:r>
          </w:p>
        </w:tc>
        <w:tc>
          <w:tcPr>
            <w:tcW w:w="240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20"/>
                <w:szCs w:val="20"/>
                <w:color w:val="auto"/>
                <w:w w:val="98"/>
              </w:rPr>
              <w:t>Number of Shares</w:t>
            </w:r>
          </w:p>
        </w:tc>
        <w:tc>
          <w:tcPr>
            <w:tcW w:w="8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20"/>
                <w:szCs w:val="20"/>
                <w:color w:val="auto"/>
                <w:w w:val="98"/>
              </w:rPr>
              <w:t>Number of</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gridSpan w:val="4"/>
            <w:vMerge w:val="restart"/>
          </w:tcPr>
          <w:p>
            <w:pPr>
              <w:jc w:val="center"/>
              <w:ind w:right="420"/>
              <w:spacing w:after="0"/>
              <w:rPr>
                <w:sz w:val="20"/>
                <w:szCs w:val="20"/>
                <w:color w:val="auto"/>
              </w:rPr>
            </w:pPr>
            <w:r>
              <w:rPr>
                <w:rFonts w:ascii="Times New Roman" w:cs="Times New Roman" w:eastAsia="Times New Roman" w:hAnsi="Times New Roman"/>
                <w:sz w:val="20"/>
                <w:szCs w:val="20"/>
                <w:color w:val="auto"/>
                <w:w w:val="98"/>
              </w:rPr>
              <w:t>Price Per</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196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2400" w:type="dxa"/>
            <w:vAlign w:val="bottom"/>
            <w:gridSpan w:val="5"/>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5"/>
          </w:tcPr>
          <w:p>
            <w:pPr>
              <w:jc w:val="center"/>
              <w:ind w:right="240"/>
              <w:spacing w:after="0" w:line="209" w:lineRule="exact"/>
              <w:rPr>
                <w:sz w:val="20"/>
                <w:szCs w:val="20"/>
                <w:color w:val="auto"/>
              </w:rPr>
            </w:pPr>
            <w:r>
              <w:rPr>
                <w:rFonts w:ascii="Times New Roman" w:cs="Times New Roman" w:eastAsia="Times New Roman" w:hAnsi="Times New Roman"/>
                <w:sz w:val="20"/>
                <w:szCs w:val="20"/>
                <w:color w:val="auto"/>
                <w:w w:val="97"/>
              </w:rPr>
              <w:t>Shares</w:t>
            </w:r>
          </w:p>
        </w:tc>
        <w:tc>
          <w:tcPr>
            <w:tcW w:w="500" w:type="dxa"/>
            <w:vAlign w:val="bottom"/>
          </w:tcPr>
          <w:p>
            <w:pPr>
              <w:spacing w:after="0"/>
              <w:rPr>
                <w:sz w:val="18"/>
                <w:szCs w:val="18"/>
                <w:color w:val="auto"/>
              </w:rPr>
            </w:pPr>
          </w:p>
        </w:tc>
        <w:tc>
          <w:tcPr>
            <w:tcW w:w="114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1120" w:type="dxa"/>
            <w:vAlign w:val="bottom"/>
            <w:gridSpan w:val="4"/>
          </w:tcPr>
          <w:p>
            <w:pPr>
              <w:spacing w:after="0" w:line="209" w:lineRule="exact"/>
              <w:rPr>
                <w:sz w:val="20"/>
                <w:szCs w:val="20"/>
                <w:color w:val="auto"/>
              </w:rPr>
            </w:pPr>
            <w:r>
              <w:rPr>
                <w:rFonts w:ascii="Times New Roman" w:cs="Times New Roman" w:eastAsia="Times New Roman" w:hAnsi="Times New Roman"/>
                <w:sz w:val="20"/>
                <w:szCs w:val="20"/>
                <w:color w:val="auto"/>
              </w:rPr>
              <w:t>Transaction</w:t>
            </w:r>
          </w:p>
        </w:tc>
        <w:tc>
          <w:tcPr>
            <w:tcW w:w="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3"/>
          </w:tcPr>
          <w:p>
            <w:pPr>
              <w:jc w:val="center"/>
              <w:ind w:right="940"/>
              <w:spacing w:after="0" w:line="209" w:lineRule="exact"/>
              <w:rPr>
                <w:sz w:val="20"/>
                <w:szCs w:val="20"/>
                <w:color w:val="auto"/>
              </w:rPr>
            </w:pPr>
            <w:r>
              <w:rPr>
                <w:rFonts w:ascii="Times New Roman" w:cs="Times New Roman" w:eastAsia="Times New Roman" w:hAnsi="Times New Roman"/>
                <w:sz w:val="20"/>
                <w:szCs w:val="20"/>
                <w:color w:val="auto"/>
                <w:w w:val="99"/>
              </w:rPr>
              <w:t>Acquired</w:t>
            </w:r>
          </w:p>
        </w:tc>
        <w:tc>
          <w:tcPr>
            <w:tcW w:w="1020" w:type="dxa"/>
            <w:vAlign w:val="bottom"/>
            <w:gridSpan w:val="6"/>
          </w:tcPr>
          <w:p>
            <w:pPr>
              <w:jc w:val="center"/>
              <w:ind w:right="160"/>
              <w:spacing w:after="0" w:line="209" w:lineRule="exact"/>
              <w:rPr>
                <w:sz w:val="20"/>
                <w:szCs w:val="20"/>
                <w:color w:val="auto"/>
              </w:rPr>
            </w:pPr>
            <w:r>
              <w:rPr>
                <w:rFonts w:ascii="Times New Roman" w:cs="Times New Roman" w:eastAsia="Times New Roman" w:hAnsi="Times New Roman"/>
                <w:sz w:val="20"/>
                <w:szCs w:val="20"/>
                <w:color w:val="auto"/>
                <w:w w:val="99"/>
              </w:rPr>
              <w:t>Disposed</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center"/>
              <w:ind w:right="560"/>
              <w:spacing w:after="0" w:line="209" w:lineRule="exact"/>
              <w:rPr>
                <w:sz w:val="20"/>
                <w:szCs w:val="20"/>
                <w:color w:val="auto"/>
              </w:rPr>
            </w:pPr>
            <w:r>
              <w:rPr>
                <w:rFonts w:ascii="Times New Roman" w:cs="Times New Roman" w:eastAsia="Times New Roman" w:hAnsi="Times New Roman"/>
                <w:sz w:val="20"/>
                <w:szCs w:val="20"/>
                <w:color w:val="auto"/>
                <w:w w:val="96"/>
              </w:rPr>
              <w:t>Share</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6"/>
        </w:trPr>
        <w:tc>
          <w:tcPr>
            <w:tcW w:w="940" w:type="dxa"/>
            <w:vAlign w:val="bottom"/>
            <w:gridSpan w:val="3"/>
          </w:tcPr>
          <w:p>
            <w:pPr>
              <w:jc w:val="right"/>
              <w:ind w:right="41"/>
              <w:spacing w:after="0"/>
              <w:rPr>
                <w:sz w:val="20"/>
                <w:szCs w:val="20"/>
                <w:color w:val="auto"/>
              </w:rPr>
            </w:pPr>
            <w:r>
              <w:rPr>
                <w:rFonts w:ascii="Times New Roman" w:cs="Times New Roman" w:eastAsia="Times New Roman" w:hAnsi="Times New Roman"/>
                <w:sz w:val="20"/>
                <w:szCs w:val="20"/>
                <w:color w:val="auto"/>
                <w:w w:val="96"/>
              </w:rPr>
              <w:t>5/13/2024</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Casdin Partners Master Fund,</w:t>
            </w:r>
          </w:p>
        </w:tc>
        <w:tc>
          <w:tcPr>
            <w:tcW w:w="2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Class A Common Stock</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50,000</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$23.3059</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L.P.</w:t>
            </w: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gridSpan w:val="3"/>
          </w:tcPr>
          <w:p>
            <w:pPr>
              <w:jc w:val="right"/>
              <w:ind w:right="41"/>
              <w:spacing w:after="0"/>
              <w:rPr>
                <w:sz w:val="20"/>
                <w:szCs w:val="20"/>
                <w:color w:val="auto"/>
              </w:rPr>
            </w:pPr>
            <w:r>
              <w:rPr>
                <w:rFonts w:ascii="Times New Roman" w:cs="Times New Roman" w:eastAsia="Times New Roman" w:hAnsi="Times New Roman"/>
                <w:sz w:val="20"/>
                <w:szCs w:val="20"/>
                <w:color w:val="auto"/>
                <w:w w:val="96"/>
              </w:rPr>
              <w:t>5/23/2024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Casdin Partners Master Fund,</w:t>
            </w:r>
          </w:p>
        </w:tc>
        <w:tc>
          <w:tcPr>
            <w:tcW w:w="2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Class A Common Stock</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7,500</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w w:val="98"/>
              </w:rPr>
              <w:t>$19.5888 (1)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L.P.</w:t>
            </w: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gridSpan w:val="3"/>
          </w:tcPr>
          <w:p>
            <w:pPr>
              <w:jc w:val="right"/>
              <w:ind w:right="41"/>
              <w:spacing w:after="0"/>
              <w:rPr>
                <w:sz w:val="20"/>
                <w:szCs w:val="20"/>
                <w:color w:val="auto"/>
              </w:rPr>
            </w:pPr>
            <w:r>
              <w:rPr>
                <w:rFonts w:ascii="Times New Roman" w:cs="Times New Roman" w:eastAsia="Times New Roman" w:hAnsi="Times New Roman"/>
                <w:sz w:val="20"/>
                <w:szCs w:val="20"/>
                <w:color w:val="auto"/>
                <w:w w:val="96"/>
              </w:rPr>
              <w:t>5/24/2024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Casdin Partners Master Fund,</w:t>
            </w:r>
          </w:p>
        </w:tc>
        <w:tc>
          <w:tcPr>
            <w:tcW w:w="2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Class A Common Stock</w:t>
            </w:r>
          </w:p>
        </w:tc>
        <w:tc>
          <w:tcPr>
            <w:tcW w:w="146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144,196</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w w:val="98"/>
              </w:rPr>
              <w:t>$20.1178 (2)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L.P.</w:t>
            </w: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gridSpan w:val="3"/>
          </w:tcPr>
          <w:p>
            <w:pPr>
              <w:jc w:val="right"/>
              <w:ind w:right="41"/>
              <w:spacing w:after="0"/>
              <w:rPr>
                <w:sz w:val="20"/>
                <w:szCs w:val="20"/>
                <w:color w:val="auto"/>
              </w:rPr>
            </w:pPr>
            <w:r>
              <w:rPr>
                <w:rFonts w:ascii="Times New Roman" w:cs="Times New Roman" w:eastAsia="Times New Roman" w:hAnsi="Times New Roman"/>
                <w:sz w:val="20"/>
                <w:szCs w:val="20"/>
                <w:color w:val="auto"/>
                <w:w w:val="96"/>
              </w:rPr>
              <w:t>5/28/2024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Casdin Partners Master Fund,</w:t>
            </w:r>
          </w:p>
        </w:tc>
        <w:tc>
          <w:tcPr>
            <w:tcW w:w="2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Class A Common Stock</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18,304</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$20.6057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L.P.</w:t>
            </w: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gridSpan w:val="3"/>
          </w:tcPr>
          <w:p>
            <w:pPr>
              <w:jc w:val="right"/>
              <w:ind w:right="41"/>
              <w:spacing w:after="0"/>
              <w:rPr>
                <w:sz w:val="20"/>
                <w:szCs w:val="20"/>
                <w:color w:val="auto"/>
              </w:rPr>
            </w:pPr>
            <w:r>
              <w:rPr>
                <w:rFonts w:ascii="Times New Roman" w:cs="Times New Roman" w:eastAsia="Times New Roman" w:hAnsi="Times New Roman"/>
                <w:sz w:val="20"/>
                <w:szCs w:val="20"/>
                <w:color w:val="auto"/>
                <w:w w:val="96"/>
              </w:rPr>
              <w:t>5/29/2024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Casdin Partners Master Fund,</w:t>
            </w:r>
          </w:p>
        </w:tc>
        <w:tc>
          <w:tcPr>
            <w:tcW w:w="2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Class A Common Stock</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40,000</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w w:val="98"/>
              </w:rPr>
              <w:t>$21.0651 (3)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L.P.</w:t>
            </w: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8" w:firstLine="8"/>
        <w:spacing w:after="0" w:line="249" w:lineRule="auto"/>
        <w:tabs>
          <w:tab w:leader="none" w:pos="301"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 reported in Column 4 is a weighted average price. These shares were bought in multiple transactions within the range of $19.5662 to $19.6341. The Reporting Person undertakes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193" w:lineRule="exact"/>
        <w:rPr>
          <w:rFonts w:ascii="Times New Roman" w:cs="Times New Roman" w:eastAsia="Times New Roman" w:hAnsi="Times New Roman"/>
          <w:sz w:val="20"/>
          <w:szCs w:val="20"/>
          <w:color w:val="auto"/>
        </w:rPr>
      </w:pPr>
    </w:p>
    <w:p>
      <w:pPr>
        <w:jc w:val="both"/>
        <w:ind w:left="-8" w:firstLine="8"/>
        <w:spacing w:after="0" w:line="249" w:lineRule="auto"/>
        <w:tabs>
          <w:tab w:leader="none" w:pos="27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 reported in Column 4 is a weighted average price. These shares were bought in multiple transactions within the range of $20 to $20.55. The Reporting Person undertakes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193" w:lineRule="exact"/>
        <w:rPr>
          <w:rFonts w:ascii="Times New Roman" w:cs="Times New Roman" w:eastAsia="Times New Roman" w:hAnsi="Times New Roman"/>
          <w:sz w:val="20"/>
          <w:szCs w:val="20"/>
          <w:color w:val="auto"/>
        </w:rPr>
      </w:pPr>
    </w:p>
    <w:p>
      <w:pPr>
        <w:jc w:val="both"/>
        <w:ind w:left="-8" w:firstLine="8"/>
        <w:spacing w:after="0" w:line="249" w:lineRule="auto"/>
        <w:tabs>
          <w:tab w:leader="none" w:pos="301"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 reported in Column 4 is a weighted average price. These shares were bought in multiple transactions within the range of $20.9752 to $21.1876. The Reporting Person undertakes to provide to the Issuer, any security holder of the Issuer or the staff of the Securities and Exchange Commission, upon request, full information regarding the number of shares bought at each separate price within the range set forth in this footnote.</w:t>
      </w:r>
    </w:p>
    <w:sectPr>
      <w:pgSz w:w="11900" w:h="16838" w:orient="portrait"/>
      <w:cols w:equalWidth="0" w:num="1">
        <w:col w:w="11232"/>
      </w:cols>
      <w:pgMar w:left="328" w:top="69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decimal"/>
      <w:start w:val="1"/>
    </w:lvl>
  </w:abstractNum>
  <w:abstractNum w:abstractNumId="2">
    <w:nsid w:val="836C40E"/>
    <w:multiLevelType w:val="hybridMultilevel"/>
    <w:lvl w:ilvl="0">
      <w:lvlJc w:val="left"/>
      <w:lvlText w:val="%1."/>
      <w:numFmt w:val="decimal"/>
      <w:start w:val="3"/>
    </w:lvl>
  </w:abstractNum>
  <w:abstractNum w:abstractNumId="3">
    <w:nsid w:val="2901D82"/>
    <w:multiLevelType w:val="hybridMultilevel"/>
    <w:lvl w:ilvl="0">
      <w:lvlJc w:val="left"/>
      <w:lvlText w:val="%1."/>
      <w:numFmt w:val="decimal"/>
      <w:start w:val="6"/>
    </w:lvl>
  </w:abstractNum>
  <w:abstractNum w:abstractNumId="4">
    <w:nsid w:val="3A95F874"/>
    <w:multiLevelType w:val="hybridMultilevel"/>
    <w:lvl w:ilvl="0">
      <w:lvlJc w:val="left"/>
      <w:lvlText w:val="%1."/>
      <w:numFmt w:val="decimal"/>
      <w:start w:val="7"/>
    </w:lvl>
  </w:abstractNum>
  <w:abstractNum w:abstractNumId="5">
    <w:nsid w:val="8138641"/>
    <w:multiLevelType w:val="hybridMultilevel"/>
    <w:lvl w:ilvl="0">
      <w:lvlJc w:val="left"/>
      <w:lvlText w:val="%1."/>
      <w:numFmt w:val="decimal"/>
      <w:start w:val="13"/>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decimal"/>
      <w:start w:val="3"/>
    </w:lvl>
  </w:abstractNum>
  <w:abstractNum w:abstractNumId="8">
    <w:nsid w:val="737B8DDC"/>
    <w:multiLevelType w:val="hybridMultilevel"/>
    <w:lvl w:ilvl="0">
      <w:lvlJc w:val="left"/>
      <w:lvlText w:val="%1."/>
      <w:numFmt w:val="decimal"/>
      <w:start w:val="6"/>
    </w:lvl>
  </w:abstractNum>
  <w:abstractNum w:abstractNumId="9">
    <w:nsid w:val="6CEAF087"/>
    <w:multiLevelType w:val="hybridMultilevel"/>
    <w:lvl w:ilvl="0">
      <w:lvlJc w:val="left"/>
      <w:lvlText w:val="%1."/>
      <w:numFmt w:val="decimal"/>
      <w:start w:val="7"/>
    </w:lvl>
  </w:abstractNum>
  <w:abstractNum w:abstractNumId="10">
    <w:nsid w:val="22221A70"/>
    <w:multiLevelType w:val="hybridMultilevel"/>
    <w:lvl w:ilvl="0">
      <w:lvlJc w:val="left"/>
      <w:lvlText w:val="%1."/>
      <w:numFmt w:val="decimal"/>
      <w:start w:val="13"/>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3"/>
    </w:lvl>
  </w:abstractNum>
  <w:abstractNum w:abstractNumId="13">
    <w:nsid w:val="614FD4A1"/>
    <w:multiLevelType w:val="hybridMultilevel"/>
    <w:lvl w:ilvl="0">
      <w:lvlJc w:val="left"/>
      <w:lvlText w:val="%1."/>
      <w:numFmt w:val="decimal"/>
      <w:start w:val="6"/>
    </w:lvl>
  </w:abstractNum>
  <w:abstractNum w:abstractNumId="14">
    <w:nsid w:val="419AC241"/>
    <w:multiLevelType w:val="hybridMultilevel"/>
    <w:lvl w:ilvl="0">
      <w:lvlJc w:val="left"/>
      <w:lvlText w:val="%1."/>
      <w:numFmt w:val="decimal"/>
      <w:start w:val="7"/>
    </w:lvl>
  </w:abstractNum>
  <w:abstractNum w:abstractNumId="15">
    <w:nsid w:val="5577F8E1"/>
    <w:multiLevelType w:val="hybridMultilevel"/>
    <w:lvl w:ilvl="0">
      <w:lvlJc w:val="left"/>
      <w:lvlText w:val="%1."/>
      <w:numFmt w:val="decimal"/>
      <w:start w:val="13"/>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1."/>
      <w:numFmt w:val="decimal"/>
      <w:start w:val="3"/>
    </w:lvl>
  </w:abstractNum>
  <w:abstractNum w:abstractNumId="18">
    <w:nsid w:val="3804823E"/>
    <w:multiLevelType w:val="hybridMultilevel"/>
    <w:lvl w:ilvl="0">
      <w:lvlJc w:val="left"/>
      <w:lvlText w:val="%1."/>
      <w:numFmt w:val="decimal"/>
      <w:start w:val="6"/>
    </w:lvl>
  </w:abstractNum>
  <w:abstractNum w:abstractNumId="19">
    <w:nsid w:val="77465F01"/>
    <w:multiLevelType w:val="hybridMultilevel"/>
    <w:lvl w:ilvl="0">
      <w:lvlJc w:val="left"/>
      <w:lvlText w:val="%1."/>
      <w:numFmt w:val="decimal"/>
      <w:start w:val="7"/>
    </w:lvl>
  </w:abstractNum>
  <w:abstractNum w:abstractNumId="20">
    <w:nsid w:val="7724C67E"/>
    <w:multiLevelType w:val="hybridMultilevel"/>
    <w:lvl w:ilvl="0">
      <w:lvlJc w:val="left"/>
      <w:lvlText w:val="%1."/>
      <w:numFmt w:val="decimal"/>
      <w:start w:val="13"/>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1."/>
      <w:numFmt w:val="decimal"/>
      <w:start w:val="3"/>
    </w:lvl>
  </w:abstractNum>
  <w:abstractNum w:abstractNumId="23">
    <w:nsid w:val="5E884ADC"/>
    <w:multiLevelType w:val="hybridMultilevel"/>
    <w:lvl w:ilvl="0">
      <w:lvlJc w:val="left"/>
      <w:lvlText w:val="%1."/>
      <w:numFmt w:val="decimal"/>
      <w:start w:val="6"/>
    </w:lvl>
  </w:abstractNum>
  <w:abstractNum w:abstractNumId="24">
    <w:nsid w:val="51EAD36B"/>
    <w:multiLevelType w:val="hybridMultilevel"/>
    <w:lvl w:ilvl="0">
      <w:lvlJc w:val="left"/>
      <w:lvlText w:val="%1."/>
      <w:numFmt w:val="decimal"/>
      <w:start w:val="7"/>
    </w:lvl>
  </w:abstractNum>
  <w:abstractNum w:abstractNumId="25">
    <w:nsid w:val="2D517796"/>
    <w:multiLevelType w:val="hybridMultilevel"/>
    <w:lvl w:ilvl="0">
      <w:lvlJc w:val="left"/>
      <w:lvlText w:val="%1."/>
      <w:numFmt w:val="decimal"/>
      <w:start w:val="13"/>
    </w:lvl>
  </w:abstractNum>
  <w:abstractNum w:abstractNumId="26">
    <w:nsid w:val="580BD78F"/>
    <w:multiLevelType w:val="hybridMultilevel"/>
    <w:lvl w:ilvl="0">
      <w:lvlJc w:val="left"/>
      <w:lvlText w:val="%1."/>
      <w:numFmt w:val="decimal"/>
      <w:start w:val="1"/>
    </w:lvl>
  </w:abstractNum>
  <w:abstractNum w:abstractNumId="27">
    <w:nsid w:val="153EA438"/>
    <w:multiLevelType w:val="hybridMultilevel"/>
    <w:lvl w:ilvl="0">
      <w:lvlJc w:val="left"/>
      <w:lvlText w:val="%1."/>
      <w:numFmt w:val="decimal"/>
      <w:start w:val="3"/>
    </w:lvl>
  </w:abstractNum>
  <w:abstractNum w:abstractNumId="28">
    <w:nsid w:val="3855585C"/>
    <w:multiLevelType w:val="hybridMultilevel"/>
    <w:lvl w:ilvl="0">
      <w:lvlJc w:val="left"/>
      <w:lvlText w:val="%1."/>
      <w:numFmt w:val="decimal"/>
      <w:start w:val="6"/>
    </w:lvl>
  </w:abstractNum>
  <w:abstractNum w:abstractNumId="29">
    <w:nsid w:val="70A64E2A"/>
    <w:multiLevelType w:val="hybridMultilevel"/>
    <w:lvl w:ilvl="0">
      <w:lvlJc w:val="left"/>
      <w:lvlText w:val="%1."/>
      <w:numFmt w:val="decimal"/>
      <w:start w:val="7"/>
    </w:lvl>
  </w:abstractNum>
  <w:abstractNum w:abstractNumId="30">
    <w:nsid w:val="6A2342EC"/>
    <w:multiLevelType w:val="hybridMultilevel"/>
    <w:lvl w:ilvl="0">
      <w:lvlJc w:val="left"/>
      <w:lvlText w:val="%1."/>
      <w:numFmt w:val="decimal"/>
      <w:start w:val="13"/>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1."/>
      <w:numFmt w:val="decimal"/>
      <w:start w:val="3"/>
    </w:lvl>
  </w:abstractNum>
  <w:abstractNum w:abstractNumId="33">
    <w:nsid w:val="725A06FB"/>
    <w:multiLevelType w:val="hybridMultilevel"/>
    <w:lvl w:ilvl="0">
      <w:lvlJc w:val="left"/>
      <w:lvlText w:val="%1."/>
      <w:numFmt w:val="decimal"/>
      <w:start w:val="6"/>
    </w:lvl>
  </w:abstractNum>
  <w:abstractNum w:abstractNumId="34">
    <w:nsid w:val="2CD89A32"/>
    <w:multiLevelType w:val="hybridMultilevel"/>
    <w:lvl w:ilvl="0">
      <w:lvlJc w:val="left"/>
      <w:lvlText w:val="%1."/>
      <w:numFmt w:val="decimal"/>
      <w:start w:val="7"/>
    </w:lvl>
  </w:abstractNum>
  <w:abstractNum w:abstractNumId="35">
    <w:nsid w:val="57E4CCAF"/>
    <w:multiLevelType w:val="hybridMultilevel"/>
    <w:lvl w:ilvl="0">
      <w:lvlJc w:val="left"/>
      <w:lvlText w:val="%1."/>
      <w:numFmt w:val="decimal"/>
      <w:start w:val="13"/>
    </w:lvl>
  </w:abstractNum>
  <w:abstractNum w:abstractNumId="36">
    <w:nsid w:val="7A6D8D3C"/>
    <w:multiLevelType w:val="hybridMultilevel"/>
    <w:lvl w:ilvl="0">
      <w:lvlJc w:val="left"/>
      <w:lvlText w:val="%1."/>
      <w:numFmt w:val="decimal"/>
      <w:start w:val="1"/>
    </w:lvl>
  </w:abstractNum>
  <w:abstractNum w:abstractNumId="37">
    <w:nsid w:val="4B588F54"/>
    <w:multiLevelType w:val="hybridMultilevel"/>
    <w:lvl w:ilvl="0">
      <w:lvlJc w:val="left"/>
      <w:lvlText w:val="%1."/>
      <w:numFmt w:val="decimal"/>
      <w:start w:val="3"/>
    </w:lvl>
  </w:abstractNum>
  <w:abstractNum w:abstractNumId="38">
    <w:nsid w:val="542289EC"/>
    <w:multiLevelType w:val="hybridMultilevel"/>
    <w:lvl w:ilvl="0">
      <w:lvlJc w:val="left"/>
      <w:lvlText w:val="%1."/>
      <w:numFmt w:val="decimal"/>
      <w:start w:val="6"/>
    </w:lvl>
  </w:abstractNum>
  <w:abstractNum w:abstractNumId="39">
    <w:nsid w:val="6DE91B18"/>
    <w:multiLevelType w:val="hybridMultilevel"/>
    <w:lvl w:ilvl="0">
      <w:lvlJc w:val="left"/>
      <w:lvlText w:val="%1."/>
      <w:numFmt w:val="decimal"/>
      <w:start w:val="7"/>
    </w:lvl>
  </w:abstractNum>
  <w:abstractNum w:abstractNumId="40">
    <w:nsid w:val="38437FDB"/>
    <w:multiLevelType w:val="hybridMultilevel"/>
    <w:lvl w:ilvl="0">
      <w:lvlJc w:val="left"/>
      <w:lvlText w:val="%1."/>
      <w:numFmt w:val="decimal"/>
      <w:start w:val="13"/>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1."/>
      <w:numFmt w:val="decimal"/>
      <w:start w:val="3"/>
    </w:lvl>
  </w:abstractNum>
  <w:abstractNum w:abstractNumId="43">
    <w:nsid w:val="684A481A"/>
    <w:multiLevelType w:val="hybridMultilevel"/>
    <w:lvl w:ilvl="0">
      <w:lvlJc w:val="left"/>
      <w:lvlText w:val="%1."/>
      <w:numFmt w:val="decimal"/>
      <w:start w:val="6"/>
    </w:lvl>
  </w:abstractNum>
  <w:abstractNum w:abstractNumId="44">
    <w:nsid w:val="579478FE"/>
    <w:multiLevelType w:val="hybridMultilevel"/>
    <w:lvl w:ilvl="0">
      <w:lvlJc w:val="left"/>
      <w:lvlText w:val="%1."/>
      <w:numFmt w:val="decimal"/>
      <w:start w:val="7"/>
    </w:lvl>
  </w:abstractNum>
  <w:abstractNum w:abstractNumId="45">
    <w:nsid w:val="749ABB43"/>
    <w:multiLevelType w:val="hybridMultilevel"/>
    <w:lvl w:ilvl="0">
      <w:lvlJc w:val="left"/>
      <w:lvlText w:val="%1."/>
      <w:numFmt w:val="decimal"/>
      <w:start w:val="13"/>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1."/>
      <w:numFmt w:val="decimal"/>
      <w:start w:val="3"/>
    </w:lvl>
  </w:abstractNum>
  <w:abstractNum w:abstractNumId="48">
    <w:nsid w:val="79A1DEAA"/>
    <w:multiLevelType w:val="hybridMultilevel"/>
    <w:lvl w:ilvl="0">
      <w:lvlJc w:val="left"/>
      <w:lvlText w:val="%1."/>
      <w:numFmt w:val="decimal"/>
      <w:start w:val="6"/>
    </w:lvl>
  </w:abstractNum>
  <w:abstractNum w:abstractNumId="49">
    <w:nsid w:val="75C6C33A"/>
    <w:multiLevelType w:val="hybridMultilevel"/>
    <w:lvl w:ilvl="0">
      <w:lvlJc w:val="left"/>
      <w:lvlText w:val="%1."/>
      <w:numFmt w:val="decimal"/>
      <w:start w:val="7"/>
    </w:lvl>
  </w:abstractNum>
  <w:abstractNum w:abstractNumId="50">
    <w:nsid w:val="12E685FB"/>
    <w:multiLevelType w:val="hybridMultilevel"/>
    <w:lvl w:ilvl="0">
      <w:lvlJc w:val="left"/>
      <w:lvlText w:val="%1."/>
      <w:numFmt w:val="decimal"/>
      <w:start w:val="13"/>
    </w:lvl>
  </w:abstractNum>
  <w:abstractNum w:abstractNumId="51">
    <w:nsid w:val="70C6A529"/>
    <w:multiLevelType w:val="hybridMultilevel"/>
    <w:lvl w:ilvl="0">
      <w:lvlJc w:val="left"/>
      <w:lvlText w:val="(%1)"/>
      <w:numFmt w:val="decimal"/>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2024-05-31T16:27:19Z</dcterms:created>
  <dcterms:modified xsi:type="dcterms:W3CDTF">2024-05-31T16:27:19Z</dcterms:modified>
</cp:coreProperties>
</file>