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920" w:right="1120" w:hanging="2794"/>
        <w:spacing w:after="0" w:line="493" w:lineRule="auto"/>
        <w:tabs>
          <w:tab w:leader="none" w:pos="1327"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ind w:left="55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3420" w:right="940" w:hanging="2479"/>
        <w:spacing w:after="0" w:line="500" w:lineRule="auto"/>
        <w:tabs>
          <w:tab w:leader="none" w:pos="11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No. 001-39482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CM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85-1966622</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 Corvex Management LP</w:t>
            </w:r>
          </w:p>
        </w:tc>
        <w:tc>
          <w:tcPr>
            <w:tcW w:w="5500" w:type="dxa"/>
            <w:vAlign w:val="bottom"/>
          </w:tcPr>
          <w:p>
            <w:pPr>
              <w:spacing w:after="0"/>
              <w:rPr>
                <w:sz w:val="24"/>
                <w:szCs w:val="24"/>
                <w:color w:val="auto"/>
              </w:rPr>
            </w:pPr>
          </w:p>
        </w:tc>
      </w:t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667 Madison Avenue</w:t>
            </w:r>
          </w:p>
        </w:tc>
        <w:tc>
          <w:tcPr>
            <w:tcW w:w="5500" w:type="dxa"/>
            <w:vAlign w:val="bottom"/>
          </w:tcPr>
          <w:p>
            <w:pPr>
              <w:spacing w:after="0"/>
              <w:rPr>
                <w:sz w:val="18"/>
                <w:szCs w:val="18"/>
                <w:color w:val="auto"/>
              </w:rPr>
            </w:pPr>
          </w:p>
        </w:tc>
      </w:t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New York, New York</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10065</w:t>
            </w:r>
          </w:p>
        </w:tc>
      </w:tr>
      <w:tr>
        <w:trPr>
          <w:trHeight w:val="23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474-6745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508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Units, each consisting of one share of Class A common stock, par</w:t>
            </w: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CMLFU</w:t>
            </w:r>
          </w:p>
        </w:tc>
        <w:tc>
          <w:tcPr>
            <w:tcW w:w="220" w:type="dxa"/>
            <w:vAlign w:val="bottom"/>
            <w:tcBorders>
              <w:top w:val="single" w:sz="8" w:color="CCEEFF"/>
            </w:tcBorders>
            <w:shd w:val="clear" w:color="auto" w:fill="CCEEFF"/>
          </w:tcPr>
          <w:p>
            <w:pPr>
              <w:spacing w:after="0"/>
              <w:rPr>
                <w:sz w:val="17"/>
                <w:szCs w:val="17"/>
                <w:color w:val="auto"/>
              </w:rPr>
            </w:pPr>
          </w:p>
        </w:tc>
        <w:tc>
          <w:tcPr>
            <w:tcW w:w="39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5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9"/>
              </w:rPr>
              <w:t>value $0.0001 per share, and one-third of one redeemable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r>
      <w:tr>
        <w:trPr>
          <w:trHeight w:val="234"/>
        </w:trPr>
        <w:tc>
          <w:tcPr>
            <w:tcW w:w="5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8"/>
              </w:rPr>
              <w:t>warrant</w:t>
            </w: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920" w:type="dxa"/>
            <w:vAlign w:val="bottom"/>
            <w:shd w:val="clear" w:color="auto" w:fill="CCEEFF"/>
          </w:tcPr>
          <w:p>
            <w:pPr>
              <w:spacing w:after="0"/>
              <w:rPr>
                <w:sz w:val="20"/>
                <w:szCs w:val="20"/>
                <w:color w:val="auto"/>
              </w:rPr>
            </w:pPr>
          </w:p>
        </w:tc>
      </w:tr>
      <w:tr>
        <w:trPr>
          <w:trHeight w:val="198"/>
        </w:trPr>
        <w:tc>
          <w:tcPr>
            <w:tcW w:w="53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Class A common stock, par value $0.0001 per share</w:t>
            </w:r>
          </w:p>
        </w:tc>
        <w:tc>
          <w:tcPr>
            <w:tcW w:w="20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rPr>
              <w:t>CMLF</w:t>
            </w:r>
          </w:p>
        </w:tc>
        <w:tc>
          <w:tcPr>
            <w:tcW w:w="3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5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Redeemable warrants, each whole warrant exercisable for one</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CMLFW</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auto"/>
        </w:rPr>
        <w:t>share of Class A common stock at an exercise price of $11.50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504" w:right="339" w:bottom="0" w:gutter="0" w:footer="0" w:header="0"/>
        </w:sectPr>
      </w:pPr>
    </w:p>
    <w:bookmarkStart w:id="1" w:name="page2"/>
    <w:bookmarkEnd w:id="1"/>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 Registrant’s securities were not publicly traded. The Registrant’s Units began trading on The Nasdaq Capital Market on September 2, 2020 and the Registrant’s Class A common stock, par value $0.0001 per share, began trading separately from its Units on October 26, 2020.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29, 2021, there were 44,275,000 shares of the Registrant’s Class A common stock, par value $0.0001 per share, and 11,068,750 shares of the Registrant’s Class B common stock, par value $0.0001 per share, issued and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80" w:type="dxa"/>
            <w:vAlign w:val="bottom"/>
            <w:gridSpan w:val="8"/>
          </w:tcPr>
          <w:p>
            <w:pPr>
              <w:jc w:val="center"/>
              <w:ind w:right="3440"/>
              <w:spacing w:after="0"/>
              <w:rPr>
                <w:sz w:val="20"/>
                <w:szCs w:val="20"/>
                <w:color w:val="auto"/>
              </w:rPr>
            </w:pPr>
            <w:r>
              <w:rPr>
                <w:rFonts w:ascii="Arial" w:cs="Arial" w:eastAsia="Arial" w:hAnsi="Arial"/>
                <w:sz w:val="18"/>
                <w:szCs w:val="18"/>
                <w:b w:val="1"/>
                <w:bCs w:val="1"/>
                <w:color w:val="auto"/>
              </w:rPr>
              <w:t>CM LIFE SCIENCES, INC.</w:t>
            </w:r>
          </w:p>
        </w:tc>
        <w:tc>
          <w:tcPr>
            <w:tcW w:w="10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60" w:type="dxa"/>
            <w:vAlign w:val="bottom"/>
            <w:gridSpan w:val="11"/>
          </w:tcPr>
          <w:p>
            <w:pPr>
              <w:jc w:val="center"/>
              <w:ind w:right="2160"/>
              <w:spacing w:after="0"/>
              <w:rPr>
                <w:sz w:val="20"/>
                <w:szCs w:val="20"/>
                <w:color w:val="auto"/>
              </w:rPr>
            </w:pPr>
            <w:r>
              <w:rPr>
                <w:rFonts w:ascii="Arial" w:cs="Arial" w:eastAsia="Arial" w:hAnsi="Arial"/>
                <w:sz w:val="18"/>
                <w:szCs w:val="18"/>
                <w:b w:val="1"/>
                <w:bCs w:val="1"/>
                <w:color w:val="auto"/>
                <w:w w:val="98"/>
              </w:rPr>
              <w:t>FORM 10-K FOR THE YEAR ENDED DECEMBER 31, 2020</w:t>
            </w:r>
          </w:p>
        </w:tc>
        <w:tc>
          <w:tcPr>
            <w:tcW w:w="10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gridSpan w:val="8"/>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r>
      <w:tr>
        <w:trPr>
          <w:trHeight w:val="439"/>
        </w:trPr>
        <w:tc>
          <w:tcPr>
            <w:tcW w:w="5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96"/>
        </w:trPr>
        <w:tc>
          <w:tcPr>
            <w:tcW w:w="1140" w:type="dxa"/>
            <w:vAlign w:val="bottom"/>
            <w:gridSpan w:val="6"/>
            <w:shd w:val="clear" w:color="auto" w:fill="CCEEFF"/>
          </w:tcPr>
          <w:p>
            <w:pPr>
              <w:spacing w:after="0" w:line="16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520" w:type="dxa"/>
            <w:vAlign w:val="bottom"/>
            <w:gridSpan w:val="2"/>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620" w:type="dxa"/>
            <w:vAlign w:val="bottom"/>
            <w:gridSpan w:val="4"/>
            <w:shd w:val="clear" w:color="auto" w:fill="CCEEFF"/>
          </w:tcPr>
          <w:p>
            <w:pPr>
              <w:spacing w:after="0"/>
              <w:rPr>
                <w:sz w:val="15"/>
                <w:szCs w:val="15"/>
                <w:color w:val="auto"/>
              </w:rPr>
            </w:pPr>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1A.</w:t>
              </w:r>
            </w:hyperlink>
          </w:p>
        </w:tc>
        <w:tc>
          <w:tcPr>
            <w:tcW w:w="9100" w:type="dxa"/>
            <w:vAlign w:val="bottom"/>
            <w:gridSpan w:val="21"/>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40" w:type="dxa"/>
            <w:vAlign w:val="bottom"/>
            <w:gridSpan w:val="5"/>
            <w:shd w:val="clear" w:color="auto" w:fill="CCEEFF"/>
          </w:tcPr>
          <w:p>
            <w:pPr>
              <w:spacing w:after="0" w:line="17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1B.</w:t>
              </w:r>
            </w:hyperlink>
          </w:p>
        </w:tc>
        <w:tc>
          <w:tcPr>
            <w:tcW w:w="500" w:type="dxa"/>
            <w:vAlign w:val="bottom"/>
            <w:shd w:val="clear" w:color="auto" w:fill="CCEEFF"/>
          </w:tcPr>
          <w:p>
            <w:pPr>
              <w:spacing w:after="0"/>
              <w:rPr>
                <w:sz w:val="17"/>
                <w:szCs w:val="17"/>
                <w:color w:val="auto"/>
              </w:rPr>
            </w:pPr>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176"/>
        </w:trPr>
        <w:tc>
          <w:tcPr>
            <w:tcW w:w="6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2.</w:t>
              </w:r>
            </w:hyperlink>
          </w:p>
        </w:tc>
        <w:tc>
          <w:tcPr>
            <w:tcW w:w="500" w:type="dxa"/>
            <w:vAlign w:val="bottom"/>
            <w:tcBorders>
              <w:top w:val="single" w:sz="8" w:color="CCEEFF"/>
            </w:tcBorders>
          </w:tcPr>
          <w:p>
            <w:pPr>
              <w:spacing w:after="0"/>
              <w:rPr>
                <w:sz w:val="15"/>
                <w:szCs w:val="15"/>
                <w:color w:val="auto"/>
              </w:rPr>
            </w:pPr>
          </w:p>
        </w:tc>
        <w:tc>
          <w:tcPr>
            <w:tcW w:w="204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Properties</w:t>
              </w:r>
            </w:hyperlink>
          </w:p>
        </w:tc>
        <w:tc>
          <w:tcPr>
            <w:tcW w:w="706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620" w:type="dxa"/>
            <w:vAlign w:val="bottom"/>
            <w:tcBorders>
              <w:bottom w:val="single" w:sz="8" w:color="CCEEFF"/>
            </w:tcBorders>
            <w:gridSpan w:val="4"/>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776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9100" w:type="dxa"/>
            <w:vAlign w:val="bottom"/>
            <w:gridSpan w:val="21"/>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140" w:type="dxa"/>
            <w:vAlign w:val="bottom"/>
            <w:gridSpan w:val="6"/>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5.</w:t>
              </w:r>
            </w:hyperlink>
          </w:p>
        </w:tc>
        <w:tc>
          <w:tcPr>
            <w:tcW w:w="9100" w:type="dxa"/>
            <w:vAlign w:val="bottom"/>
            <w:gridSpan w:val="21"/>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 Securities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6.</w:t>
              </w:r>
            </w:hyperlink>
          </w:p>
        </w:tc>
        <w:tc>
          <w:tcPr>
            <w:tcW w:w="620" w:type="dxa"/>
            <w:vAlign w:val="bottom"/>
            <w:tcBorders>
              <w:bottom w:val="single" w:sz="8" w:color="CCEEFF"/>
            </w:tcBorders>
            <w:gridSpan w:val="4"/>
            <w:shd w:val="clear" w:color="auto" w:fill="CCEEFF"/>
          </w:tcPr>
          <w:p>
            <w:pPr>
              <w:spacing w:after="0"/>
              <w:rPr>
                <w:sz w:val="17"/>
                <w:szCs w:val="17"/>
                <w:color w:val="auto"/>
              </w:rPr>
            </w:pPr>
          </w:p>
        </w:tc>
        <w:tc>
          <w:tcPr>
            <w:tcW w:w="17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Selected Financial Data</w:t>
              </w:r>
            </w:hyperlink>
          </w:p>
        </w:tc>
        <w:tc>
          <w:tcPr>
            <w:tcW w:w="738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7.</w:t>
              </w:r>
            </w:hyperlink>
          </w:p>
        </w:tc>
        <w:tc>
          <w:tcPr>
            <w:tcW w:w="9100" w:type="dxa"/>
            <w:vAlign w:val="bottom"/>
            <w:gridSpan w:val="21"/>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7A.</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175"/>
        </w:trPr>
        <w:tc>
          <w:tcPr>
            <w:tcW w:w="6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8.</w:t>
              </w:r>
            </w:hyperlink>
          </w:p>
        </w:tc>
        <w:tc>
          <w:tcPr>
            <w:tcW w:w="50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Financial Statements and Supplementary Data</w:t>
              </w:r>
            </w:hyperlink>
          </w:p>
        </w:tc>
        <w:tc>
          <w:tcPr>
            <w:tcW w:w="474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9.</w:t>
              </w:r>
            </w:hyperlink>
          </w:p>
        </w:tc>
        <w:tc>
          <w:tcPr>
            <w:tcW w:w="620" w:type="dxa"/>
            <w:vAlign w:val="bottom"/>
            <w:tcBorders>
              <w:bottom w:val="single" w:sz="8" w:color="CCEEFF"/>
            </w:tcBorders>
            <w:gridSpan w:val="4"/>
            <w:shd w:val="clear" w:color="auto" w:fill="CCEEFF"/>
          </w:tcPr>
          <w:p>
            <w:pPr>
              <w:spacing w:after="0"/>
              <w:rPr>
                <w:sz w:val="17"/>
                <w:szCs w:val="17"/>
                <w:color w:val="auto"/>
              </w:rPr>
            </w:pPr>
          </w:p>
        </w:tc>
        <w:tc>
          <w:tcPr>
            <w:tcW w:w="65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Changes in and Disagreements With Accountants on Accounting and Financial Disclosure</w:t>
              </w:r>
            </w:hyperlink>
          </w:p>
        </w:tc>
        <w:tc>
          <w:tcPr>
            <w:tcW w:w="258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9A.</w:t>
              </w:r>
            </w:hyperlink>
          </w:p>
        </w:tc>
        <w:tc>
          <w:tcPr>
            <w:tcW w:w="9100" w:type="dxa"/>
            <w:vAlign w:val="bottom"/>
            <w:gridSpan w:val="21"/>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9B.</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6"/>
        </w:trPr>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10.</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Directors, Executive Officers and Corporate Governance</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11.</w:t>
              </w:r>
            </w:hyperlink>
          </w:p>
        </w:tc>
        <w:tc>
          <w:tcPr>
            <w:tcW w:w="9100" w:type="dxa"/>
            <w:vAlign w:val="bottom"/>
            <w:gridSpan w:val="21"/>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12.</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Security Ownership of Certain Beneficial Owners and Management and Related Stockholder Matters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0"/>
        </w:trPr>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13.</w:t>
              </w:r>
            </w:hyperlink>
          </w:p>
        </w:tc>
        <w:tc>
          <w:tcPr>
            <w:tcW w:w="9100" w:type="dxa"/>
            <w:vAlign w:val="bottom"/>
            <w:gridSpan w:val="21"/>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Certain Relationships and Related Transactions, and Director Independence</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14.</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Principal Accountant Fees and Services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216"/>
        </w:trPr>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IV.</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15.</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Exhibit and Financial Statement Schedules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r>
      <w:tr>
        <w:trPr>
          <w:trHeight w:val="20"/>
        </w:trPr>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16.</w:t>
              </w:r>
            </w:hyperlink>
          </w:p>
        </w:tc>
        <w:tc>
          <w:tcPr>
            <w:tcW w:w="9100" w:type="dxa"/>
            <w:vAlign w:val="bottom"/>
            <w:gridSpan w:val="21"/>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Form 10-K Summary</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 AND RISK FACTOR SUMMARY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on Form 10-K contains statements that are forward-looking and as such are not historical facts. This includes, without limitation, statements under “Item 7. Management’s Discussion and Analysis of Financial Condition and Results of Operations” regarding the our financial position, business strategy and the plans and objectives of management for future operations, including with respect to our recently announced proposed business combination with Sema4 (as defined below). These statements constitute projections, forecasts and forward-looking statements within the meaning of the Private Securities Litigation Reform Act of 1995.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 forward-looking statements contained in this Annual Report on Form 10-K are based on our current expectations and beliefs concerning future developments and their potential effects on us. There can be no assurance that future developments affecting us will be those that we have anticipated.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 occurrence of one or more of the events or circumstances described in “Item 1A. Risk Factors,” alone or in combination with other events or circumstances, may materially adversely affect our business, financial condition and operating results. Such risks include, but are not limited to:</w:t>
      </w:r>
    </w:p>
    <w:p>
      <w:pPr>
        <w:spacing w:after="0" w:line="171" w:lineRule="exact"/>
        <w:rPr>
          <w:sz w:val="20"/>
          <w:szCs w:val="20"/>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a blank check company with no operating history and no revenues, and you have no basis on which to evaluate our ability to achieve our business objective.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Your only opportunity to affect your investment decision regarding a potential Business Combination may be limited to the exercise of your right to redeem your shares from us for cash.</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requirement that we complete our initial Business Combination within 24 months after the closing of this offering or during any extension period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7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our Sponsor, initial stockholders, directors, executive officers, advisors and their affiliates may elect to purchase shares or public warrants from Public Stockholders, which may influence a vote on a proposed Business Combination and reduce the public “float” of our Class A Common Stock.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 stockholder fails to receive notice of our offer to redeem our Public Shares in connection with our initial Business Combination, or fails to comply with the procedures for submitting or tendering its shares, such shares may not be redeemed.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many other blank check companies.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their pro rata portion of the funds in the Trust Account that are available for distribution to Public Stockholders, and our warrants will expire worthless.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net proceeds of the Initial Public Offering not being held in the Trust Account are insufficient to allow us to operate for at least the 24 months following the closing of the Initial Public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Past performance by our management team and their affiliates may not be indicative of future performance of an investment in us.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Unlike some other similarly structured special purpose acquisition companies, our initial stockholders will receive additional Class A Common Stock if we issue certain shares to consummate an initial Business Combination.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Should one or more of these risks materialize, or should any of our assumptions prove incorrect, actual results may vary in material respects from those projected in these forward-looking statements. In that event, the trading price of our securities could decline, and you could lose all or part of your investment. We undertake no obligation to update or revise any forward-looking statements, whether as a result of new information, future events or otherwise, except as may be required under applicable securities laws.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References in this Annual Report on Form 10-K (this “Annual Report”) to “we,” “us,” “our” or the “Company” are to CM Life Sciences, Inc., a blank check company incorporated in Delaware. References to our “management” or our “management team” refer to our officers and directors, and references to the “Sponsor” refer to CM Life Sciences Holdings, LLC, a Delaware limited liability company. References to our “initial stockholders” refer to our Sponsor and each of our independent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blank check company incorporated on July 10, 2020, as a Delaware corporation, for the purpose of effecting a merger, share exchange, asset acquisition, share purchase, reorganization or similar business combination with one or more businesses (the “Business Combination”). While we may pursue an initial Business Combination target in any industry, sector or geographic region, we intend to capitalize on our management team’s background and experience to identify promising opportunities in the life sciences sector. Our sponsor is CM Life Sciences Holdings, LLC a Delaware limited liability company (our “Sponsor”).</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neither engaged in any operations nor generated any revenue to date. Based on our business activities, the Company is a “shell company” as defined under the Exchange Act of 1934 (the “Exchange Act”) because we have no operations and nominal assets consisting almost entirely of cash.</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Registration statements for our initial public offering (the “Initial Public Offering”) became effective on September 1, 2020. On September 4, 2020, we consummated our Initial Public Offering of 44,275,000 units (the “Units” and, with respect to the shares of Class A common stock, par value $0.001 per share (“Class A Common Stock”) included in the Units offered, the “Public Shares”), including 5,775,000 additional Units to cover over-allotments (the “Over-Allotment Units”), at $10.00 per Unit, generating gross proceeds of $442.75 million.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Substantially concurrently with the closing of the Initial Public Offering, we consummated the private placement (the “Private Placement”) of 7,236,667 warrants (each, a “Private Placement Warrant” and collectively, the “Private Placement Warrants”), at a price of $1.50 per Private Placement Warrant to the Sponsor, generating gross proceeds of approximately $10.86 million.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consummation of the Initial Public Offering, on July 16, 2020, the Sponsor paid $25,000, or approximately $0.002 per share, to cover certain offering costs of the Company in consideration for 10,062,500 shares (the “Founder Shares”) of Class B common stock of the Company, par value $0.0001 per share (“Class B Common Stock”).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closing of the Initial Public Offering and the Private Placement, $442.75 million ($10.00 per Unit) of the net proceeds of the Initial Public Offering and certain of the proceeds of the Private Placement were placed in a trust account (“Trust Account”) with Continental Stock Transfer &amp; Trust Company acting as trustee and invested in United States government treasury bills with a maturity of 185 days or less or in money market funds investing solely in U.S. Treasuries and meeting certain conditions under Rule 2a-7 under the Investment Company Act of 1940, as amended (the “Investment Company Act”), as determined by the Company, until the earlier of: (i) the completion of an initial Business Combination and (ii) the distribution of the Trust Account as described below.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69" w:lineRule="auto"/>
        <w:rPr>
          <w:sz w:val="20"/>
          <w:szCs w:val="20"/>
          <w:color w:val="auto"/>
        </w:rPr>
      </w:pPr>
      <w:r>
        <w:rPr>
          <w:rFonts w:ascii="Arial" w:cs="Arial" w:eastAsia="Arial" w:hAnsi="Arial"/>
          <w:sz w:val="17"/>
          <w:szCs w:val="17"/>
          <w:color w:val="auto"/>
        </w:rPr>
        <w:t>We entered into separate forward purchase agreements with affiliates of our Sponsor, Casdin Capital, LLC (“Casdin Capital”) and Corvex Management LP (“Corvex Management”), in their capacities as investment advisors on behalf of one or more investment funds, clients or accounts managed by each of Casdin Capital and Corvex Management, respectively (collectively, their “Clients”), pursuant to which, subject to the conditions described below, they will cause certain Clients to purchase from us up to an aggregate amount of 15,000,000 shares of Class A Common Stock (the “Forward Purchase Shares”) for $10.00 per Forward Purchase Share, or an aggregate amount of up to $150,000,000, in a private placement that will close concurrently with the closing of our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Class A Common Stock and warrants trade on The Nasdaq Capital Market (“Nasdaq”) under the symbols “CMLF” and “CMLFW,” respectively. Those Units not separated continue to trade on Nasdaq under the symbol “CMLFU.”</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has broad discretion with respect to the specific application of the net proceeds of its Initial Public Offering and the sale of Private Placement Warrants, although substantially all of the net proceeds are intended to be applied generally toward consummating our initial Business Combination. Our initial Business Combination must be with one or more operating businesses or assets with a fair market value equal to at least 80% of the net assets held in the Trust Account (net of amounts disbursed to management for working capital purposes and excluding the amount of any deferred underwriting discount held in Trust) at the time we sign a definitive agreement in connection with the initial Business Combination. However, we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effectuate a Business Combination using the proceeds from the Initial Public Offering and Private Placement, and from additional issuances of, if any, our capital stock and our debt, or a combination of cash, stock and debt. We have not engaged in, and we will not engage in, any operations until we complete a Business Combination, and we have not generated any operating revenue to date. We will not generate any operating revenues until after completion of our initial Business Combination, at the earliest. Our entire activity since inception through December 31, 2020 related to our formation, the preparation for the Initial Public Offering, and following the closing of the Initial Public Offering, the search for a prospective initial Business Combination. Based on our business activities, we are a “shell company” as defined under the Exchange Act, because we have no operations and nominal assets consisting almost entirely of cash.</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provide the holders of our Public Shares (the “Public Stockholders”) with the opportunity to redeem all or a portion of their Public Shares upon the completion of our initial Business Combination either (i) in connection with a general meeting called to approve the initial Business Combination or (ii) by means of a tender offer. The decision as to whether we will seek stockholder approval of our initial Business Combination or conduct a tender offer will be made by us. The Public Stockholders will be entitled to redeem their Public Shares for a pro rata portion of the amount then in the Trust Account. The per-share amount to be distributed to Public Stockholders who redeem their Public Shares will not be reduced by the deferred underwriting commissions we pay to the underwriters of the Initial Public Offering.</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unable to complete a Business Combination within 24 months from the closing of the Initial Public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Pending Sema4 Business Combination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10, 2021, we entered into an Agreement and Plan of Merger (the “Merger Agreement”) with Mount Sinai Genomics, Inc., a Delaware corporation, d/b/a Sema4 (“Sema4”), and S-IV Sub, Inc., a Delaware corporation and our direct wholly-owned subsidiary (“Merger Sub”). Pursuant to the terms of the Merger Agreement and subject to the conditions thereof, we will acquire Sema4 through the merger of Merger Sub with and into Sema4, with Sema4 surviving as our wholly-owned subsidiary (the “Merger”) and, in connection with the Merger, our name will be changed to a name to be determined by Sema4 (and reasonably acceptable to us) (together with the other agreements and transactions contemplated by the Merger Agreement, the “Sema4 Business Combination”). Holders of Sema4 Capital Stock will receive common stock of CM Life Sciences and, at their election, up to $343 million in cash in exchange for shares of Sema4. The consummation of the proposed Sema4 Business Combination is subject to certain conditions as further described in the Merger Agreement.</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10, 2021, concurrently with the execution of the Merger Agreement, we entered into subscription agreements (collectively, the “Subscription Agreements”) with certain investors (collectively, the “PIPE Investors” which include certain existing equityholders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more information about the Merger Agreement and the proposed Sema4 Business Combination, see “Item 7. Management’s Discussion and Analysis of Financial Condition and Results of Operations — Sema4 Business Combination Announcement,” as well as our Current Report on Form 8-K filed with the SEC on February 11, 2021 and the Sema4 Disclosure Statement that we will file with the SEC. Unless specifically stated, this Annual Report does not give effect to the proposed Sema4 Business Combination and does not contain the risks associated with the proposed Sema4 Business Combination. Such risks and effects relating to the proposed Sema4 Business Combination will be included in the Sema4 Disclosure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team intends to leverage the strong life sciences knowledge base and public and private market experience of our Sponsor in completing our initial Business Combination. Our Sponsor is an affiliate of Eli Casdin, founder and Chief Investment Officer of Casdin Capital, and of Keith Meister, founder and Chief Investment Officer of Corvex Management, two leading investment firms.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Over the years, members of our management team from Casdin Capital have developed a rich, reflective and repeatable scientific process as rigorous as any found in relevant research labs, which we intend to draw upon as we evaluate targets. Our strategy is to seek out every possible data point and test every possible hypothesis. By methodically breaking down core elements, from treatments to management teams to political-historical context, and examining them from all angles, testing theories as we go, our leadership team learns and grows in step with the life sciences industry itself. When we assess company targets and the mechanisms for solving them, whether a drug or a technology application, we will seek to understand their innovative methodologies, not just their market potential. Beyond the science, we will also scrutinize target markets and competitors, question CEOs, Executive Teams and Boards on their ability to measure outcomes and push toward solutions, and create models for everything from commercial launch capabilities to regulatory hurdles to an entire team’s industry expertise and history. Deep knowledge of the science and its applications is only the beginning. Our experience continually reminds us to focus on leadership’s ability to grow a business and create an empowered workforce, and we seek companies that create the drive and resilience necessary to reach ambitious goals and, ultimately, market success.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Casdin Capital has developed relationships going back to the unlocking of the human genome, and today is a familiar and trusted participant in this dynamic and complex industry, as well-versed in the science as in the business models that underpin it. As an affiliate of Casdin Capital with key management members from Casdin Capital, we intend to leverage its reputation and position as more than just an investor, but a key partner to major and emerging companies, to work with the most successful and innovative industry professionals, the ones who will continue to drive growth and profits over the next few decades. Combined with Corvex Management, our leadership team is diverse and deep, with strengths in science and business, in research and investing, capital markets and corporate board rooms, and as alert to industry realignments as they are to subtle market moves. Success and strong returns come as much from our collective dedication as it does from our area-expertise. Our seasoned management team and board intends to leverage information from industry experts, scientists, management teams, and corporate directors to proceed with discipline and rigor to complete an attractive business combination that will produce attractive returns for our shareholders.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Consistent with our acquisition strategy, we have identified the following criteria to evaluate prospective target businesses. We intend to seek to acquire companies in the Life Sciences Tools, Synthetic Biology and Diagnostics fields and that we believe:</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 potential scientific or other business advantage or opportunity in the markets in which they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strong and experienced management teams or key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offer attractive risk-adjusted equity returns for our shareholders.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we believe does not meet the above criteria and guidelines, we will disclose that the target business does not meet the above criteria in our stockholder communications related to our initial business combination, which would be in the form of proxy materials or tender offer documents, as applicable, that we would file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Sourcing of Potential Initial Business Combination Targets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 Our second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following the Initial Public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second amended and restated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may hold in connection with the completion of our initial Business Combination.</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the Initial Public Offering, in order to, among other reasons, satisfy such net tangible assets or minimum cash requirements.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Limitations on Redemptions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second amended and restated certificate of incorporation provides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the Initial Public Offering, in order to, among other reasons, satisfy such net tangible assets or minimum cash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redemptions pursuant to tender offer rules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event we conduct redemptions pursuant to the tender offer rules, we will:</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If Public Stockholders tender more shares than we have offered to purchase, we will withdraw the tender offer and not complete the initial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our initial Business Combination to a stockholder vote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the Initial Public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In the event that our Sponsor, initial stockholders, directors,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purpose of any such purchases of shares could be to (i) vote such shares in favor of the Business Combination and thereby increase the likelihood of obtaining the requisite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Stockholder Approval</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second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the Initial Public Offering, which we refer to as the “Excess Shares,” without our prior consent. We believe this restriction will discourage stockholders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stockholder holding more than an aggregate of 20% of the shares sold in the Initial Public Offering could threaten to exercise its redemption rights if such holder’s shares are not purchased by us, our Sponsor or our management at a premium to the then-current market price or on other undesirable terms. By limiting our stockholders’ ability to redeem no more than 20% of the shares sold in the Initial Public Offering without our prior consent,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we would not be restricting our stockholders’ ability to vote all of their shares (including Excess Shares) for or against our initial Business Combination.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second amended and restated certificate of incorporation provides that we will have only 24 months from the closing of the Initial Public Offering to complete our initial Business Combination. If we are unable to complete our initial Business Combination within such 24-month period from the closing of the Initial Public Offering or during any extended period of time that we may have to consummate an initial business combination as a result of an amendment to our amended and restated certificate of incorporation (an “Extension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 or during any Extension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Additionally, the number of blank check companies looking for Business Combination targets has increased compared to recent years and many of these blank check companies are sponsored by entities or persons that have significant experience with completing Business Combinations. While we believe there are numerous target businesses we could potentially acquire with the net proceeds from our Initial Public Offering and Private Placement, if the proposed Sema4 Business Combination is not consummated, our ability to compete with respect to the acquisition of certain target businesses will be limited by our available financial resources. This inherent competitive limitation gives others an advantage in pursuing the acquisition of certain target businesses.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Any of these obligations may place us at a competitive disadvantage in successfully negotiating a Business Combination. If we have not completed our initial Business Combination within the required time period, our Public Stockholders may receive only approximately $10.00 per share, or less in certain circumstances, on the liquidation of our Trust Account and our warrants will expire worthless.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three executive officers: Eli Casdin, Brian Emes and Shaun Rodriguez.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the status of the proposed Sema4 Business Combination and, if the proposed Sema4 Business Combination is not consummated, whether a different target business has been selected for our initial Business Combination and the current stage of the Business Combination process. We do not intend to have any full time employees prior to the completion of our initial Business Combination.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Annual Report, including our financial statements and related notes,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financial condition and operating results. For risk factors related to the proposed Sema4 Business Combination, see the “Risk Factors” section of the Sema4 Disclosure Statement that we will file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Search for, and Consummation of or Inability to Consummate, a Business Combination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choose not to hold a stockholder vote to approve our initial Business Combination if the Business Combination would not require stockholder approval under applicable law or stock exchange listing requirement. Except for as required by applicable law or stock exchange requirement,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a majority of our Public Stockholders do not approve of the Business Combination we complete.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may be limited to the exercise of your right to redeem your shares from us for cash.</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You may not be provided with an opportunity to evaluate the specific merits or risks of our initial Business Combination. Since our board of directors may complete a Business Combination without seeking stockholder approval, Public Stockholders may not have the right or opportunity to vote on the Business Combination, unless we seek such stockholder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initial stockholders own a substantial percentage of our outstanding common stock. Our initial stockholders and management team also may from time to time purchase Class A Common Stock prior to the completion of our initial Business Combination. Our second amended and restated certificate of incorporation provides that, if we seek stockholder approval of an initial Business Combination, such initial Business Combination will be approved if we receive the affirmative vote of a majority of the shares entitled to vote at such meeting, including the Founder Shares. Accordingly, if we seek stockholder approval of our initial Business Combination, the agreement by our initial stockholders and management team to vote in favor of our initial Business Combination will increase the likelihood that we will receive the requisite stockholder approval for such initial Business Combination.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consummate a Business Combination with a target.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seek to enter into a Business Combination transaction agreement with minimum cash requirement for (i) cash consideration to be paid to the target or its owners, (ii) cash for working capital or other general corporate purposes or (iii) the retention of cash to satisfy other conditions.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the time we enter into a Business Combination Agreement,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results in the issues of shares of Class A Common Stock on a greater than one-to-one basis upon conversion of the shares of Class B Common Stock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jc w:val="both"/>
        <w:spacing w:after="0" w:line="301" w:lineRule="auto"/>
        <w:rPr>
          <w:sz w:val="20"/>
          <w:szCs w:val="20"/>
          <w:color w:val="auto"/>
        </w:rPr>
      </w:pPr>
      <w:r>
        <w:rPr>
          <w:rFonts w:ascii="Arial" w:cs="Arial" w:eastAsia="Arial" w:hAnsi="Arial"/>
          <w:sz w:val="16"/>
          <w:szCs w:val="16"/>
          <w:b w:val="1"/>
          <w:bCs w:val="1"/>
          <w:i w:val="1"/>
          <w:iCs w:val="1"/>
          <w:color w:val="auto"/>
        </w:rPr>
        <w:t>The requirement that we complete our initial Business Combination within 24 months after the closing of the Initial Public Offering or during any Extension Period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complete our initial Business Combination within 24 months after the closing of the Initial Public Offering or during any Extension Period.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coronavirus (COVID-19) outbreak and the status of debt and equity markets.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complete our initial Business Combination within 24 months after the closing of the Initial Public Offering or during any Extension Period, in which case we would cease all operations except for the purpose of winding up and we would redeem our Public Shares and liquidate.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not be able to find a suitable target business and complete our initial Business Combination within 24 months after the closing of the Initial Public Offering or during any Extension Period.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7"/>
          <w:szCs w:val="17"/>
          <w:b w:val="1"/>
          <w:bCs w:val="1"/>
          <w:i w:val="1"/>
          <w:iCs w:val="1"/>
          <w:color w:val="auto"/>
        </w:rPr>
        <w:t>If we seek stockholder approval of our initial Business Combination, our Sponsor, initial stockholders, directors, executive officers, advisors and their affiliates may elect to purchase shares or public warrants from Public Stockholders, which may influence a vote on a proposed Business Combination and reduce the public “float” of our Class A Common Stock or public warrants.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although they are under no obligation to do so. There is no limit on the number of shares our initial stockholders, directors, officers, advisors or their respective affiliates may purchase in such transactions, subject to compliance with applicable law and Nasdaq rules. However, other than as expressly stated herein, they have no current commitments, plans or intentions to engage in such purchases or transactions and have not formulated any terms or conditions for any such purchases or transactions. None of the funds in the Trust Account will be used to purchase Public Shares or public warrants in such transactions. Such purchases may include a contractual acknowledgment that such stockholder, although still the record holder of our shares, is no longer the beneficial owner thereof and therefore agrees not to exercise its redemption rights.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that our Sponsor, initial stockholders, directors, executive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We expect any such purchases will be reported pursuant to Section 13 and Section 16 of the Exchange Act to the extent such purchasers are subject to such reporting requirements.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 to require our Public Stockholders seeking to exercise their redemption rights, whether they are record holders or hold their shares in “street name,” to, at the holder’s option, either deliver their stock certificates to our transfer 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the net proceeds of the Initial Public Offering and the sale of the Private Placement Warrants are intended to be used to complete an initial Business Combination with a target business that has not been selected, we may be deemed to be a “blank check” company under the United States securities laws. However, because we had net tangible assets in excess of $5,000,000 upon the completion of the Initial Public offering and the sale of the Private Placement Warrants and we filed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became immediately tradable and we will have a longer period of time to complete our initial Business Combination than do companies subject to Rule 419. Moreover, we were subject to Rule 419, that rule would prohibit the release of any interest earned on funds held in the Trust Account to us unless and until the funds in the Trust Account were released to us in connection with our completion of an initial Business Combination.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second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the Excess Shares without our prior consent.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the Initial Public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increases,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recent years, the number of special purpose acquisition companies that have been formed has increased substantially. Many companies have entered into Business Combinations with special purpose acquisition companies, and there are still many special purpose acquisition companies seeking targets for their initial Business Combination, as well as many additional special purpose acquisition companies currently in registration. As a result, at times, fewer attractive targets may be available, and it may require more time, effort and resources to identify a suitable target for an initial Business Combination.</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 suitable target for and/or complete our initial Business Combination.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the net proceeds of the Initial Public Offering not being held in the Trust Account are insufficient to allow us to operate for at least the 24 months following the closing of the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Of the net proceeds of the Initial Public Offering, only $1,000,000 will be available to us initially outside the Trust Account to fund our working capital requirements. We believe that the funds available to us outside of the Trust Account will be sufficient to allow us to operate for at least the 24 months following the closing of the Initial Public Offering;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$1.50 per warrant at the option of the lender. The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within the required time period because we do not have sufficient funds available to us, we will be forced to cease operations and liquidate the Trust Account. Consequently, our Public Stockholders may only receive an estimated $10.00 per public share, or possibly less, on our redemption of our Public Shares, and our warrants will expire worthless.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recent months, 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and complete an initial Business Combination. In order to obtain directors and officers liability insurance or modify its coverage as a result of becoming a public company, the post-Business Combination entity might need to incur greater expense and/or accept less favorable terms. Furthermore,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after completion of any initial Business Combination, our directors and officers could be subject to potential liability from claims arising from conduct alleged to have occurred prior to such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public share.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placing of funds in the Trust Account may not protect those funds from third party claims against us. Although we will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The underwriters of the Initial Public Offering as well as our registered independent public accounting firm will not execute agreements with us waiving such claims to the monies held in the Trust Account.</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required time period,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public share initially held in the Trust Account, due to claims of such creditors. Pursuant to the letter agreement dated as of September 1, 2020, our Sponsor has agreed that it will be liable to us if and to the extent any claims by a third party for services rendered or products sold to us, or a prospective target business with which we will enter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the Initial Public Offering against certain liabilities, including liabilities under the Securities Act of 1933, as amended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not currently subject to.</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An investment in our securities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stockholder vote to amend our second amended and restated certificate of incorporation to modify the substance or timing of our obligation to redeem 100% of our Public Shares if we do not complete our initial Business Combination within 24 months from the closing of the Initial Public Offering or during any Extension Period or with respect to any other material provisions relating to stockholders’ rights or pre-initial Business Combination activity; and (iii) absent an initial Business Combination within 24 months from the closing of the Initial Public Offering or during any Extension Period,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the Initial Public Offering or during any Extension Period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anniversary of the dissolution. However, it is our intention to redeem our Public Shares as soon as reasonably possible following the 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from the closing of the Initial Public Offering in the event we do not complete our initial Business Combination and, therefore, we do not intend to comply with the foregoing procedures.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6"/>
          <w:szCs w:val="16"/>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the Initial Public Offering or during any Extension Period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Nasdaq’s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we are neither limited to evaluating a target business in a particular industry, sector or geographic region nor have we selected any specific target businesses with which to pursue our initial Business Combination, you will be unable to ascertain the merits or risks of any particular target business’s operations.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efforts to identify a prospective initial Business Combination target will not be limited to a particular industry, sector or geographic region. While we may pursue an initial Business Combination opportunity in any industry, sector or geographic region, we expect to focus our efforts on the life sciences sector and intend to capitalize on the ability of our management team to identify, acquire and operate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Our second amended and restated certificate of incorporation prohibits us from effectuating a Business Combination with another blank check company or similar company with nominal operations.</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Past performance by our management team and their respective affiliates may not be indicative of future performance of an investment in us.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Information regarding performance by, or businesses associated with, our management team or businesses associated with them is presented for informational purposes only. Past performance by our management team and their respective affiliates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team’s or businesses associated with them as indicative of our future performance of an investment in us or the returns we will, or is likely to, generate going forward.</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consummation of the Initial Public Offering, we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proceeds from the sale of these Forward Purchase Shares, together with the amounts available to us from the Trust Account (after giving effect to any redemptions of Public Shares) and any other equity or debt financing obtained by us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The amount of Forward Purchase Shares sold pursuant to the forward purchase agreements will be determined in our discretion based on our need for additional capital to consummate the initial Business Combination.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of Casdin Capital’s and Corvex Management’s obligation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including whether the investment complies with any guidelines, restrictions or conflicts of interest provisions applicable to such Clients. Accordingly, if either Casdin Capital or Corvex Management, as relevant, determines, as an investment advisor on behalf of such Clients that the initial Business Combination falls outside the investment objects of such Clients or is not reasonably acceptable to such Clients, it would not be obligated to purchase any Forward Purchase Shares. In addition, the obligation to purchase Forward Purchase Shares will be subject to fulfillment of customary closing conditions, including that our initial Business Combination must be consummated substantially concurrently with the purchase of Forward Purchase Shares. If the sale of Forward Purchase Shares does not close for any reason, including by reason of the failure to fund the purchase price, for example, we may lack sufficient funds to consummate our initial Business Combination.</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Business Combination opportunities in industries, sectors or geographic regions that may be outside of our management’s areas of expertise.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expect to focus our search for a target business in the life sciences sector, we will consider a Business Combination in industries, sectors or geographic regions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As a result, our management may not be able to ascertain or assess adequately all of the relevant risk factors. Accordingly, any stockholders or warrant holders who choose to remain stockholders or warrant holders, respectively, following our initial Business Combination could suffer a reduction in the value of their shares. Such stockholders or warrant holders are unlikely to have a remedy for such reduction in value.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 w:name="page25"/>
    <w:bookmarkEnd w:id="24"/>
    <w:p>
      <w:pPr>
        <w:jc w:val="both"/>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stock exchange listing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their pro rata portion of the funds in the Trust Account that are available for distribution to Public Stockholders, and our warrants will expire worthless.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stockholders from a financial point of view.</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only be able to complete one Business Combination with the proceeds of the Initial Public Offering, the sale of the Private Placement Warrants and the sale of Forward Purchase Shares, which will cause us to be solely dependent on a single business which may have a limited number of products or services. This lack of diversification may negatively impact our operations and profitability.</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proceeds held in the Trust Account from the Initial Public Offering and the Private Placement of warrants provided us with $442,750,000 that we may use to complete our initial Business Combination (not taking into account the $15,496,250 of deferred underwriting commissions being held in the Trust Account). The proceeds from the sale of Forward Purchase Shares will be up to $150,000,000.</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do not have a specified maximum redemption threshold. The absence of such a redemption threshold may make it possible for us to complete our initial Business Combination with which a substantial majority of our stockholders or warrant holders do not agree.</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second amended and restated certificate of incorporation does not provide a specified maximum redemption threshold, except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all shares of Class A Common Stock submitted for redemption will be returned to the holders thereof, and we instead may search for an alternate Business Combination.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second amended and restated certificate of incorporation or governing instruments in a manner that will make it easier for us to complete our initial Business Combination that our stockholders may not support.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second amended and restated certificate of incorporation will require the approval of holders of 65% of our common stock,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second amended and restated certificate of incorporation requires us to provide our Public Stockholders with the opportunity to redeem their Public Shares for cash if we propose an amendment to our a second mended and restated certificate of incorporation to modify the substance or timing of our obligation to redeem 100% of our Public Shares if we do not complete an initial Business Combination within 24 months of the closing of the Initial Public Offering or with respect to any other material provisions relating to stockholders’ rights or pre-initial Business Combination activity. To the extent any of such amendments would be deemed to fundamentally change the nature of our securities,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provisions of our second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second amended and restated certificate of incorporation to facilitate the completion of an initial Business Combination that some of our stockholders may not support.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second amended and restated certificate of incorporation provides that any of its provisions related to pre-Business Combination activity (including the requirement to deposit proceeds of the Initial Public Offering and the private placement of warrants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second amended and restated certificate of incorporation may be amended by holders of a majority of our outstanding common stock entitled to vote thereon, subject to applicable provisions of the DGCL or applicable stock exchange rules. Our initial stockholders, who will collectively beneficially own approximately 20% of our common stock, may participate in any vote to amend our second amended and restated certificate of incorporation and/or trust agreement and will have the discretion to vote in any manner they choose. As a result, we may be able to amend the provisions of our second amended and restated certificate of incorporation which govern our pre-Business Combination behavior more easily than some other special purpose acquisition companies, and this may increase our ability to complete a Business Combination with which you do not agree. Our stockholders may pursue remedies against us for any breach of our second amended and restated certificate of incorporation.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Sponsor, executive officers, directors and director nominees have agreed, pursuant to written agreements with us, that they will not propose any amendment to our second amended and restated certificate of incorporation to modify the substance or timing of our obligation to redeem 100% of our Public Shares if we do not complete our initial Business Combination within 24 months from the closing of the Initial Public Offering or during any Extension Period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Certain agreements related to the Initial Public Offering may be amended without stockholder approval.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of the agreements related to the Initial Public Offering to which we are a party, other than the warrant agreement and the investment management trust agreement, may be amended without stockholder approval. Such agreements are: the underwriting agreement; the letter agreement among us and our initial stockholders, Sponsor, officers and directors; the registration rights agreement among us and our initial stockholders; and the Private Placement Warrants purchase agreement between us and our Sponsor. These agreements contain various provisions that our Public Stockholders might deem to be material. For example, our letter agreement and the underwriting agreement contain certain lock-up provisions with respect to the Founder Shares, Private Placement Warrants and other securities held by our initial stockholders,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materials or tender offer documents,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stockholders selling their securities earlier than they would otherwise be permitted, which may have an adverse effect on the price of our securities.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selected any specific Business Combination target but may target businesses with enterprise values that are greater than we could acquire with the net proceeds of the Initial Public Offering, the sale of the Private Placement Warrants and the sale of the Forward Purchase Shares. As a result, if the cash portion of the purchase price exceeds the amount available from the Trust Account and the sale of Forward Purchase Shares, net of amounts needed to satisfy any redemption by Public Stockholders, or if the Forward Purchase Shares are not purchased under the forward purchase agreement,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stockholders control a substantial interest in us and thus may exert a substantial influence on actions requiring a stockholder vote, potentially in a manner that you do not support.</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initial stockholders own approximately 20% of our issued and outstanding common stock. Accordingly, they may exert a substantial influence on actions requiring a stockholder vote, potentially in a manner that you do not support, including amendments to our second amended and restated certificate of incorporation. If our initial stockholders purchase any units or any additional Class A Common Stock in the aftermarket or in privately negotiated transactions, this would increase their control. Neither our initial stockholders nor, to our knowledge, any of our officers or directors, have any current intention to purchase additional securities.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 Any Forward Purchase Shares will not be issued until completion of our initial Business Combination, and, accordingly, will not be included in any stockholder vote until such time.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development of the internal control of any such entity to achieve compliance with the Sarbanes-Oxley Act may increase the time and costs necessary to complete any such Business Combination.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company located outside of the United States, we would be subject to a variety of additional risks that may adversely affect us.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corruption;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Business Combination and our structure thereafter may not be tax-efficient to our stockholders and warrant holders. As a result of our Business Combination, our tax obligations may be more complex, burdensome and uncertain.</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will attempt to structure our initial Business Combination in a tax-efficient manner, tax structuring considerations are complex, the relevant facts and law are uncertain and may change, and we may prioritize commercial and other considerations over tax considerations. For example, in connection with our initial Business Combination and subject to any requisite stockholder approval, we may structure our Business Combination in a manner that requires stockholders and/or warrant holders to recognize gain or income for tax purposes, effect a Business Combination with a target company in another jurisdiction, or reincorporate in a different jurisdiction (including, but not limited to, the jurisdiction in which the target company or business is located). We do not intend to make any cash distributions to stockholders or warrant holders to pay taxes in connection with our Business Combination or thereafter. Accordingly, a stockholder or a warrant holder may need to satisfy any liability resulting from our initial Business Combination with cash from its own funds or by selling all or a portion of the shares received. In addition, stockholders and warrant holders may also be subject to additional income, withholding or other taxes with respect to their ownership of us after our initial Business Combination.</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we may effect a Business Combination with a target company that has business operations outside of the United States, and possibly, business operations in multiple jurisdictions. If we effect such a Business Combination, we could be subject to significant income, withholding and other tax obligations in a number of jurisdictions with respect to income, operations and subsidiaries related to those jurisdictions. Due to the complexity of tax obligations and filings in other jurisdictions, we may have a heightened risk related to audits or examinations by U.S. federal, state, local and non-U.S. taxing authorities. This additional complexity and risk could have an adverse effect on our after-tax profitability and financial condition.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Relating to Our Management Team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executive officers and directors and their loss could adversely affect our ability to operate.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In particular, certain of our officers and directors serve as an officer or director of CM Life Sciences II Inc. (Nasdaq: CMII) and CM Life Sciences III Inc., which are both blank check companies sponsored by an affiliate of Casdin Capital and Corvex Management.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7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In particular, certain of our officers and directors serve as an officer or director of CM Life Sciences II Inc. (Nasdaq: CMII) and CM Life Sciences III Inc., which are both blank check companies sponsored by an affiliate of Casdin Capital and Corvex Management.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“Item 10. Directors, Executive Officers and Corporate Governance.”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spacing w:after="0" w:line="342" w:lineRule="auto"/>
        <w:rPr>
          <w:sz w:val="20"/>
          <w:szCs w:val="20"/>
          <w:color w:val="auto"/>
        </w:rPr>
      </w:pPr>
      <w:r>
        <w:rPr>
          <w:rFonts w:ascii="Arial" w:cs="Arial" w:eastAsia="Arial" w:hAnsi="Arial"/>
          <w:sz w:val="16"/>
          <w:szCs w:val="16"/>
          <w:b w:val="1"/>
          <w:bCs w:val="1"/>
          <w:i w:val="1"/>
          <w:i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Following the completion of the Initial Public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(including, without limitation, CM Life Sciences II Inc. and CM Life Sciences III Inc.).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second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ventures (including, without limitation, CM Life Sciences II Inc. and CM Life Sciences III Inc.) may present additional conflicts of interest in pursuing an initial Business Combination. However, we do not believe that any such potential conflicts would materially affect our ability to complete our initial business combination.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“Item 10. Directors, Executive Officers and Corporate Governance — Conflicts of Interest.”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executive officers, directors, security holders and their respective affiliates may have competitive pecuniary interests that conflict with our interests.</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light of the involvement of our Sponsor, executive officers and directors with other entities, we may decide to acquire one or more businesses affiliated with our sponsor, executive officers, directors or existing holders. Our directors and officers also serve as officers and board members for other entities, including, without limitation, those described under “Item 10. Directors, Executive Officers and Corporate Governance — Conflicts of Interest.” Such entities may compete with us for Business Combination opportunities. We would pursue such a transaction if we determined that such affiliated entity met our criteria for a business combination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7"/>
          <w:szCs w:val="17"/>
          <w:b w:val="1"/>
          <w:bCs w:val="1"/>
          <w:i w:val="1"/>
          <w:iCs w:val="1"/>
          <w:color w:val="auto"/>
        </w:rPr>
        <w:t>Since our Sponsor, executive officers and directors will lose their entire investment in us if our initial Business Combination is not completed (other than with respect to public shares they may acquire during or after the Initial Public Offering), a conflict of interest may arise in determining whether a particular Business Combination target is appropriate for our initial Business Combination.</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16, 2020, our Sponsor paid $25,000, or approximately $0.002 per share, to cover certain of our offering costs in consideration of 10,062,500 Founder Shares.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 The Founder Shares will be worthless if we do not complete an initial Business Combination. In addition, our Sponsor and certain of our independent director nominees have purchases an aggregate of 7,236,667 warrants, each exercisable for one share of Class A Common Stock at $11.50 per share, for an aggregate purchase price of $10,855,000, or $1.50 per warrant, that will also be worthless if we do not complete our initial Business Combination.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the Initial Public Offering nears, which is the deadline for our completion of an initial Business Combination.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second amended and restated certificate of incorporation and Delaware law may have the effect of discouraging lawsuits against our directors and officers.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second amended and restated certificate of incorporation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second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2" w:lineRule="exact"/>
        <w:rPr>
          <w:sz w:val="20"/>
          <w:szCs w:val="20"/>
          <w:color w:val="auto"/>
        </w:rPr>
      </w:pPr>
    </w:p>
    <w:p>
      <w:pPr>
        <w:jc w:val="both"/>
        <w:ind w:firstLine="8"/>
        <w:spacing w:after="0" w:line="252" w:lineRule="auto"/>
        <w:tabs>
          <w:tab w:leader="none" w:pos="2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our second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Section 22 of the Securities Act, however, created concurrent jurisdiction for federal and state courts over all suits brought to enforce any duty or liability created by the Securities Act or the rules and regulations thereunder. Accordingly, there is uncertainty as to whether a court would enforce such provisions, and the enforceability of similar choice of forum provisions in other companies’ charter documents has been challenged in legal proceedings. While the Delaware courts have determined that such exclusive forum provisions are facially valid, a stockholder may nevertheless seek to bring a claim in a venue other than those designated in the exclusive forum provisions, and there can be no assurance that such provisions will be enforced by a court in those other jurisdictions. Any person or entity purchasing or otherwise acquiring any interest in our securities shall be deemed to have notice of and consented to these provisions; however, we note that investors cannot waive compliance with the federal securities laws and the rules and regulations thereunder.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Although we believe this provision benefits us by providing increased consistency in the application of Delaware law in the types of lawsuits to which it applies, the provision may limit our stockholders’ ability to obtain a favorable judicial forum for disputes with us and may have the effect of discouraging lawsuits against our directors and officers.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second amended and restated certificate of incorporation and Delaware law may inhibit a takeover of us, which could limit the price investors might be willing to pay for our shares of Class A Common Stock and could entrench management.</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second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officers and directors.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jc w:val="both"/>
        <w:ind w:firstLine="8"/>
        <w:spacing w:after="0" w:line="253" w:lineRule="auto"/>
        <w:tabs>
          <w:tab w:leader="none" w:pos="2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Post-Business Combination Company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4" w:name="page35"/>
    <w:bookmarkEnd w:id="34"/>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4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6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blank check company with no operating history and no revenues, and you have no basis on which to evaluate our ability to achieve our business objective.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blank check company incorporated under the laws of the State of Delaware with no operating results. Because we lack an operating history, you have no basis upon which to evaluate our ability to achieve our business objective of completing our initial Business Combination. We have entered into the Merger Agreement, but we may be unable to complete the proposed Sema4 Business Combination. If we fail to complete our initial Business Combination, we will never generate any operating revenues.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 w:name="page36"/>
    <w:bookmarkEnd w:id="35"/>
    <w:p>
      <w:pPr>
        <w:jc w:val="both"/>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 (2) our annual revenues equal or exceed $100 million during such completed fiscal year or the market value of</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common stock held by non-affiliates equals or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To the extent we take advantage of such reduced disclosure obligations, it may also make comparison of our financial statements with other public companies difficult or impossible.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2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We do not own any real estate or other physical properties material to our operation. We currently maintain our executive offices at 667 Madison Avenue,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New York, New York 10065. We consider our current office space adequate for our current operations.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or any of our officers or directors in their corporate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Units began trading on Nasdaq on September 2, 2020. Each Unit consists of one share of Class A Common Stock and one-third of one redeemable warrant to purchase one share of Class A Common Stock. On October 23, 2020, we announced that holders of the Units may elect to separately trade the Class A Common Stock and redeemable warrants included in the Units commencing on October 26, 2020. The Units not separated continue to trade on Nasdaq under the symbol “CMLFU.” Any underlying Class A Common Stock and redeemable warrants that were separated trade on Nasdaq under the symbols “CMLF” and “CMLFW,”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22, 2021, there was approximately 1 holder of record of our Units, approximately 1 holder of record of our separately traded Class A Common Stock, and approximately 4 holders of record of our redeemable warrants. The number of record holders was determined from the records of our transfer agent and does not include beneficial owners whose securities are held in the names of various security brokers, dealers, and registered clearing agencies.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dividends in the foreseeable future. Further, if we incur any indebtedness in connection with our initial Business Combination, our ability to declare dividends may be limited by restrictive covenants we may agree to in connection therewith.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graph has been omitted as permitted under rules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Offerings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16, 2020, our Sponsor paid an aggregate of $25,000, or approximately $0.002 per share, to cover certain expenses on behalf of the Company in exchange for issuance of 10,062,500 Founder Shares. In August 2020, our Sponsor transferred 25,000 Founder Shares to each of the following directors: Mr. Islam, Dr. Leproust and Mr. Turner. On September 1, 2020, we effected a 1:1.1 stock split of our Class B Common Stock, resulting in our Sponsor holding an aggregate of 10,993,750 Founder Shares and there being an aggregate of 11,068,750 Founder Shares outstanding. The Sponsor agreed to forfeit up to an aggregate of 1,443,750 Founder Shares, on a pro rata basis, to the extent that the option to purchase additional units is not exercised in full by the underwriters, so that the Founder Shares would represent 20% of the Company’s issued and outstanding shares after the Initial Public Offering. The underwriters fully exercised their over-allotment option on September 2, 2020; thus, those Founder Shares were no longer subject to forfeiture.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Sponsor and certain of our independent directors purchased an aggregate of 7,236,667 Private Placement Warrants, each exercisable to purchase one share of Class A Common Stock at $11.50 per share, at a price of $1.50 per warrant, generating gross proceeds of $10,855,000, in a private placement that closed substantially concurrently with the closing of the Initial Public Offering. This issuance was made pursuant to the exemption from registration contained in Section 4(a)(2)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4, 2020, the Company consummated its Initial Public Offering of 44,275,000 Units, including the issuance of 5,775,000 Over-Allotment Units, at $10.00 per Unit, generating gross proceeds of $442.75 million. Jefferies LLC acted as the underwriter for the Initial Public Offering. The securities sold in the Initial Public Offering were registered under the Securities Act on registration statements on Form S-1 (Nos. 333-246251 and 333-248541). The registration statements became effective on September 1, 2020.</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Substantially concurrently with the closing of the Initial Public Offering, the Company consummated the Private Placement of 7,236,667 Private Placement Warrants, at a price of $1.50 per Private Placement Warrant to the Sponsor, generating gross proceeds of approximately $10.86 million.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Initial Public Offering, we incurred offering costs of approximately $25.3 million (including deferred underwriting commissions of approximately $15.5 million). After deducting the underwriting discounts and commissions (excluding the deferred portion, which amount will be payable upon consummation of the initial Business Combination, if consummated) and the Initial Public Offering expenses, $442.75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Annual Report on Form 10-K.</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material change in the planned use of the proceeds from the Initial Public Offering and Private Placement as is described in the Company’s final prospectus related to the Initial Public Offering. For a description of the use of the proceeds generated from the Initial Public Offering, see “Item 1.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has been omitted as permitted under rules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References to the “Company,” “our,” “us” or “we” refer to CM Life Sciences, Inc. The following discussion and analysis of the Company’s financial condition and results of operations should be read in conjunction with the audited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and Risk Factor Summary,” “Item 1A. Risk Factors” and elsewhere in this Annual Report on Form 10-K, as well as those that will be set forth in our preliminary prospectus/proxy statement to be included in a Registration Statement on Form S-4 that we will file with the SEC relating to the proposed Sema4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blank check company incorporated on July 10, 2020 as a Delaware corporation and formed for the purpose of effecting a merger, capital stock exchange, asset acquisition, stock purchase, reorganization or similar Business Combination with one or more target businesses. We intend to effectuate our Business Combination using cash from the proceeds of our Initial Public Offering, the sale of the Private Placement Warrants that occurred simultaneously with the completion of our Initial Public Offering and the sale of the Forward Purchase Shares, shares issued to the owners of the target, debt issued to bank or other lenders or the owners of the target or others, or a combination of the foregoing.</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December 31, 2020 were organizational activities, the consummation of the Initial Public Offering, described below, and seeking to identify a target company for our initial Business Combination. We do not expect to generate any operating revenues until after the completion of our initial Business Combination. We generate non-operating income in the form of interest income on marketable securities held in the Trust Account. We will incur expenses as a result of being a public company (for legal, financial reporting, accounting and auditing compliance), as well as for due diligence expenses in connection with completing our initial Business Combination.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July 10, 2020 (inception) through December 31, 2020, we had a net loss of $192,244, which consists of operating costs of $206,195, offset by interest income on marketable securities held in the Trust Account of $13,951.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4, 2020, we consummated the Initial Public Offering of 44,275,000 Units, which included the full exercise by the underwriters of the over-allotment option to purchase an additional 5,775,000 Units, at $10.00 per Unit, generating gross proceeds of $442,750,000. Simultaneously with the closing of the Initial Public Offering, we consummated the sale of 7,236,667 Private Placement Warrants to our Sponsor at a price of $1.50 per warrant, generating gross proceeds of $10,855,000.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$442,750,000 was placed in the Trust Account. We incurred $24,895,463 in transaction costs, including $8,855,000 of underwriting fees, $15,496,250 of deferred underwriting fees and $544,213 of other offering costs.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period from July 10, 2020 (inception) through December 31, 2020, cash used in operating activities was $386,106. Net loss of $192,244 was affected by interest earned on marketable securities held in the Trust Account of $13,951 and changes in operating assets and liabilities, which used $179,911 of cash from operating activities.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we had cash and marketable securities held in the Trust Account of $442,763,951.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December 31, 2020, we did not withdraw any interest income from the Trust Account.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had $1,094,681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Sema4 Business Combination Announcement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“Sema4 Business Combination”). Specifically, the Company entered into the Merger Agreement with Sema4 and S-IV Sub, Inc., a Delaware corporation and a direct, wholly-owned subsidiary of the Company (“Merger Sub”). Pursuant to the terms of the Merger Agreement, CMLS will acquire Sema4 through the merger of Merger Sub with and into Sema4, with Sema4 surviving as a wholly-owned subsidiary of CMLS (the “Merger”)</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Sema4 Business Combination is expected to close in the second quarter of 2021, following the receipt of the required approval by CMLS’s stockholders and the satisfaction of certain other customary closing conditions.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87" w:lineRule="exact"/>
        <w:rPr>
          <w:sz w:val="20"/>
          <w:szCs w:val="20"/>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CMLS (the “Common Stock”) equal to the quotient of: (i) (A) the product of</w:t>
      </w:r>
    </w:p>
    <w:p>
      <w:pPr>
        <w:spacing w:after="0" w:line="46" w:lineRule="exact"/>
        <w:rPr>
          <w:rFonts w:ascii="Arial" w:cs="Arial" w:eastAsia="Arial" w:hAnsi="Arial"/>
          <w:sz w:val="16"/>
          <w:szCs w:val="16"/>
          <w:color w:val="auto"/>
        </w:rPr>
      </w:pPr>
    </w:p>
    <w:p>
      <w:pPr>
        <w:ind w:left="660" w:right="20" w:hanging="4"/>
        <w:spacing w:after="0" w:line="260" w:lineRule="auto"/>
        <w:tabs>
          <w:tab w:leader="none" w:pos="9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such stockholder’s total shares of Sema4 Capital Stock multiplied by (y) the per share amount calculated in accordance with the Merger Agreement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amount of cash payable to such stockholder pursuant to its cash election, if any, divided by (ii) $10.</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as described below.</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underwriters are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we entered into separate forward purchase agreements with affiliates of the Sponsor, Casdin and Corvex, in their capacities as investment advisors on behalf of one or more investment funds, clients or accounts managed by the Clients, pursuant to which, subject to the conditions described below, they will cause the Clients to purchase from us up to an aggregate amount of 15,000,000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at our discretion based on our needs for additional capital to consummate a Business Combination. Under each forward purchase agreement, we are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us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Class A common stock subject to possible redemption is presented as temporary equity, outside of the stockholders’ equity section of our balance sheet.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Initial Public Offering or until we are no longer an “emerging growth company,” whichever earlier.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2020, we were not subject to any market or interest rate risk. The net proceeds received into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appears following Item 15 of this Report and is included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Disclosure controls are procedures that are designed with the objective of ensuring that information required </w:t>
      </w:r>
      <w:r>
        <w:rPr>
          <w:rFonts w:ascii="Arial" w:cs="Arial" w:eastAsia="Arial" w:hAnsi="Arial"/>
          <w:sz w:val="17"/>
          <w:szCs w:val="17"/>
          <w:color w:val="auto"/>
        </w:rPr>
        <w:t>to be disclosed in our reports filed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effective.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current directors and executive officer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7180" w:type="dxa"/>
            <w:vAlign w:val="bottom"/>
          </w:tcPr>
          <w:p>
            <w:pPr>
              <w:spacing w:after="0"/>
              <w:rPr>
                <w:sz w:val="20"/>
                <w:szCs w:val="20"/>
                <w:color w:val="auto"/>
              </w:rPr>
            </w:pPr>
            <w:r>
              <w:rPr>
                <w:rFonts w:ascii="Arial" w:cs="Arial" w:eastAsia="Arial" w:hAnsi="Arial"/>
                <w:sz w:val="18"/>
                <w:szCs w:val="18"/>
                <w:b w:val="1"/>
                <w:bCs w:val="1"/>
                <w:color w:val="auto"/>
              </w:rPr>
              <w:t>Title</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Eli D. Casdin</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Borders>
              <w:top w:val="single" w:sz="8" w:color="CCEEFF"/>
            </w:tcBorders>
            <w:shd w:val="clear" w:color="auto" w:fill="CCEEFF"/>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Keith A. Meister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Chairman</w:t>
            </w: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Emes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Secretary</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Shaun Rodriguez</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Chief Strategy Officer</w:t>
            </w: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George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Munib Islam</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Emily Leproust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Nat Turner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Eli Casdin </w:t>
      </w:r>
      <w:r>
        <w:rPr>
          <w:rFonts w:ascii="Arial" w:cs="Arial" w:eastAsia="Arial" w:hAnsi="Arial"/>
          <w:sz w:val="16"/>
          <w:szCs w:val="16"/>
          <w:color w:val="auto"/>
        </w:rPr>
        <w:t>has been our Chief Executive Officer since July 2020. He founded Casdin Capital, LLC, an investment firm focused on the life sciences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industry, in November 2011 and currently serves as its Chief Investment Officer. Since December 2020 and January 2021, Mr. Casdin has also served as Chief Executive Officer and a director of CM Life Sciences II Inc. (Nasdaq: CMII) and CM Life Sciences III Inc., respectively, both blank check companies. Mr. Casdin previously served on the board of directors of Exact Sciences Corp. (Nasdaq: EXAS). Mr. Casdin holds a B.S. degree from Columbia University School of General Studies and an MBA from Columbia Business School. His qualifications to serve on our board of directors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Keith Meister </w:t>
      </w:r>
      <w:r>
        <w:rPr>
          <w:rFonts w:ascii="Arial" w:cs="Arial" w:eastAsia="Arial" w:hAnsi="Arial"/>
          <w:sz w:val="16"/>
          <w:szCs w:val="16"/>
          <w:color w:val="auto"/>
        </w:rPr>
        <w:t>has been Chairman of our board of directors since July 2020. He founded Corvex Management LP, a New York based investment manager,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December 2010 and since its inception has served as its Managing Partner and Chief Investment Officer. From 2003 to 2010, Mr. Meister served as Chief Executive Officer and then Principal Executive Officer and Vice Chairman of the Board of Icahn Enterprises L.P. (Nasdaq: IEP), the primary investment vehicle for Carl Icahn. Mr. Meister currently serves as Chairman of CM Life Sciences II Inc. (Nasdaq: CMII) and CM Life Sciences III Inc., since December 2020 and January 2021, respectively. Mr. Meister also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Brian Emes </w:t>
      </w:r>
      <w:r>
        <w:rPr>
          <w:rFonts w:ascii="Arial" w:cs="Arial" w:eastAsia="Arial" w:hAnsi="Arial"/>
          <w:sz w:val="17"/>
          <w:szCs w:val="17"/>
          <w:color w:val="auto"/>
        </w:rPr>
        <w:t>has been our Chief Financial Officer and Secretary since July 2020. Mr. Emes is also the Chief Financial Officer of Corvex Management LP,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York based investment manager, which he joined in January 2013. Since December 2020 and January 2021, Mr. Emes has also served as Chief Financial Officer of CM Life Sciences II Inc. (Nasdaq: CMII) and CM Life Sciences III Inc., respectively. Mr. Emes holds a B.S. degree in finance and marketing from Elon University’s Martha &amp; Spencer Love School of Business, and is a licensed certified public accountant.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Shaun Rodriguez </w:t>
      </w:r>
      <w:r>
        <w:rPr>
          <w:rFonts w:ascii="Arial" w:cs="Arial" w:eastAsia="Arial" w:hAnsi="Arial"/>
          <w:sz w:val="18"/>
          <w:szCs w:val="18"/>
          <w:color w:val="auto"/>
        </w:rPr>
        <w:t>has been our Chief Strategy Officer since July 2020. Mr. Rodriguez joined Casdin Capital, LLC, an investment firm focused on the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sciences and healthcare industry, in July 2015 as a Senior Research Analyst and currently serves as its Director of Life Science Research. His coverage universe at Casdin Capital, LLC focuses on life science tools, diagnostics, health technology and services, and industrial applications of biotechnology. Since December 2020 and January 2021, Mr. Rodriguez has also served as Chief Financial Officer of CM Life Sciences II Inc. (Nasdaq: CMII) and CM Life Sciences III Inc., respectively. From February 2011 to July 2015, Mr. Rodriguez served as Director and Senior Research Analyst in the healthcare equity research group of Cowen Inc. (Nasdaq: COWN), an investment bank and financial services company. Mr. Rodriguez holds a Ph.D. in biological sciences from Harvard University.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Sean George </w:t>
      </w:r>
      <w:r>
        <w:rPr>
          <w:rFonts w:ascii="Arial" w:cs="Arial" w:eastAsia="Arial" w:hAnsi="Arial"/>
          <w:sz w:val="18"/>
          <w:szCs w:val="18"/>
          <w:color w:val="auto"/>
        </w:rPr>
        <w:t>has served as a director since completion of the Initial Public Offering in September 2020. Dr. George has been Co-Founder,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Invitae Corporation (NYSE: NVTA) since January 2017 and a director since 2010. He also served as Invitae’s President and Chief Operating Officer from August 2012 to January 2017 and as Chief Executive from January 2010 to August 2012. Prior to Invitae, he served as COO at Navigenics, Inc. an early pioneer in personalized genetics from 2007 to November 2009. Before joining Navigenics, Dr. George served in a variety of product, operating and commercial roles at Affymetrix, Inc., Invitrogen Corporation and Molecular Probes, Inc. Dr. George holds a B.S. in Molecular Genetics from UCLA, an M.S. in Molecular Biology from UC Santa Barbara, and a Ph.D. in Molecular Genetics from UC Santa Cruz. His qualifications to serve on our board of directors include his extensive experience in the life sciences sector and his leadership experience guiding an early stage company from startup to market leader.</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Munib Islam </w:t>
      </w:r>
      <w:r>
        <w:rPr>
          <w:rFonts w:ascii="Arial" w:cs="Arial" w:eastAsia="Arial" w:hAnsi="Arial"/>
          <w:sz w:val="17"/>
          <w:szCs w:val="17"/>
          <w:color w:val="auto"/>
        </w:rPr>
        <w:t>has served as a director since completion of the Initial Public Offering in September 2020. Mr. Islam served as Co-Chief Investment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 Partner at Third Point LLC, an investment management firm, from July 2019 through 2020. Prior to becoming co-Chief Investment Officer, he served as Head of Equities at Third Point from 2011 to July 2019, where he spearheaded research on Third Point’s strategic block investments globally. From 2008 to 2011, Mr. Islam worked at Highbridge Capital, an investment management firm, where he was a Managing Director and Portfolio Manager of Highbridge’s European Value Equities fund. Mr. Islam previously served on the Board and Executive Selection and Audit Committees of Baxter International, Inc. (NYSE: BAX) from 2015 to 2019, and he currently sits on the Boards of the Stanford Business School Trust and the Brearley School in New York City. Mr. Islam holds a B.A. in Economics from Dartmouth College, where he graduated magna cum laude, and an MBA from the Graduate School of Business at Stanford University. His qualifications to serve on our board of directors include his significant experience in governance, evaluation of investment opportunities, capital allocation, investment management and financial research.</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Emily Leproust</w:t>
      </w:r>
      <w:r>
        <w:rPr>
          <w:rFonts w:ascii="Arial" w:cs="Arial" w:eastAsia="Arial" w:hAnsi="Arial"/>
          <w:sz w:val="18"/>
          <w:szCs w:val="18"/>
          <w:color w:val="auto"/>
        </w:rPr>
        <w:t>, has served as a director since completion of the Initial Public Offering in September 2020. Dr. Leproust has been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Twist Bioscience Corp. (Nasdaq: TWST) since co-founding Twist in 2013. Since October 2018, she has also served as Chair of the board of directors for Twist. Prior to Twist, Dr. Leproust served in various positions at Agilent Technologies, Inc. (NYSE: A), most recently as its Director, Applications and Chemistry R&amp;D from February 2009 to April 2013. Dr. Leproust holds a M.Sc. in Industrial Chemistry from the Lyon School of Industrial Chemistry and a Ph.D. in Organic Chemistry from the University of Houston. Her qualifications to serve on our board of directors include her extensive professional and educational experience in the life sciences industry.</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has served as a director since completion of the Initial Public Offering in September 2020. Mr. Turner has been the Co-Founder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Flatiron Health, Inc., a healthcare technology company focusing on accelerating oncology research and improving patient care acquired by Roche Holding AG, since June 2012. Previously, Mr. Turner co-founded and served as Chief Executive Officer of Invite Media, Inc., an advertising technology company, from March 2007 until it was acquired by Google Inc. (Nasdaq: GOOGL) in June 2010, after which he remained at Google until June 2012. Mr. Turner received a B.S., cum laude, in Economics with concentrations in entrepreneurship and marketing from The Wharton School of the University of Pennsylvania. His qualifications to serve on our board of directors include his significant experience in the life sciences industry, both as an executive and as an angel investor.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Terms of Office and Election of Officers and Director</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board of directors consists of six members divided into three classes with only one class of directors being elected in each year, and with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 directors, consisting of Dr. George and Dr. Leproust, will expire at our first annual meeting of stockholders. The term of office of the second class of directors, consisting of Mr. Islam and Mr. Turner, will expire at the second annual meeting of stockholders. The term of office of the third class of directors, consisting of Mr. Casdin and Mr. Meister, will expire at the third annual meeting of stockholders.</w:t>
      </w:r>
    </w:p>
    <w:p>
      <w:pPr>
        <w:spacing w:after="0" w:line="16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second amended and restated certificate of incorporation.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Each of our audit committee, compensation committee and nominating and corporate governance committee are composed solely of independent directors. Each committee operates under a charter that was approved by our board of directors and has the composition and responsibilities described below. We have filed a copy of each committee charter as an exhibit to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our audit committee are Dr. George, Mr. Islam and Dr. Leproust. Mr. Islam serves as chairman of the audit committee.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Islam qualifies as an “audit committee financial expert” as defined in applicable SEC rules and has accounting or related financial management expertise.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225" w:lineRule="exact"/>
        <w:rPr>
          <w:sz w:val="20"/>
          <w:szCs w:val="20"/>
          <w:color w:val="auto"/>
        </w:rPr>
      </w:pPr>
    </w:p>
    <w:p>
      <w:pPr>
        <w:jc w:val="both"/>
        <w:ind w:left="660" w:hanging="328"/>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independent registered public accounting firm have with us in order to evaluate their continued independence;</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8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registered public accounting firm,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with management, the independent,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our compensation committee are Mr. Islam, Dr. Leproust and Mr. Turner. Dr. Leproust serves as chair of the compensation committee.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225" w:lineRule="exact"/>
        <w:rPr>
          <w:sz w:val="20"/>
          <w:szCs w:val="20"/>
          <w:color w:val="auto"/>
        </w:rPr>
      </w:pPr>
    </w:p>
    <w:p>
      <w:pPr>
        <w:jc w:val="both"/>
        <w:ind w:left="660" w:right="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our nominating and corporate governance committee are Dr. George, Mr. Islam and Mr. Meister. Dr. George serves as chair of the nominating and corporate governance committee.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adopted a nominating and corporate governance committee charter, which details the principal functions of the nominating and corporate governance committee, including:</w:t>
      </w:r>
    </w:p>
    <w:p>
      <w:pPr>
        <w:spacing w:after="0" w:line="170" w:lineRule="exact"/>
        <w:rPr>
          <w:sz w:val="20"/>
          <w:szCs w:val="20"/>
          <w:color w:val="auto"/>
        </w:rPr>
      </w:pPr>
    </w:p>
    <w:p>
      <w:pPr>
        <w:ind w:left="660" w:right="2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8" w:name="page49"/>
    <w:bookmarkEnd w:id="48"/>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charter also provides that the nominating and corporate governance committee may, in its sole discretion, retain or obtain the advice of, and terminate, any search firm to be used to identify director candidates, and is directly responsible for approving the search firm’s fees and other retention terms.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 code of ethics and business conduct (our “Code of Ethics”) applicable to our directors, officers and employees. We have filed a copy of our Code of Ethics as an exhibit to this Annual Report. You are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Our second amended and restated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9" w:name="page50"/>
    <w:bookmarkEnd w:id="49"/>
    <w:p>
      <w:pPr>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contractual obligations to another entity (excluding non-profit and educational organizations with no connection to the life sciences sector):</w:t>
      </w:r>
    </w:p>
    <w:p>
      <w:pPr>
        <w:sectPr>
          <w:pgSz w:w="11900" w:h="16838" w:orient="portrait"/>
          <w:cols w:equalWidth="0" w:num="1">
            <w:col w:w="11240"/>
          </w:cols>
          <w:pgMar w:left="320" w:top="800"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Eli Casdin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Keith Meister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Brian Emes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Shaun Rodriguez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Sean George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Emily Leproust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10712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80" w:type="dxa"/>
            <w:vAlign w:val="bottom"/>
          </w:tcPr>
          <w:p>
            <w:pPr>
              <w:ind w:left="1040"/>
              <w:spacing w:after="0"/>
              <w:rPr>
                <w:sz w:val="20"/>
                <w:szCs w:val="20"/>
                <w:color w:val="auto"/>
              </w:rPr>
            </w:pPr>
            <w:r>
              <w:rPr>
                <w:rFonts w:ascii="Arial" w:cs="Arial" w:eastAsia="Arial" w:hAnsi="Arial"/>
                <w:sz w:val="18"/>
                <w:szCs w:val="18"/>
                <w:b w:val="1"/>
                <w:bCs w:val="1"/>
                <w:color w:val="auto"/>
              </w:rPr>
              <w:t>Entity</w:t>
            </w:r>
          </w:p>
        </w:tc>
        <w:tc>
          <w:tcPr>
            <w:tcW w:w="100" w:type="dxa"/>
            <w:vAlign w:val="bottom"/>
          </w:tcPr>
          <w:p>
            <w:pPr>
              <w:spacing w:after="0"/>
              <w:rPr>
                <w:sz w:val="20"/>
                <w:szCs w:val="20"/>
                <w:color w:val="auto"/>
              </w:rPr>
            </w:pPr>
          </w:p>
        </w:tc>
        <w:tc>
          <w:tcPr>
            <w:tcW w:w="2800" w:type="dxa"/>
            <w:vAlign w:val="bottom"/>
            <w:gridSpan w:val="2"/>
          </w:tcPr>
          <w:p>
            <w:pPr>
              <w:ind w:left="680"/>
              <w:spacing w:after="0"/>
              <w:rPr>
                <w:sz w:val="20"/>
                <w:szCs w:val="20"/>
                <w:color w:val="auto"/>
              </w:rPr>
            </w:pPr>
            <w:r>
              <w:rPr>
                <w:rFonts w:ascii="Arial" w:cs="Arial" w:eastAsia="Arial" w:hAnsi="Arial"/>
                <w:sz w:val="18"/>
                <w:szCs w:val="18"/>
                <w:b w:val="1"/>
                <w:bCs w:val="1"/>
                <w:color w:val="auto"/>
              </w:rPr>
              <w:t>Entity’s Business</w:t>
            </w:r>
          </w:p>
        </w:tc>
        <w:tc>
          <w:tcPr>
            <w:tcW w:w="4260" w:type="dxa"/>
            <w:vAlign w:val="bottom"/>
          </w:tcPr>
          <w:p>
            <w:pPr>
              <w:ind w:left="1740"/>
              <w:spacing w:after="0"/>
              <w:rPr>
                <w:sz w:val="20"/>
                <w:szCs w:val="20"/>
                <w:color w:val="auto"/>
              </w:rPr>
            </w:pPr>
            <w:r>
              <w:rPr>
                <w:rFonts w:ascii="Arial" w:cs="Arial" w:eastAsia="Arial" w:hAnsi="Arial"/>
                <w:sz w:val="18"/>
                <w:szCs w:val="18"/>
                <w:b w:val="1"/>
                <w:bCs w:val="1"/>
                <w:color w:val="auto"/>
              </w:rPr>
              <w:t>Affiliation</w:t>
            </w:r>
          </w:p>
        </w:tc>
      </w:tr>
      <w:tr>
        <w:trPr>
          <w:trHeight w:val="202"/>
        </w:trPr>
        <w:tc>
          <w:tcPr>
            <w:tcW w:w="20" w:type="dxa"/>
            <w:vAlign w:val="bottom"/>
          </w:tcPr>
          <w:p>
            <w:pPr>
              <w:spacing w:after="0"/>
              <w:rPr>
                <w:sz w:val="17"/>
                <w:szCs w:val="17"/>
                <w:color w:val="auto"/>
              </w:rPr>
            </w:pPr>
          </w:p>
        </w:tc>
        <w:tc>
          <w:tcPr>
            <w:tcW w:w="2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AbSci</w:t>
            </w:r>
          </w:p>
        </w:tc>
        <w:tc>
          <w:tcPr>
            <w:tcW w:w="100" w:type="dxa"/>
            <w:vAlign w:val="bottom"/>
          </w:tcPr>
          <w:p>
            <w:pPr>
              <w:spacing w:after="0"/>
              <w:rPr>
                <w:sz w:val="17"/>
                <w:szCs w:val="17"/>
                <w:color w:val="auto"/>
              </w:rPr>
            </w:pPr>
          </w:p>
        </w:tc>
        <w:tc>
          <w:tcPr>
            <w:tcW w:w="2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Biotechnology</w:t>
            </w:r>
          </w:p>
        </w:tc>
        <w:tc>
          <w:tcPr>
            <w:tcW w:w="120" w:type="dxa"/>
            <w:vAlign w:val="bottom"/>
          </w:tcPr>
          <w:p>
            <w:pPr>
              <w:spacing w:after="0"/>
              <w:rPr>
                <w:sz w:val="17"/>
                <w:szCs w:val="17"/>
                <w:color w:val="auto"/>
              </w:rPr>
            </w:pPr>
          </w:p>
        </w:tc>
        <w:tc>
          <w:tcPr>
            <w:tcW w:w="4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C2i Genomics</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2600" w:type="dxa"/>
            <w:vAlign w:val="bottom"/>
            <w:gridSpan w:val="2"/>
          </w:tcPr>
          <w:p>
            <w:pPr>
              <w:spacing w:after="0" w:line="256" w:lineRule="exact"/>
              <w:rPr>
                <w:sz w:val="20"/>
                <w:szCs w:val="20"/>
                <w:color w:val="auto"/>
              </w:rPr>
            </w:pPr>
            <w:r>
              <w:rPr>
                <w:rFonts w:ascii="Arial" w:cs="Arial" w:eastAsia="Arial" w:hAnsi="Arial"/>
                <w:sz w:val="18"/>
                <w:szCs w:val="18"/>
                <w:color w:val="auto"/>
              </w:rPr>
              <w:t>Casdin Capital, LLC</w:t>
            </w:r>
            <w:r>
              <w:rPr>
                <w:rFonts w:ascii="Arial" w:cs="Arial" w:eastAsia="Arial" w:hAnsi="Arial"/>
                <w:sz w:val="29"/>
                <w:szCs w:val="29"/>
                <w:color w:val="auto"/>
                <w:vertAlign w:val="superscript"/>
              </w:rPr>
              <w:t>(1)</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4260" w:type="dxa"/>
            <w:vAlign w:val="bottom"/>
          </w:tcPr>
          <w:p>
            <w:pPr>
              <w:spacing w:after="0"/>
              <w:rPr>
                <w:sz w:val="20"/>
                <w:szCs w:val="20"/>
                <w:color w:val="auto"/>
              </w:rPr>
            </w:pPr>
            <w:r>
              <w:rPr>
                <w:rFonts w:ascii="Arial" w:cs="Arial" w:eastAsia="Arial" w:hAnsi="Arial"/>
                <w:sz w:val="18"/>
                <w:szCs w:val="18"/>
                <w:color w:val="auto"/>
              </w:rPr>
              <w:t>Chief Investment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Cedilla Therapeutics,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CM Life Sciences II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42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CM Life Sciences III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42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DNA Script</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EQRx,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GeneMatters, LLC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Genomatica,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New York Genome Center</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Prominex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Sexton Biotechnologies</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Somalogic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Tenaya Therapeutics,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Verana Health</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Vineti</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458"/>
        </w:trPr>
        <w:tc>
          <w:tcPr>
            <w:tcW w:w="2600" w:type="dxa"/>
            <w:vAlign w:val="bottom"/>
            <w:gridSpan w:val="2"/>
          </w:tcPr>
          <w:p>
            <w:pPr>
              <w:spacing w:after="0"/>
              <w:rPr>
                <w:sz w:val="20"/>
                <w:szCs w:val="20"/>
                <w:color w:val="auto"/>
              </w:rPr>
            </w:pPr>
            <w:r>
              <w:rPr>
                <w:rFonts w:ascii="Arial" w:cs="Arial" w:eastAsia="Arial" w:hAnsi="Arial"/>
                <w:sz w:val="18"/>
                <w:szCs w:val="18"/>
                <w:color w:val="auto"/>
              </w:rPr>
              <w:t>Corvex Management LP</w:t>
            </w:r>
            <w:r>
              <w:rPr>
                <w:rFonts w:ascii="Arial" w:cs="Arial" w:eastAsia="Arial" w:hAnsi="Arial"/>
                <w:sz w:val="29"/>
                <w:szCs w:val="29"/>
                <w:color w:val="auto"/>
                <w:vertAlign w:val="superscript"/>
              </w:rPr>
              <w:t>(1)</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4260" w:type="dxa"/>
            <w:vAlign w:val="bottom"/>
          </w:tcPr>
          <w:p>
            <w:pPr>
              <w:spacing w:after="0"/>
              <w:rPr>
                <w:sz w:val="20"/>
                <w:szCs w:val="20"/>
                <w:color w:val="auto"/>
              </w:rPr>
            </w:pPr>
            <w:r>
              <w:rPr>
                <w:rFonts w:ascii="Arial" w:cs="Arial" w:eastAsia="Arial" w:hAnsi="Arial"/>
                <w:sz w:val="18"/>
                <w:szCs w:val="18"/>
                <w:color w:val="auto"/>
              </w:rPr>
              <w:t>Managing Partner and Chief Investment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CM Life Sciences II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4260" w:type="dxa"/>
            <w:vAlign w:val="bottom"/>
          </w:tcPr>
          <w:p>
            <w:pPr>
              <w:spacing w:after="0"/>
              <w:rPr>
                <w:sz w:val="20"/>
                <w:szCs w:val="20"/>
                <w:color w:val="auto"/>
              </w:rPr>
            </w:pPr>
            <w:r>
              <w:rPr>
                <w:rFonts w:ascii="Arial" w:cs="Arial" w:eastAsia="Arial" w:hAnsi="Arial"/>
                <w:sz w:val="18"/>
                <w:szCs w:val="18"/>
                <w:color w:val="auto"/>
              </w:rPr>
              <w:t>Chairman</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CM Life Sciences III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4260" w:type="dxa"/>
            <w:vAlign w:val="bottom"/>
          </w:tcPr>
          <w:p>
            <w:pPr>
              <w:spacing w:after="0"/>
              <w:rPr>
                <w:sz w:val="20"/>
                <w:szCs w:val="20"/>
                <w:color w:val="auto"/>
              </w:rPr>
            </w:pPr>
            <w:r>
              <w:rPr>
                <w:rFonts w:ascii="Arial" w:cs="Arial" w:eastAsia="Arial" w:hAnsi="Arial"/>
                <w:sz w:val="18"/>
                <w:szCs w:val="18"/>
                <w:color w:val="auto"/>
              </w:rPr>
              <w:t>Chairman</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MGM Resorts International</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Hospitality and entertainment</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Roar Digital, LLC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Sports betting and online gaming</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458"/>
        </w:trPr>
        <w:tc>
          <w:tcPr>
            <w:tcW w:w="2600" w:type="dxa"/>
            <w:vAlign w:val="bottom"/>
            <w:gridSpan w:val="2"/>
          </w:tcPr>
          <w:p>
            <w:pPr>
              <w:spacing w:after="0"/>
              <w:rPr>
                <w:sz w:val="20"/>
                <w:szCs w:val="20"/>
                <w:color w:val="auto"/>
              </w:rPr>
            </w:pPr>
            <w:r>
              <w:rPr>
                <w:rFonts w:ascii="Arial" w:cs="Arial" w:eastAsia="Arial" w:hAnsi="Arial"/>
                <w:sz w:val="18"/>
                <w:szCs w:val="18"/>
                <w:color w:val="auto"/>
              </w:rPr>
              <w:t>Corvex Management LP</w:t>
            </w:r>
            <w:r>
              <w:rPr>
                <w:rFonts w:ascii="Arial" w:cs="Arial" w:eastAsia="Arial" w:hAnsi="Arial"/>
                <w:sz w:val="29"/>
                <w:szCs w:val="29"/>
                <w:color w:val="auto"/>
                <w:vertAlign w:val="superscript"/>
              </w:rPr>
              <w:t>(1)</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4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CM Life Sciences II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426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CM Life Sciences III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426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r>
        <w:trPr>
          <w:trHeight w:val="418"/>
        </w:trPr>
        <w:tc>
          <w:tcPr>
            <w:tcW w:w="2600" w:type="dxa"/>
            <w:vAlign w:val="bottom"/>
            <w:gridSpan w:val="2"/>
          </w:tcPr>
          <w:p>
            <w:pPr>
              <w:spacing w:after="0"/>
              <w:rPr>
                <w:sz w:val="20"/>
                <w:szCs w:val="20"/>
                <w:color w:val="auto"/>
              </w:rPr>
            </w:pPr>
            <w:r>
              <w:rPr>
                <w:rFonts w:ascii="Arial" w:cs="Arial" w:eastAsia="Arial" w:hAnsi="Arial"/>
                <w:sz w:val="18"/>
                <w:szCs w:val="18"/>
                <w:color w:val="auto"/>
              </w:rPr>
              <w:t>C2i Genomics</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2600" w:type="dxa"/>
            <w:vAlign w:val="bottom"/>
            <w:gridSpan w:val="2"/>
          </w:tcPr>
          <w:p>
            <w:pPr>
              <w:spacing w:after="0" w:line="256" w:lineRule="exact"/>
              <w:rPr>
                <w:sz w:val="20"/>
                <w:szCs w:val="20"/>
                <w:color w:val="auto"/>
              </w:rPr>
            </w:pPr>
            <w:r>
              <w:rPr>
                <w:rFonts w:ascii="Arial" w:cs="Arial" w:eastAsia="Arial" w:hAnsi="Arial"/>
                <w:sz w:val="18"/>
                <w:szCs w:val="18"/>
                <w:color w:val="auto"/>
              </w:rPr>
              <w:t>Casdin Capital, LLC</w:t>
            </w:r>
            <w:r>
              <w:rPr>
                <w:rFonts w:ascii="Arial" w:cs="Arial" w:eastAsia="Arial" w:hAnsi="Arial"/>
                <w:sz w:val="29"/>
                <w:szCs w:val="29"/>
                <w:color w:val="auto"/>
                <w:vertAlign w:val="superscript"/>
              </w:rPr>
              <w:t>(1)</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4260" w:type="dxa"/>
            <w:vAlign w:val="bottom"/>
          </w:tcPr>
          <w:p>
            <w:pPr>
              <w:spacing w:after="0"/>
              <w:rPr>
                <w:sz w:val="20"/>
                <w:szCs w:val="20"/>
                <w:color w:val="auto"/>
              </w:rPr>
            </w:pPr>
            <w:r>
              <w:rPr>
                <w:rFonts w:ascii="Arial" w:cs="Arial" w:eastAsia="Arial" w:hAnsi="Arial"/>
                <w:sz w:val="18"/>
                <w:szCs w:val="18"/>
                <w:color w:val="auto"/>
              </w:rPr>
              <w:t>Director of Life Science Research</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CM Life Sciences II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4260" w:type="dxa"/>
            <w:vAlign w:val="bottom"/>
          </w:tcPr>
          <w:p>
            <w:pPr>
              <w:spacing w:after="0"/>
              <w:rPr>
                <w:sz w:val="20"/>
                <w:szCs w:val="20"/>
                <w:color w:val="auto"/>
              </w:rPr>
            </w:pPr>
            <w:r>
              <w:rPr>
                <w:rFonts w:ascii="Arial" w:cs="Arial" w:eastAsia="Arial" w:hAnsi="Arial"/>
                <w:sz w:val="18"/>
                <w:szCs w:val="18"/>
                <w:color w:val="auto"/>
              </w:rPr>
              <w:t>Chief Strategy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CM Life Sciences III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4260" w:type="dxa"/>
            <w:vAlign w:val="bottom"/>
          </w:tcPr>
          <w:p>
            <w:pPr>
              <w:spacing w:after="0"/>
              <w:rPr>
                <w:sz w:val="20"/>
                <w:szCs w:val="20"/>
                <w:color w:val="auto"/>
              </w:rPr>
            </w:pPr>
            <w:r>
              <w:rPr>
                <w:rFonts w:ascii="Arial" w:cs="Arial" w:eastAsia="Arial" w:hAnsi="Arial"/>
                <w:sz w:val="18"/>
                <w:szCs w:val="18"/>
                <w:color w:val="auto"/>
              </w:rPr>
              <w:t>Chief Strategy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GeneMatters, LLC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Invetx</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Ivexsol</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Prominex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Invitae Corporation</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Twist Bioscience Corp.</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w w:val="93"/>
              </w:rPr>
              <w:t>President, Chief Executive Officer and Chair of the Board</w:t>
            </w:r>
          </w:p>
        </w:tc>
      </w:tr>
      <w:tr>
        <w:trPr>
          <w:trHeight w:val="418"/>
        </w:trPr>
        <w:tc>
          <w:tcPr>
            <w:tcW w:w="2600" w:type="dxa"/>
            <w:vAlign w:val="bottom"/>
            <w:gridSpan w:val="2"/>
          </w:tcPr>
          <w:p>
            <w:pPr>
              <w:spacing w:after="0"/>
              <w:rPr>
                <w:sz w:val="20"/>
                <w:szCs w:val="20"/>
                <w:color w:val="auto"/>
              </w:rPr>
            </w:pPr>
            <w:r>
              <w:rPr>
                <w:rFonts w:ascii="Arial" w:cs="Arial" w:eastAsia="Arial" w:hAnsi="Arial"/>
                <w:sz w:val="18"/>
                <w:szCs w:val="18"/>
                <w:color w:val="auto"/>
              </w:rPr>
              <w:t>Flatiron Health,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Clover Health,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Zenreach, Inc.</w:t>
            </w:r>
          </w:p>
        </w:tc>
        <w:tc>
          <w:tcPr>
            <w:tcW w:w="29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-6299835</wp:posOffset>
            </wp:positionV>
            <wp:extent cx="7132320" cy="63004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6300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60" w:space="220"/>
            <w:col w:w="9760"/>
          </w:cols>
          <w:pgMar w:left="320" w:top="800" w:right="339" w:bottom="1440" w:gutter="0" w:footer="0" w:header="0"/>
          <w:type w:val="continuous"/>
        </w:sectPr>
      </w:pPr>
    </w:p>
    <w:p>
      <w:pPr>
        <w:spacing w:after="0" w:line="150" w:lineRule="exact"/>
        <w:rPr>
          <w:sz w:val="20"/>
          <w:szCs w:val="20"/>
          <w:color w:val="auto"/>
        </w:rPr>
      </w:pPr>
    </w:p>
    <w:p>
      <w:pPr>
        <w:ind w:left="5540" w:right="1960" w:hanging="5532"/>
        <w:spacing w:after="0" w:line="653" w:lineRule="auto"/>
        <w:tabs>
          <w:tab w:leader="none" w:pos="3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Including with respect to one or more investment funds, clients or accounts for which such entity acts as investment advisor.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87" w:lineRule="exact"/>
        <w:rPr>
          <w:rFonts w:ascii="Arial" w:cs="Arial" w:eastAsia="Arial" w:hAnsi="Arial"/>
          <w:sz w:val="18"/>
          <w:szCs w:val="18"/>
          <w:color w:val="auto"/>
        </w:rPr>
      </w:pPr>
    </w:p>
    <w:p>
      <w:pPr>
        <w:jc w:val="both"/>
        <w:ind w:left="660" w:hanging="328"/>
        <w:spacing w:after="0" w:line="267"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initial stockholders purchased Founder Shares prior to the Initial Public Offering and will purchase Private Placement Warrants in a transaction that will close simultaneously with the closing of the Initial Public Offering. Our initial stockholders have entered into agreements with us, pursuant to which they have agreed to waive their redemption rights with respect to their Founder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or after the Initial Public Offering. Additionally, our initial stockholders have agreed to waive their rights to liquidating distributions from the Trust Account with respect to their Founder Shares if we fail to complete our initial Business Combination within the prescribed time frame or during any Extension Period. If we do not complete our initial Business Combination within the prescribed time frame, the Private Placement Warrants will expire worthless. Furthermore, our initial stockholders have agreed not to transfer, assign or sell any of their Founder Shares until the earlier to occur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the lockup. Subject to certain limited exceptions, the Private Placement Warrants will not be transferable until 30 days following the completion of our initial Business Combination. Because each of our executive officers and director nominees will own common stock or warrants directly or indirectly, they may have a conflict of interest in determining whether a particular target business is an appropriate business with which to effectuate our initial Business Combination.</w:t>
      </w:r>
    </w:p>
    <w:p>
      <w:pPr>
        <w:spacing w:after="0" w:line="189"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our Sponsor transferred 25,000 Founder Shares to each of Mr. Islam, Dr. Leproust and Mr. Turner. None of our executive officers or directors have received any cash compensation for services rendered to us.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available to us at March 29, 2021 with respect to our common stock held by:</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is based on 44,275,000 shares of Class A Common Stock and 11,068,750 shares of Class B Common Stock outstanding as of March 29, 2021. 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are not exercisable within 60 days of March 29, 2021.</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Common</w:t>
            </w:r>
          </w:p>
        </w:tc>
      </w:tr>
      <w:tr>
        <w:trPr>
          <w:trHeight w:val="241"/>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Address of Beneficial Owner (1)</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Owned (2)</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0"/>
                <w:szCs w:val="20"/>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CMLS Holdings, LLC (our Sponsor) (3)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10,993,750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Eli Casdin (3)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10,993,750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Meister (3)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10,993,750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Brian Emes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Shaun Rodriguez</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Sean George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Munib Islam</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Emily Leproust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 Turner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Sachem Head Capital Management LP (4)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3,465,000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Magnetar Financial LLC (5)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2,898,231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BlueCrest Capital Management Limited (6)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Millennium Management LLC (7)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2,467,288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All directors, officers and director nominees as a group (8 individuals)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11,068,750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0712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1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0"/>
          <w:szCs w:val="20"/>
          <w:color w:val="auto"/>
        </w:rPr>
      </w:pPr>
    </w:p>
    <w:p>
      <w:pPr>
        <w:ind w:left="340" w:hanging="332"/>
        <w:spacing w:after="0" w:line="258"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Corvex Management LP, 667 Madison Avenue, New York, New York 10065.</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Interests shown consist of shares of Class A Common Stock and shares of Class B Common Stock. The Class B Common Stock will automatically convert into Class A Common Stock concurrently with or immediately following the consummation of our initial Business Combination on a one-for-one basis, subject to adjustment, as described in the section entitled “Description of Securities” in our prospectus filed with the SEC pursuant to Rule 424(b)(4) (File No. 333-246251). Excludes Class A Common Stock issuable pursuant to the forward purchase agreements, as such shares will only be issued concurrently with the closing of our initial Business Combination.</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B Common Stock held directly by CMLS Holdings LLC. Each of C-LSH LLC, M-LSH LLC and Messrs. Casdin and Meister disclaims beneficial ownership of these shares except to the extent of its or his respective pecuniary interest therein.</w:t>
      </w:r>
    </w:p>
    <w:p>
      <w:pPr>
        <w:spacing w:after="0" w:line="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According to a Schedule 13G filed with the SEC on September 11, 2020, each of Sachem Head Capital Management LP, Uncas GP LLC, Sachem Head GP LLC and Scott D. Ferguson has shared voting and dispositive power with regard to 3,465,000 shares of Class A Common Stock of the Company. The business address for each is 250 West 55th Street, 34th Floor, New York, New York 10019.</w:t>
      </w:r>
    </w:p>
    <w:p>
      <w:pPr>
        <w:spacing w:after="0" w:line="1" w:lineRule="exact"/>
        <w:rPr>
          <w:rFonts w:ascii="Arial" w:cs="Arial" w:eastAsia="Arial" w:hAnsi="Arial"/>
          <w:sz w:val="18"/>
          <w:szCs w:val="18"/>
          <w:color w:val="auto"/>
        </w:rPr>
      </w:pPr>
    </w:p>
    <w:p>
      <w:pPr>
        <w:jc w:val="both"/>
        <w:ind w:left="340" w:hanging="332"/>
        <w:spacing w:after="0" w:line="22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According to a Schedule 13G filed with the SEC on February 12, 2021, each of Magnetar Financial LLC, Magnetar Capital Partners LP, Supernova Management LLC and Alec N. Litowitz shares voting and dispositive power with regard to 2,898,231 shares of Class A Common Stock of the Company. The business address for each is 1603 Orrington Avenue,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Evanston, IL 60201.</w:t>
      </w:r>
    </w:p>
    <w:p>
      <w:pPr>
        <w:spacing w:after="0" w:line="1" w:lineRule="exact"/>
        <w:rPr>
          <w:rFonts w:ascii="Arial" w:cs="Arial" w:eastAsia="Arial" w:hAnsi="Arial"/>
          <w:sz w:val="18"/>
          <w:szCs w:val="18"/>
          <w:color w:val="auto"/>
        </w:rPr>
      </w:pPr>
    </w:p>
    <w:p>
      <w:pPr>
        <w:jc w:val="both"/>
        <w:ind w:left="340" w:hanging="332"/>
        <w:spacing w:after="0" w:line="24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According to a Schedule 13G filed with the SEC on September 11, 2020, each of BlueCrest Management Limited and Michael Platt share voting and dispositive power with regard to 2,500,000 shares of Class A Common Stock of the Company. The business address for each is Ground Floor, Harbour Reach, La Rue de Carteret, St. Helier, Jersey, Channel Islands, JE2 4HR.</w:t>
      </w:r>
    </w:p>
    <w:p>
      <w:pPr>
        <w:spacing w:after="0" w:line="2"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According to Amendment No. 1 to Schedule 13G filed with the SEC on January 19, 2021, each of Millennium Management LLC, Millennium Group Management LLC and Israel A. Englander share voting and dispositive power with regard to 2,632,318 shares of Class A Common Stock of the Company. The business address for each is 666 Fifth Avenue, New York, New York 10103.</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jc w:val="both"/>
        <w:spacing w:after="0" w:line="311" w:lineRule="auto"/>
        <w:rPr>
          <w:sz w:val="20"/>
          <w:szCs w:val="20"/>
          <w:color w:val="auto"/>
        </w:rPr>
      </w:pPr>
      <w:r>
        <w:rPr>
          <w:rFonts w:ascii="Arial" w:cs="Arial" w:eastAsia="Arial" w:hAnsi="Arial"/>
          <w:sz w:val="16"/>
          <w:szCs w:val="16"/>
          <w:color w:val="auto"/>
        </w:rPr>
        <w:t>Our initial stockholders beneficially own approximately 20% of the issued and outstanding common stock. Because of this ownership block, our initial stockholders may be able to effectively influence the outcome of all other matters requiring approval by our stockholders, including amendments to our second amended and restated certificate of incorporation and approval of significant corporate transactions including our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have no compensation plans under which equity securities are authorized for issuance.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16, 2020, our Sponsor paid $25,000, or approximately $0.002 per share, to cover certain expenses on our behalf in consideration of 10,062,500 Founder Shares.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 The Sponsor agreed to forfeit up to an aggregate of 1,443,750 Founder Shares to the extent that the option to purchase additional units was not exercised in full by the underwriters, so that the Founder Shares would represent 20% of the Company’s issued and outstanding shares after the Initial Public Offering. The underwriters fully exercised their over-allotment option on September 2, 2020; thus, those Founder Shares were no longer subject to forfeiture.</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initial stockholders have agreed not to transfer, assign or sell any of their Founder Shares until the earlier to occur of: (A) one year after the completion of our initial Business Combination and (B) subsequent to our initial Business Combination, (x)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 (y) the date on which we complete a liquidation, merger, capital stock exchange, or other similar transaction that results in all of our Public Stockholders having the right to exchange their common stock for cash, securities or other property (except to certain permitted transferees). Any permitted transferees will be subject to the same restrictions and other agreements of our Sponsor, directors and our management team with respect to any Founder Shares, Private Placement Warrants and shares of Class A Common Stock issued upon conversion or exercise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Substantially concurrently with the closing of the Initial Public Offering, the Company consummated the Private Placement of 7,236,667 Private Placement Warrants, at a price of $1.50 per Private Placement Warrant with the Sponsor, generating gross proceeds of $10,855,000. Our Sponsor purchased 6,903,335 Private Placement Warrants and each of Mr. Islam and Dr. Leproust purchased 166,666 Private Placement Warrants.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Private Placement Warrant is exercisable for one share of Class A Common Stock at a price of $11.50 per share. 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except under limited circumstances, so long as they are held by the Sponsor or its permitted transferees.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Sponsor and the Company’s officers and directors agreed, subject to limited exceptions, not to transfer, assign or sell any of their Private Placement Warrants (including the Class A Common Stock issuance upon the exercise of the warrants) until 30 days after the completion of the initial Business Combination. The Private Placement Warrants will be non-redeemable (except as described in Exhibit 4.5 to this Annual Report under the heading “Redemption of warrants when the price per share of Class A Common Stock equals or exceeds $10.00”) and exercisable on a cashless basis so long as they are held by their initial purchasers or their permitted transferees. If the Private Placement Warrants are held by holders other than their initial purchasers or their permitted transferees, the Private Placement Warrants will be redeemable by us and exercisable by the holders on the same basis as the warrants included in the units being sold in the Initial Public Offering.</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do not complete an Initial Business Combination within 24 months from the closing of the Initial Public Offering or during any Extension Period, the proceeds of the sale of the Private Placement Warrants will be used to fund the redemption of our Public Shares, subject to the requirements of applicable law, and the Private Placement Warrants will expire worthless.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holders of the Founder Shares, Private Placement Warrants, any warrants that may be issued upon conversion of Working Capital Loans (and any Class A Common Stock issuable upon the exercise of the Private Placement Warrants or warrants issued upon conversion of the Working Capital Loans and upon conversion of the Founder Shares) and any Forward Purchase Shares that may be issued in a private placement concurrently with the initial Business Combination are entitled to registration rights pursuant to a registration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Notes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16, 2020, the Sponsor agreed to loan the Company up to $300,000 to be used for the payment of costs related to the Initial Public Offering pursuant to a promissory note (the “Pre-IPO Note”). The Pre-IPO Note was non-interest bearing, unsecured and due upon the closing of the Initial Public Offering. The Company borrowed approximately $165,081 under the Pre-IPO Note. The Company repaid the Note in full as of September 4, 2020.</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in order to finance transaction costs in connection with an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To date, the Company had no borrowings under the Working Capital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Purchase Agreements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including whether the investment complies with any guidelines, restrictions or conflicts of interest provisions applicable to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the Initial Public Offering, except that they will not be transferable, assignable or salable until 30 days after the completion of our initial Business Combination, except under limited circumstances to certain permitted transferees, and will be subject to registration rights.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Sponsor Support Agreement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2021, we entered into a Forfeiture Agreement with Sema4 and the Sponsor, whereby the Sponsor has agreed, subject to certain limitations and in accordance with the terms of the Forfeiture Agreement, to forfeit up to 33% of its (i) warrants for Class A Common Stock and (ii) shares of our Class B Common Stock, such actual amount tied to the actual exercise of redemption rights of our stockholders in connection with the Business Combination, as more fully described in the Forfeiture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Nasdaq listing standards require that a majority of our board of directors be independent within one year of the Initial Public Offering. Our board of directors has determined that Dr. George, Mr. Islam, Dr. Leproust, and Mr. Turner are “independent directors” as defined in Nasdaq listing standards and applicable SEC rules and Mr. Meister is an “independent director” as defined in Nasdaq listing standards. Our independent directors will have regularly scheduled meetings at which only independent directors are present.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firm of WithumSmith+Brown, PC, or Withum, acts as our independent registered public accounting firm. The following is a summary of fees paid to Withum for services rendered.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For the period from July 10, 2020 (inception) through December 31, 2020, fees for our independent registered public accounting firm were</w:t>
      </w:r>
      <w:r>
        <w:rPr>
          <w:rFonts w:ascii="Arial" w:cs="Arial" w:eastAsia="Arial" w:hAnsi="Arial"/>
          <w:sz w:val="18"/>
          <w:szCs w:val="18"/>
          <w:i w:val="1"/>
          <w:iCs w:val="1"/>
          <w:color w:val="auto"/>
        </w:rPr>
        <w:t xml:space="preserve"> </w:t>
      </w:r>
      <w:r>
        <w:rPr>
          <w:rFonts w:ascii="Arial" w:cs="Arial" w:eastAsia="Arial" w:hAnsi="Arial"/>
          <w:sz w:val="18"/>
          <w:szCs w:val="18"/>
          <w:color w:val="auto"/>
        </w:rPr>
        <w:t>$80,855 for the services Withum performed in connection with our Initial Public Offering, review of interim financial statements and the audit of our December 31, 2020 financial statements included in this Annual Report on Form 10-K.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For the period from July 10, 2020 (inception) through December 31, 2020, our independent registered public accounting firm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render any audit related services.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For the period from July 10, 2020 (inception) through December 31, 2020, our independent registered public accounting firm did not render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us for tax compliance, tax advice and tax planning.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For the period from July 10, 2020 (inception) through December 31, 2020, there were no fees billed for products and services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independent registered public accounting firm other than those set forth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2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0240" w:type="dxa"/>
            <w:vAlign w:val="bottom"/>
            <w:gridSpan w:val="7"/>
            <w:shd w:val="clear" w:color="auto" w:fill="CCEEFF"/>
          </w:tcPr>
          <w:p>
            <w:pPr>
              <w:spacing w:after="0" w:line="142" w:lineRule="exact"/>
              <w:rPr>
                <w:rFonts w:ascii="Arial" w:cs="Arial" w:eastAsia="Arial" w:hAnsi="Arial"/>
                <w:sz w:val="16"/>
                <w:szCs w:val="16"/>
                <w:color w:val="0000EE"/>
              </w:rPr>
            </w:pPr>
            <w:hyperlink w:anchor="page62">
              <w:r>
                <w:rPr>
                  <w:rFonts w:ascii="Arial" w:cs="Arial" w:eastAsia="Arial" w:hAnsi="Arial"/>
                  <w:sz w:val="16"/>
                  <w:szCs w:val="16"/>
                  <w:color w:val="0000EE"/>
                </w:rPr>
                <w:t>Report of Independent Registered Public Accounting Firm</w:t>
              </w:r>
            </w:hyperlink>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99"/>
              </w:rPr>
              <w:t>F-2</w:t>
            </w:r>
          </w:p>
        </w:tc>
      </w:tr>
      <w:tr>
        <w:trPr>
          <w:trHeight w:val="175"/>
        </w:trPr>
        <w:tc>
          <w:tcPr>
            <w:tcW w:w="422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Balance Sheet</w:t>
              </w:r>
            </w:hyperlink>
          </w:p>
        </w:tc>
        <w:tc>
          <w:tcPr>
            <w:tcW w:w="60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1"/>
        </w:trPr>
        <w:tc>
          <w:tcPr>
            <w:tcW w:w="10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Statement of Operations</w:t>
              </w:r>
            </w:hyperlink>
          </w:p>
        </w:tc>
        <w:tc>
          <w:tcPr>
            <w:tcW w:w="848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176"/>
        </w:trPr>
        <w:tc>
          <w:tcPr>
            <w:tcW w:w="10240" w:type="dxa"/>
            <w:vAlign w:val="bottom"/>
            <w:gridSpan w:val="7"/>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Statement of Changes in Stockholders’ Equity</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20"/>
        </w:trPr>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Statement of Cash Flows</w:t>
              </w:r>
            </w:hyperlink>
          </w:p>
        </w:tc>
        <w:tc>
          <w:tcPr>
            <w:tcW w:w="842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175"/>
        </w:trPr>
        <w:tc>
          <w:tcPr>
            <w:tcW w:w="10240" w:type="dxa"/>
            <w:vAlign w:val="bottom"/>
            <w:gridSpan w:val="7"/>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Notes to Financial Statements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8"/>
              </w:rPr>
              <w:t>F-7</w:t>
            </w:r>
          </w:p>
        </w:tc>
      </w:tr>
      <w:tr>
        <w:trPr>
          <w:trHeight w:val="20"/>
        </w:trPr>
        <w:tc>
          <w:tcPr>
            <w:tcW w:w="1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right="8000" w:hanging="324"/>
        <w:spacing w:after="0" w:line="50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The exhibits listed in the accompanying index to exhibits are filed or incorporated by reference as part of this Annual Report on Form 10-K.</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140" w:type="dxa"/>
            <w:vAlign w:val="bottom"/>
            <w:gridSpan w:val="2"/>
          </w:tcPr>
          <w:p>
            <w:pPr>
              <w:ind w:left="380"/>
              <w:spacing w:after="0"/>
              <w:rPr>
                <w:sz w:val="20"/>
                <w:szCs w:val="20"/>
                <w:color w:val="auto"/>
              </w:rPr>
            </w:pPr>
            <w:r>
              <w:rPr>
                <w:rFonts w:ascii="Arial" w:cs="Arial" w:eastAsia="Arial" w:hAnsi="Arial"/>
                <w:sz w:val="18"/>
                <w:szCs w:val="18"/>
                <w:b w:val="1"/>
                <w:bCs w:val="1"/>
                <w:color w:val="auto"/>
              </w:rPr>
              <w:t>No.</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20" w:type="dxa"/>
            <w:vAlign w:val="bottom"/>
            <w:gridSpan w:val="10"/>
          </w:tcPr>
          <w:p>
            <w:pPr>
              <w:ind w:left="320"/>
              <w:spacing w:after="0"/>
              <w:rPr>
                <w:sz w:val="20"/>
                <w:szCs w:val="20"/>
                <w:color w:val="auto"/>
              </w:rPr>
            </w:pPr>
            <w:r>
              <w:rPr>
                <w:rFonts w:ascii="Arial" w:cs="Arial" w:eastAsia="Arial" w:hAnsi="Arial"/>
                <w:sz w:val="18"/>
                <w:szCs w:val="18"/>
                <w:b w:val="1"/>
                <w:bCs w:val="1"/>
                <w:color w:val="auto"/>
              </w:rPr>
              <w:t>Description of Exhibit</w:t>
            </w:r>
          </w:p>
        </w:tc>
      </w:tr>
      <w:tr>
        <w:trPr>
          <w:trHeight w:val="175"/>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7"/>
            <w:shd w:val="clear" w:color="auto" w:fill="CCEEFF"/>
          </w:tcPr>
          <w:p>
            <w:pPr>
              <w:spacing w:after="0" w:line="176" w:lineRule="exact"/>
              <w:rPr>
                <w:rFonts w:ascii="Arial" w:cs="Arial" w:eastAsia="Arial" w:hAnsi="Arial"/>
                <w:sz w:val="18"/>
                <w:szCs w:val="18"/>
                <w:color w:val="0000EE"/>
                <w:w w:val="94"/>
              </w:rPr>
            </w:pPr>
            <w:hyperlink r:id="rId77">
              <w:r>
                <w:rPr>
                  <w:rFonts w:ascii="Arial" w:cs="Arial" w:eastAsia="Arial" w:hAnsi="Arial"/>
                  <w:sz w:val="18"/>
                  <w:szCs w:val="18"/>
                  <w:color w:val="0000EE"/>
                  <w:w w:val="94"/>
                </w:rPr>
                <w:t>Agreement and Plan of Merger, dated as of February 9, 2021, by and among, CM Life Sciences, Inc., S-IV Sub, Inc., and Mount Sinai</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Genomics, Inc. d/b/a Sema4 (incorporated by reference to Exhibit 2.1 to the Registrant’s Current Report on Form 8-K filed with the SEC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February 11,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Second Amended and Restated Certificate of Incorporation (incorporated by reference to Exhibit 3.1 to the Registrant’s Current Report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Form 8-K filed with the SEC on September 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r:id="rId79">
              <w:r>
                <w:rPr>
                  <w:rFonts w:ascii="Arial" w:cs="Arial" w:eastAsia="Arial" w:hAnsi="Arial"/>
                  <w:sz w:val="18"/>
                  <w:szCs w:val="18"/>
                  <w:color w:val="0000EE"/>
                  <w:w w:val="93"/>
                </w:rPr>
                <w:t>Bylaws (incorporated by reference to Exhibit 3.3 to the Registrant’s Registration Statement on Form S-1 (File No. 333-246251) filed with</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the SEC on August 24,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Warrant Agreement, dated September 1, 2020, by and between the Company and Continental Stock Transfer &amp; Trust Company, as warrant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agent (incorporated by reference to Exhibit 10.1 to the Registrant’s Current Report on Form 8-K filed with the SEC on September 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Specimen Unit Certificate (incorporated by reference to Exhibit 4.1 to the Registrant’s Registration Statement on Form S-1 (File No. 333-</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246251) filed with the SEC on August 24,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Specimen Class A Common Stock Certificate (incorporated by reference to Exhibit 4.2 to the Registrant’s Registration Statement on Form</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S-1 (File No. 333-246251) filed with the SEC on August 24,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Specimen Warrant Certificate (incorporated by reference to Exhibit 4.3 to the Registrant’s Registration Statement on Form S-1 (File No.</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333-246251) filed with the SEC on August 24,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4.5*</w:t>
            </w: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Description of the Company’s securities.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Promissory Note issued to CMLS Holdings LLC (incorporated by reference to Exhibit 10.6 to the Registrant’s Registration Statement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Form S-1 (File No. 333-246251) filed with the SEC on August 24,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Securities Subscription Agreement by and between the Registrant and CMLS Holdings LLC (incorporated by reference to Exhibit 10.7 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the Registrant’s Registration Statement on Form S-1 (File No. 333-246251) filed with the SEC on August 24,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Letter Agreement, dated September 1, 2020, by and among the Company, its officers and directors and CMLS Holdings, LLC (incorporated</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by reference to Exhibit 10.5 to the Registrant’s Current Report on Form 8-K filed with the SEC on September 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Investment Management Trust Agreement, dated September 1, 2020, by and between the Company and Continental Stock Transfer &amp; Trust</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5"/>
              </w:rPr>
            </w:pPr>
            <w:hyperlink r:id="rId87">
              <w:r>
                <w:rPr>
                  <w:rFonts w:ascii="Arial" w:cs="Arial" w:eastAsia="Arial" w:hAnsi="Arial"/>
                  <w:sz w:val="18"/>
                  <w:szCs w:val="18"/>
                  <w:color w:val="0000EE"/>
                  <w:w w:val="95"/>
                </w:rPr>
                <w:t>Company, as trustee (incorporated by reference to Exhibit 10.2 to the Registrant’s Current Report on Form 8-K filed with the SEC on</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September 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Registration Rights Agreement, dated September 1, 2020, by and among the Company, CMLS Holdings, LLC and the other parties thereto</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w w:val="95"/>
              </w:rPr>
            </w:pPr>
            <w:hyperlink r:id="rId88">
              <w:r>
                <w:rPr>
                  <w:rFonts w:ascii="Arial" w:cs="Arial" w:eastAsia="Arial" w:hAnsi="Arial"/>
                  <w:sz w:val="18"/>
                  <w:szCs w:val="18"/>
                  <w:color w:val="0000EE"/>
                  <w:w w:val="95"/>
                </w:rPr>
                <w:t>(incorporated by reference to Exhibit 10.4 to the Registrant’s Current Report on Form 8-K filed with the SEC on September 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Forward Purchase Agreement, dated September 1, 2020, by and between the Company and Casdin Capital, LLC (incorporated by reference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to Exhibit 10.6 to the Registrant’s Current Report on Form 8-K filed with the SEC on September 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10.7</w:t>
            </w:r>
          </w:p>
        </w:tc>
        <w:tc>
          <w:tcPr>
            <w:tcW w:w="120" w:type="dxa"/>
            <w:vAlign w:val="bottom"/>
            <w:shd w:val="clear" w:color="auto" w:fill="CCEEFF"/>
          </w:tcPr>
          <w:p>
            <w:pPr>
              <w:spacing w:after="0"/>
              <w:rPr>
                <w:sz w:val="15"/>
                <w:szCs w:val="15"/>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Forward Purchase Agreement, dated September 1, 2020, by and between the Company and Corvex Management LP (incorporated by</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reference to Exhibit 10.6 to the Registrant’s Current Report on Form 8-K filed with the SEC on September 4, 2020).</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574"/>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860" w:type="dxa"/>
            <w:vAlign w:val="bottom"/>
            <w:tcBorders>
              <w:top w:val="single" w:sz="8" w:color="0000EE"/>
              <w:bottom w:val="single" w:sz="8" w:color="auto"/>
            </w:tcBorders>
            <w:gridSpan w:val="8"/>
          </w:tcPr>
          <w:p>
            <w:pPr>
              <w:ind w:left="4400"/>
              <w:spacing w:after="0"/>
              <w:rPr>
                <w:sz w:val="20"/>
                <w:szCs w:val="20"/>
                <w:color w:val="auto"/>
              </w:rPr>
            </w:pPr>
            <w:r>
              <w:rPr>
                <w:rFonts w:ascii="Arial" w:cs="Arial" w:eastAsia="Arial" w:hAnsi="Arial"/>
                <w:sz w:val="18"/>
                <w:szCs w:val="18"/>
                <w:color w:val="auto"/>
              </w:rPr>
              <w:t>53</w:t>
            </w:r>
          </w:p>
        </w:tc>
        <w:tc>
          <w:tcPr>
            <w:tcW w:w="440" w:type="dxa"/>
            <w:vAlign w:val="bottom"/>
            <w:tcBorders>
              <w:top w:val="single" w:sz="8" w:color="0000EE"/>
              <w:bottom w:val="single" w:sz="8" w:color="auto"/>
            </w:tcBorders>
          </w:tcPr>
          <w:p>
            <w:pPr>
              <w:spacing w:after="0"/>
              <w:rPr>
                <w:sz w:val="24"/>
                <w:szCs w:val="24"/>
                <w:color w:val="auto"/>
              </w:rPr>
            </w:pPr>
          </w:p>
        </w:tc>
        <w:tc>
          <w:tcPr>
            <w:tcW w:w="236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58" w:name="page59"/>
    <w:bookmarkEnd w:id="58"/>
    <w:p>
      <w:pPr>
        <w:ind w:left="3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w:anchor="page94">
        <w:r>
          <w:rPr>
            <w:rFonts w:ascii="Arial" w:cs="Arial" w:eastAsia="Arial" w:hAnsi="Arial"/>
            <w:sz w:val="16"/>
            <w:szCs w:val="16"/>
            <w:u w:val="single" w:color="auto"/>
            <w:color w:val="0000EE"/>
          </w:rPr>
          <w:t>Indemnity Agreement, dated September 1, 2020, by and between the Company and Eli Casdin.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w:anchor="page111">
        <w:r>
          <w:rPr>
            <w:rFonts w:ascii="Arial" w:cs="Arial" w:eastAsia="Arial" w:hAnsi="Arial"/>
            <w:sz w:val="16"/>
            <w:szCs w:val="16"/>
            <w:u w:val="single" w:color="auto"/>
            <w:color w:val="0000EE"/>
          </w:rPr>
          <w:t>Indemnity Agreement, dated September 1, 2020, by and between the Company and Keith Meister.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w:anchor="page128">
        <w:r>
          <w:rPr>
            <w:rFonts w:ascii="Arial" w:cs="Arial" w:eastAsia="Arial" w:hAnsi="Arial"/>
            <w:sz w:val="16"/>
            <w:szCs w:val="16"/>
            <w:u w:val="single" w:color="auto"/>
            <w:color w:val="0000EE"/>
          </w:rPr>
          <w:t>Indemnity Agreement, dated September 1, 2020, by and between the Company and Brian Emes.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8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w:anchor="page145">
        <w:r>
          <w:rPr>
            <w:rFonts w:ascii="Arial" w:cs="Arial" w:eastAsia="Arial" w:hAnsi="Arial"/>
            <w:sz w:val="16"/>
            <w:szCs w:val="16"/>
            <w:u w:val="single" w:color="auto"/>
            <w:color w:val="0000EE"/>
          </w:rPr>
          <w:t>Indemnity Agreement, dated September 1, 2020, by and between the Company and Shaun Rodriguez.</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w:anchor="page162">
        <w:r>
          <w:rPr>
            <w:rFonts w:ascii="Arial" w:cs="Arial" w:eastAsia="Arial" w:hAnsi="Arial"/>
            <w:sz w:val="16"/>
            <w:szCs w:val="16"/>
            <w:u w:val="single" w:color="auto"/>
            <w:color w:val="0000EE"/>
          </w:rPr>
          <w:t>Indemnity Agreement, dated September 1, 2020, by and between the Company and Sean George.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w:anchor="page179">
        <w:r>
          <w:rPr>
            <w:rFonts w:ascii="Arial" w:cs="Arial" w:eastAsia="Arial" w:hAnsi="Arial"/>
            <w:sz w:val="16"/>
            <w:szCs w:val="16"/>
            <w:u w:val="single" w:color="auto"/>
            <w:color w:val="0000EE"/>
          </w:rPr>
          <w:t>Indemnity Agreement, dated September 1, 2020, by and between the Company and Munib Islam.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10.14*</w:t>
      </w:r>
      <w:r>
        <w:rPr>
          <w:sz w:val="20"/>
          <w:szCs w:val="20"/>
          <w:color w:val="auto"/>
        </w:rPr>
        <w:tab/>
      </w:r>
      <w:hyperlink w:anchor="page196">
        <w:r>
          <w:rPr>
            <w:rFonts w:ascii="Arial" w:cs="Arial" w:eastAsia="Arial" w:hAnsi="Arial"/>
            <w:sz w:val="16"/>
            <w:szCs w:val="16"/>
            <w:u w:val="single" w:color="auto"/>
            <w:color w:val="0000EE"/>
          </w:rPr>
          <w:t>Indemnity Agreement, dated September 1, 2020, by and between the Company and Emily Leproust.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w:anchor="page213">
        <w:r>
          <w:rPr>
            <w:rFonts w:ascii="Arial" w:cs="Arial" w:eastAsia="Arial" w:hAnsi="Arial"/>
            <w:sz w:val="16"/>
            <w:szCs w:val="16"/>
            <w:u w:val="single" w:color="auto"/>
            <w:color w:val="0000EE"/>
          </w:rPr>
          <w:t>Indemnity Agreement, dated September 1, 2020, by and between the Company and Nat Turner.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ind w:left="1140" w:hanging="829"/>
        <w:spacing w:after="0" w:line="277"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99">
        <w:r>
          <w:rPr>
            <w:rFonts w:ascii="Arial" w:cs="Arial" w:eastAsia="Arial" w:hAnsi="Arial"/>
            <w:sz w:val="18"/>
            <w:szCs w:val="18"/>
            <w:u w:val="single" w:color="auto"/>
            <w:color w:val="0000EE"/>
          </w:rPr>
          <w:t>Form of Subscription Agreement (incorporated by reference to Exhibit 10.1 to the Registrant’s Current Report on Form 8-K filed with the</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SEC on February 11,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jc w:val="both"/>
        <w:ind w:left="1140" w:hanging="829"/>
        <w:spacing w:after="0" w:line="263"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01">
        <w:r>
          <w:rPr>
            <w:rFonts w:ascii="Arial" w:cs="Arial" w:eastAsia="Arial" w:hAnsi="Arial"/>
            <w:sz w:val="18"/>
            <w:szCs w:val="18"/>
            <w:u w:val="single" w:color="auto"/>
            <w:color w:val="0000EE"/>
          </w:rPr>
          <w:t>Sponsor Support Agreement, dated as of February 9, 2021, by and between CMLS Holdings, LLC, and Mount Sinai Genomics, Inc. d/b/a</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Sema4 (incorporated by reference to Exhibit 10.4 to the Registrant’s Current Report on Form 8-K filed with the SEC on February 11,</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64" w:lineRule="exact"/>
        <w:rPr>
          <w:rFonts w:ascii="Arial" w:cs="Arial" w:eastAsia="Arial" w:hAnsi="Arial"/>
          <w:sz w:val="18"/>
          <w:szCs w:val="18"/>
          <w:u w:val="single" w:color="auto"/>
          <w:color w:val="0000EE"/>
        </w:rPr>
      </w:pPr>
    </w:p>
    <w:p>
      <w:pPr>
        <w:jc w:val="both"/>
        <w:ind w:left="1140" w:hanging="829"/>
        <w:spacing w:after="0" w:line="263"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03">
        <w:r>
          <w:rPr>
            <w:rFonts w:ascii="Arial" w:cs="Arial" w:eastAsia="Arial" w:hAnsi="Arial"/>
            <w:sz w:val="18"/>
            <w:szCs w:val="18"/>
            <w:u w:val="single" w:color="auto"/>
            <w:color w:val="0000EE"/>
          </w:rPr>
          <w:t>Forfeiture Agreement, dated as of February 9, 2021, by and among, CM Life Sciences, Inc., CMLS Holdings, LLC, and Mount Sinai</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Genomics, Inc. d/b/a Sema4 (incorporated by reference to Exhibit 10.3 to the Registrant’s Current Report on Form 8-K filed with the SEC</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on February 11, 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64" w:lineRule="exact"/>
        <w:rPr>
          <w:rFonts w:ascii="Arial" w:cs="Arial" w:eastAsia="Arial" w:hAnsi="Arial"/>
          <w:sz w:val="18"/>
          <w:szCs w:val="18"/>
          <w:u w:val="single" w:color="auto"/>
          <w:color w:val="0000EE"/>
        </w:rPr>
      </w:pPr>
    </w:p>
    <w:p>
      <w:pPr>
        <w:ind w:left="1140" w:hanging="716"/>
        <w:spacing w:after="0" w:line="277" w:lineRule="auto"/>
        <w:tabs>
          <w:tab w:leader="none" w:pos="1140" w:val="left"/>
        </w:tabs>
        <w:numPr>
          <w:ilvl w:val="0"/>
          <w:numId w:val="28"/>
        </w:numPr>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Code of Ethics (incorporated by reference to Exhibit 14 to the Registrant’s Registration Statement on Form S-1 (File No. 333-246251) filed</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with the SEC on August 24, 2020).</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33"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5"/>
              </w:rPr>
              <w:t>31.1*</w:t>
            </w:r>
          </w:p>
        </w:tc>
        <w:tc>
          <w:tcPr>
            <w:tcW w:w="1010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2"/>
              </w:rPr>
            </w:pPr>
            <w:hyperlink w:anchor="page230">
              <w:r>
                <w:rPr>
                  <w:rFonts w:ascii="Arial" w:cs="Arial" w:eastAsia="Arial" w:hAnsi="Arial"/>
                  <w:sz w:val="18"/>
                  <w:szCs w:val="18"/>
                  <w:color w:val="0000EE"/>
                  <w:w w:val="92"/>
                </w:rPr>
                <w:t>Certification of Principal Executive Officer Pursuant to Securities Exchange Act Rules 13a-14(a) and 15(d)-14(a), as adopted Pursuant to</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Section 302 of the Sarbanes-Oxley Act of 2002.</w:t>
              </w:r>
            </w:hyperlink>
          </w:p>
        </w:tc>
      </w:tr>
      <w:tr>
        <w:trPr>
          <w:trHeight w:val="216"/>
        </w:trPr>
        <w:tc>
          <w:tcPr>
            <w:tcW w:w="114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5"/>
              </w:rPr>
              <w:t>31.2*</w:t>
            </w: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231">
              <w:r>
                <w:rPr>
                  <w:rFonts w:ascii="Arial" w:cs="Arial" w:eastAsia="Arial" w:hAnsi="Arial"/>
                  <w:sz w:val="18"/>
                  <w:szCs w:val="18"/>
                  <w:color w:val="0000EE"/>
                  <w:w w:val="93"/>
                </w:rPr>
                <w:t>Certification of Principal Financial Officer Pursuant to Securities Exchange Act Rules 13a-14(a) and 15(d)-14(a), as adopted Pursuant to</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Section 302 of the Sarbanes-Oxley Act of 2002.</w:t>
              </w:r>
            </w:hyperlink>
          </w:p>
        </w:tc>
      </w:tr>
      <w:tr>
        <w:trPr>
          <w:trHeight w:val="216"/>
        </w:trPr>
        <w:tc>
          <w:tcPr>
            <w:tcW w:w="114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rPr>
              <w:t>32.1**</w:t>
            </w: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32">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Act of 2002.</w:t>
              </w:r>
            </w:hyperlink>
          </w:p>
        </w:tc>
      </w:tr>
      <w:tr>
        <w:trPr>
          <w:trHeight w:val="216"/>
        </w:trPr>
        <w:tc>
          <w:tcPr>
            <w:tcW w:w="114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rPr>
              <w:t>32.2**</w:t>
            </w: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33">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Act of 2002.</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6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3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30, 2021</w:t>
      </w:r>
      <w:r>
        <w:rPr>
          <w:sz w:val="20"/>
          <w:szCs w:val="20"/>
          <w:color w:val="auto"/>
        </w:rPr>
        <w:tab/>
      </w:r>
      <w:r>
        <w:rPr>
          <w:rFonts w:ascii="Arial" w:cs="Arial" w:eastAsia="Arial" w:hAnsi="Arial"/>
          <w:sz w:val="16"/>
          <w:szCs w:val="16"/>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Secretary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Brian Emes, Pat Dooley and Kevin O’Brien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Eli Casdin</w:t>
            </w:r>
          </w:p>
        </w:tc>
        <w:tc>
          <w:tcPr>
            <w:tcW w:w="120" w:type="dxa"/>
            <w:vAlign w:val="bottom"/>
          </w:tcPr>
          <w:p>
            <w:pPr>
              <w:spacing w:after="0"/>
              <w:rPr>
                <w:sz w:val="20"/>
                <w:szCs w:val="20"/>
                <w:color w:val="auto"/>
              </w:rPr>
            </w:pPr>
          </w:p>
        </w:tc>
        <w:tc>
          <w:tcPr>
            <w:tcW w:w="460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Emes</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Chief Financial Officer and Secretary</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Brian Emes</w:t>
            </w:r>
          </w:p>
        </w:tc>
        <w:tc>
          <w:tcPr>
            <w:tcW w:w="120" w:type="dxa"/>
            <w:vAlign w:val="bottom"/>
          </w:tcPr>
          <w:p>
            <w:pPr>
              <w:spacing w:after="0"/>
              <w:rPr>
                <w:sz w:val="20"/>
                <w:szCs w:val="20"/>
                <w:color w:val="auto"/>
              </w:rPr>
            </w:pPr>
          </w:p>
        </w:tc>
        <w:tc>
          <w:tcPr>
            <w:tcW w:w="460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Meister</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Keith Meister</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George</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Sean George</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Munib Islam</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Munib Islam</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Leproust</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Emily Leproust</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749"/>
        </w:trPr>
        <w:tc>
          <w:tcPr>
            <w:tcW w:w="45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right"/>
              <w:ind w:right="33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60" w:type="dxa"/>
            <w:vAlign w:val="bottom"/>
          </w:tcPr>
          <w:p>
            <w:pPr>
              <w:jc w:val="center"/>
              <w:ind w:right="1650"/>
              <w:spacing w:after="0"/>
              <w:rPr>
                <w:sz w:val="20"/>
                <w:szCs w:val="20"/>
                <w:color w:val="auto"/>
              </w:rPr>
            </w:pPr>
            <w:r>
              <w:rPr>
                <w:rFonts w:ascii="Arial" w:cs="Arial" w:eastAsia="Arial" w:hAnsi="Arial"/>
                <w:sz w:val="18"/>
                <w:szCs w:val="18"/>
                <w:b w:val="1"/>
                <w:bCs w:val="1"/>
                <w:color w:val="auto"/>
              </w:rPr>
              <w:t>CM LIFE SCIENCES, INC.</w:t>
            </w:r>
          </w:p>
        </w:tc>
        <w:tc>
          <w:tcPr>
            <w:tcW w:w="246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8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rPr>
              <w:t>INDEX TO FINANCIAL STATEMENTS</w:t>
            </w:r>
          </w:p>
        </w:tc>
        <w:tc>
          <w:tcPr>
            <w:tcW w:w="246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96"/>
        </w:trPr>
        <w:tc>
          <w:tcPr>
            <w:tcW w:w="8780" w:type="dxa"/>
            <w:vAlign w:val="bottom"/>
            <w:gridSpan w:val="8"/>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2460" w:type="dxa"/>
            <w:vAlign w:val="bottom"/>
            <w:shd w:val="clear" w:color="auto" w:fill="CCEEFF"/>
          </w:tcPr>
          <w:p>
            <w:pPr>
              <w:jc w:val="center"/>
              <w:ind w:left="1370"/>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456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0000EE"/>
            </w:tcBorders>
            <w:shd w:val="clear" w:color="auto" w:fill="CCEEFF"/>
          </w:tcPr>
          <w:p>
            <w:pPr>
              <w:ind w:left="20"/>
              <w:spacing w:after="0" w:line="17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Balance Sheet</w:t>
              </w:r>
            </w:hyperlink>
          </w:p>
        </w:tc>
        <w:tc>
          <w:tcPr>
            <w:tcW w:w="7580" w:type="dxa"/>
            <w:vAlign w:val="bottom"/>
            <w:tcBorders>
              <w:bottom w:val="single" w:sz="8" w:color="CCEEFF"/>
            </w:tcBorders>
            <w:gridSpan w:val="6"/>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370"/>
              <w:spacing w:after="0" w:line="176" w:lineRule="exact"/>
              <w:rPr>
                <w:sz w:val="20"/>
                <w:szCs w:val="20"/>
                <w:color w:val="auto"/>
              </w:rPr>
            </w:pPr>
            <w:r>
              <w:rPr>
                <w:rFonts w:ascii="Arial" w:cs="Arial" w:eastAsia="Arial" w:hAnsi="Arial"/>
                <w:sz w:val="18"/>
                <w:szCs w:val="18"/>
                <w:color w:val="auto"/>
                <w:w w:val="88"/>
              </w:rPr>
              <w:t>F-3</w:t>
            </w:r>
          </w:p>
        </w:tc>
      </w:tr>
      <w:tr>
        <w:trPr>
          <w:trHeight w:val="175"/>
        </w:trPr>
        <w:tc>
          <w:tcPr>
            <w:tcW w:w="160" w:type="dxa"/>
            <w:vAlign w:val="bottom"/>
          </w:tcPr>
          <w:p>
            <w:pPr>
              <w:spacing w:after="0"/>
              <w:rPr>
                <w:sz w:val="15"/>
                <w:szCs w:val="15"/>
                <w:color w:val="auto"/>
              </w:rPr>
            </w:pPr>
          </w:p>
        </w:tc>
        <w:tc>
          <w:tcPr>
            <w:tcW w:w="8620" w:type="dxa"/>
            <w:vAlign w:val="bottom"/>
            <w:gridSpan w:val="7"/>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Statement of Operations</w:t>
              </w:r>
            </w:hyperlink>
          </w:p>
        </w:tc>
        <w:tc>
          <w:tcPr>
            <w:tcW w:w="2460" w:type="dxa"/>
            <w:vAlign w:val="bottom"/>
          </w:tcPr>
          <w:p>
            <w:pPr>
              <w:jc w:val="center"/>
              <w:ind w:left="1370"/>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16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Statement of Changes in Stockholders’ Equity</w:t>
              </w:r>
            </w:hyperlink>
          </w:p>
        </w:tc>
        <w:tc>
          <w:tcPr>
            <w:tcW w:w="2460" w:type="dxa"/>
            <w:vAlign w:val="bottom"/>
            <w:shd w:val="clear" w:color="auto" w:fill="CCEEFF"/>
          </w:tcPr>
          <w:p>
            <w:pPr>
              <w:jc w:val="center"/>
              <w:ind w:left="1370"/>
              <w:spacing w:after="0" w:line="176" w:lineRule="exact"/>
              <w:rPr>
                <w:sz w:val="20"/>
                <w:szCs w:val="20"/>
                <w:color w:val="auto"/>
              </w:rPr>
            </w:pPr>
            <w:r>
              <w:rPr>
                <w:rFonts w:ascii="Arial" w:cs="Arial" w:eastAsia="Arial" w:hAnsi="Arial"/>
                <w:sz w:val="18"/>
                <w:szCs w:val="18"/>
                <w:color w:val="auto"/>
                <w:w w:val="88"/>
              </w:rPr>
              <w:t>F-5</w:t>
            </w:r>
          </w:p>
        </w:tc>
      </w:tr>
      <w:tr>
        <w:trPr>
          <w:trHeight w:val="176"/>
        </w:trPr>
        <w:tc>
          <w:tcPr>
            <w:tcW w:w="160" w:type="dxa"/>
            <w:vAlign w:val="bottom"/>
            <w:tcBorders>
              <w:top w:val="single" w:sz="8" w:color="CCEEFF"/>
            </w:tcBorders>
          </w:tcPr>
          <w:p>
            <w:pPr>
              <w:spacing w:after="0"/>
              <w:rPr>
                <w:sz w:val="15"/>
                <w:szCs w:val="15"/>
                <w:color w:val="auto"/>
              </w:rPr>
            </w:pPr>
          </w:p>
        </w:tc>
        <w:tc>
          <w:tcPr>
            <w:tcW w:w="3340" w:type="dxa"/>
            <w:vAlign w:val="bottom"/>
            <w:tcBorders>
              <w:top w:val="single" w:sz="8" w:color="0000EE"/>
            </w:tcBorders>
            <w:gridSpan w:val="5"/>
          </w:tcPr>
          <w:p>
            <w:pPr>
              <w:ind w:left="2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Statement of Cash Flows</w:t>
              </w:r>
            </w:hyperlink>
          </w:p>
        </w:tc>
        <w:tc>
          <w:tcPr>
            <w:tcW w:w="5280" w:type="dxa"/>
            <w:vAlign w:val="bottom"/>
            <w:tcBorders>
              <w:top w:val="single" w:sz="8" w:color="CCEEFF"/>
            </w:tcBorders>
            <w:gridSpan w:val="2"/>
          </w:tcPr>
          <w:p>
            <w:pPr>
              <w:spacing w:after="0"/>
              <w:rPr>
                <w:sz w:val="15"/>
                <w:szCs w:val="15"/>
                <w:color w:val="auto"/>
              </w:rPr>
            </w:pPr>
          </w:p>
        </w:tc>
        <w:tc>
          <w:tcPr>
            <w:tcW w:w="2460" w:type="dxa"/>
            <w:vAlign w:val="bottom"/>
            <w:tcBorders>
              <w:top w:val="single" w:sz="8" w:color="CCEEFF"/>
            </w:tcBorders>
          </w:tcPr>
          <w:p>
            <w:pPr>
              <w:jc w:val="center"/>
              <w:ind w:left="1370"/>
              <w:spacing w:after="0" w:line="176" w:lineRule="exact"/>
              <w:rPr>
                <w:sz w:val="20"/>
                <w:szCs w:val="20"/>
                <w:color w:val="auto"/>
              </w:rPr>
            </w:pPr>
            <w:r>
              <w:rPr>
                <w:rFonts w:ascii="Arial" w:cs="Arial" w:eastAsia="Arial" w:hAnsi="Arial"/>
                <w:sz w:val="18"/>
                <w:szCs w:val="18"/>
                <w:color w:val="auto"/>
                <w:w w:val="88"/>
              </w:rPr>
              <w:t>F-6</w:t>
            </w:r>
          </w:p>
        </w:tc>
      </w:tr>
      <w:tr>
        <w:trPr>
          <w:trHeight w:val="21"/>
        </w:trPr>
        <w:tc>
          <w:tcPr>
            <w:tcW w:w="16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Notes to Financial Statements</w:t>
              </w:r>
            </w:hyperlink>
          </w:p>
        </w:tc>
        <w:tc>
          <w:tcPr>
            <w:tcW w:w="2460" w:type="dxa"/>
            <w:vAlign w:val="bottom"/>
            <w:shd w:val="clear" w:color="auto" w:fill="CCEEFF"/>
          </w:tcPr>
          <w:p>
            <w:pPr>
              <w:jc w:val="center"/>
              <w:ind w:left="1390"/>
              <w:spacing w:after="0" w:line="176" w:lineRule="exact"/>
              <w:rPr>
                <w:sz w:val="20"/>
                <w:szCs w:val="20"/>
                <w:color w:val="auto"/>
              </w:rPr>
            </w:pPr>
            <w:r>
              <w:rPr>
                <w:rFonts w:ascii="Arial" w:cs="Arial" w:eastAsia="Arial" w:hAnsi="Arial"/>
                <w:sz w:val="18"/>
                <w:szCs w:val="18"/>
                <w:color w:val="auto"/>
                <w:w w:val="92"/>
              </w:rPr>
              <w:t>F-7 to F-19</w:t>
            </w:r>
          </w:p>
        </w:tc>
      </w:tr>
      <w:tr>
        <w:trPr>
          <w:trHeight w:val="547"/>
        </w:trPr>
        <w:tc>
          <w:tcPr>
            <w:tcW w:w="16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4560" w:type="dxa"/>
            <w:vAlign w:val="bottom"/>
            <w:tcBorders>
              <w:top w:val="single" w:sz="8" w:color="CCEEFF"/>
              <w:bottom w:val="single" w:sz="8" w:color="auto"/>
            </w:tcBorders>
          </w:tcPr>
          <w:p>
            <w:pPr>
              <w:jc w:val="center"/>
              <w:ind w:right="1670"/>
              <w:spacing w:after="0"/>
              <w:rPr>
                <w:sz w:val="20"/>
                <w:szCs w:val="20"/>
                <w:color w:val="auto"/>
              </w:rPr>
            </w:pPr>
            <w:r>
              <w:rPr>
                <w:rFonts w:ascii="Arial" w:cs="Arial" w:eastAsia="Arial" w:hAnsi="Arial"/>
                <w:sz w:val="18"/>
                <w:szCs w:val="18"/>
                <w:color w:val="auto"/>
                <w:w w:val="88"/>
              </w:rPr>
              <w:t>F-1</w:t>
            </w:r>
          </w:p>
        </w:tc>
        <w:tc>
          <w:tcPr>
            <w:tcW w:w="24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61" w:name="page62"/>
    <w:bookmarkEnd w:id="61"/>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CM Life Sciences, Inc. (the “Company”) as of December 31, 2020, the related statements of operations, changes in stockholders’ equity and cash flows for the period from July 10,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10, 2020 (inception)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Assets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color w:val="auto"/>
        </w:rPr>
        <w:t xml:space="preserve">Cash and marketable securities held in trust account </w:t>
      </w:r>
      <w:r>
        <w:rPr>
          <w:rFonts w:ascii="Arial" w:cs="Arial" w:eastAsia="Arial" w:hAnsi="Arial"/>
          <w:sz w:val="18"/>
          <w:szCs w:val="18"/>
          <w:b w:val="1"/>
          <w:bCs w:val="1"/>
          <w:color w:val="auto"/>
        </w:rPr>
        <w:t>Total Assets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LIABILITIES AND STOCKHOLDERS’ EQUITY </w:t>
      </w:r>
      <w:r>
        <w:rPr>
          <w:rFonts w:ascii="Arial" w:cs="Arial" w:eastAsia="Arial" w:hAnsi="Arial"/>
          <w:sz w:val="18"/>
          <w:szCs w:val="18"/>
          <w:color w:val="auto"/>
        </w:rPr>
        <w:t>Current liabilities</w:t>
      </w:r>
    </w:p>
    <w:p>
      <w:pPr>
        <w:ind w:left="180" w:right="860"/>
        <w:spacing w:after="0" w:line="307" w:lineRule="auto"/>
        <w:rPr>
          <w:sz w:val="20"/>
          <w:szCs w:val="20"/>
          <w:color w:val="auto"/>
        </w:rPr>
      </w:pPr>
      <w:r>
        <w:rPr>
          <w:rFonts w:ascii="Arial" w:cs="Arial" w:eastAsia="Arial" w:hAnsi="Arial"/>
          <w:sz w:val="18"/>
          <w:szCs w:val="18"/>
          <w:color w:val="auto"/>
        </w:rPr>
        <w:t>Accounts payable and accrued expenses Total Current Liabilities</w:t>
      </w:r>
    </w:p>
    <w:p>
      <w:pPr>
        <w:spacing w:after="0" w:line="145" w:lineRule="exact"/>
        <w:rPr>
          <w:sz w:val="20"/>
          <w:szCs w:val="20"/>
          <w:color w:val="auto"/>
        </w:rPr>
      </w:pPr>
    </w:p>
    <w:p>
      <w:pPr>
        <w:ind w:right="1420"/>
        <w:spacing w:after="0" w:line="308" w:lineRule="auto"/>
        <w:rPr>
          <w:sz w:val="20"/>
          <w:szCs w:val="20"/>
          <w:color w:val="auto"/>
        </w:rPr>
      </w:pPr>
      <w:r>
        <w:rPr>
          <w:rFonts w:ascii="Arial" w:cs="Arial" w:eastAsia="Arial" w:hAnsi="Arial"/>
          <w:sz w:val="18"/>
          <w:szCs w:val="18"/>
          <w:color w:val="auto"/>
        </w:rPr>
        <w:t xml:space="preserve">Deferred underwriting fee payable </w:t>
      </w:r>
      <w:r>
        <w:rPr>
          <w:rFonts w:ascii="Arial" w:cs="Arial" w:eastAsia="Arial" w:hAnsi="Arial"/>
          <w:sz w:val="18"/>
          <w:szCs w:val="18"/>
          <w:b w:val="1"/>
          <w:bCs w:val="1"/>
          <w:color w:val="auto"/>
        </w:rPr>
        <w:t>Total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br w:type="column"/>
      </w:r>
    </w:p>
    <w:p>
      <w:pPr>
        <w:jc w:val="center"/>
        <w:ind w:right="448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480"/>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ind w:right="4480"/>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5480"/>
        <w:spacing w:after="0"/>
        <w:tabs>
          <w:tab w:leader="none" w:pos="5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1,094,681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-121920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277,031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14605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1,371,712</w:t>
      </w:r>
    </w:p>
    <w:p>
      <w:pPr>
        <w:spacing w:after="0" w:line="239"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442,763,951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-115570</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2" w:lineRule="exact"/>
        <w:rPr>
          <w:sz w:val="20"/>
          <w:szCs w:val="20"/>
          <w:color w:val="auto"/>
        </w:rPr>
      </w:pPr>
    </w:p>
    <w:p>
      <w:pPr>
        <w:ind w:left="5480"/>
        <w:spacing w:after="0"/>
        <w:rPr>
          <w:sz w:val="20"/>
          <w:szCs w:val="20"/>
          <w:color w:val="auto"/>
        </w:rPr>
      </w:pPr>
      <w:r>
        <w:rPr>
          <w:rFonts w:ascii="Arial" w:cs="Arial" w:eastAsia="Arial" w:hAnsi="Arial"/>
          <w:sz w:val="17"/>
          <w:szCs w:val="17"/>
          <w:b w:val="1"/>
          <w:bCs w:val="1"/>
          <w:u w:val="single" w:color="auto"/>
          <w:color w:val="auto"/>
        </w:rPr>
        <w:t>$ 444,135,663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341630</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41910</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480"/>
        <w:spacing w:after="0"/>
        <w:tabs>
          <w:tab w:leader="none" w:pos="60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97,120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29210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97,120</w:t>
      </w:r>
    </w:p>
    <w:p>
      <w:pPr>
        <w:spacing w:after="0" w:line="26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15,496,250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-130175</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15,593,370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308610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17145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3920" w:space="620"/>
            <w:col w:w="6660"/>
          </w:cols>
          <w:pgMar w:left="320" w:top="796" w:right="37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subject to possible redemption, 42,354,229 shares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p>
      <w:pPr>
        <w:spacing w:after="0" w:line="9" w:lineRule="exact"/>
        <w:rPr>
          <w:sz w:val="20"/>
          <w:szCs w:val="20"/>
          <w:color w:val="auto"/>
        </w:rPr>
      </w:pPr>
    </w:p>
    <w:p>
      <w:pPr>
        <w:ind w:left="180" w:right="140" w:hanging="161"/>
        <w:spacing w:after="0" w:line="250" w:lineRule="auto"/>
        <w:rPr>
          <w:sz w:val="20"/>
          <w:szCs w:val="20"/>
          <w:color w:val="auto"/>
        </w:rPr>
      </w:pPr>
      <w:r>
        <w:rPr>
          <w:rFonts w:ascii="Arial" w:cs="Arial" w:eastAsia="Arial" w:hAnsi="Arial"/>
          <w:sz w:val="18"/>
          <w:szCs w:val="18"/>
          <w:color w:val="auto"/>
        </w:rPr>
        <w:t>Class A common stock, $0.0001 par value; 380,000,000 shares authorized; 1,920,771 shares issued and outstanding (excluding 42,354,229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Class B common stock, $0.0001 par value; 20,000,000 shares authorized; 11,068,750 shares issued and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Stockholders’ Equity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423,542,290</w:t>
      </w:r>
    </w:p>
    <w:p>
      <w:pPr>
        <w:spacing w:after="0" w:line="200" w:lineRule="exact"/>
        <w:rPr>
          <w:sz w:val="20"/>
          <w:szCs w:val="20"/>
          <w:color w:val="auto"/>
        </w:rPr>
      </w:pPr>
    </w:p>
    <w:p>
      <w:pPr>
        <w:spacing w:after="0" w:line="25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1,107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5,190,948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(192,244)</w:t>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5,000,003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$ 444,135,663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180"/>
          </w:cols>
          <w:pgMar w:left="320" w:top="796" w:right="379" w:bottom="1440" w:gutter="0" w:footer="0" w:header="0"/>
          <w:type w:val="continuous"/>
        </w:sectPr>
      </w:pP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The accompanying notes are an integral part of the financial statements</w:t>
      </w:r>
      <w:r>
        <w:rPr>
          <w:rFonts w:ascii="Arial" w:cs="Arial" w:eastAsia="Arial" w:hAnsi="Arial"/>
          <w:sz w:val="16"/>
          <w:szCs w:val="16"/>
          <w:color w:val="auto"/>
        </w:rPr>
        <w:t>.</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206,195</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(206,195)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provision for income taxes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(192,244)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2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(192,244)</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44,275,000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10,633,062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2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Class A</w:t>
            </w:r>
          </w:p>
        </w:tc>
        <w:tc>
          <w:tcPr>
            <w:tcW w:w="21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Class 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1"/>
        </w:trPr>
        <w:tc>
          <w:tcPr>
            <w:tcW w:w="3040" w:type="dxa"/>
            <w:vAlign w:val="bottom"/>
          </w:tcPr>
          <w:p>
            <w:pPr>
              <w:spacing w:after="0"/>
              <w:rPr>
                <w:sz w:val="20"/>
                <w:szCs w:val="20"/>
                <w:color w:val="auto"/>
              </w:rPr>
            </w:pPr>
          </w:p>
        </w:tc>
        <w:tc>
          <w:tcPr>
            <w:tcW w:w="22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Common Stock</w:t>
            </w:r>
          </w:p>
        </w:tc>
        <w:tc>
          <w:tcPr>
            <w:tcW w:w="21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7"/>
              </w:rPr>
              <w:t>Stockholders’</w:t>
            </w:r>
          </w:p>
        </w:tc>
      </w:tr>
      <w:tr>
        <w:trPr>
          <w:trHeight w:val="237"/>
        </w:trPr>
        <w:tc>
          <w:tcPr>
            <w:tcW w:w="3040" w:type="dxa"/>
            <w:vAlign w:val="bottom"/>
          </w:tcPr>
          <w:p>
            <w:pPr>
              <w:spacing w:after="0"/>
              <w:rPr>
                <w:sz w:val="20"/>
                <w:szCs w:val="20"/>
                <w:color w:val="auto"/>
              </w:rPr>
            </w:pPr>
          </w:p>
        </w:tc>
        <w:tc>
          <w:tcPr>
            <w:tcW w:w="11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0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July 10, 2020 (Inception)</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Class B common stock to</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stockholders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11,068,750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44,275,000 Units, net of</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 discounts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44,275,000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417,850,110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417,854,537</w:t>
            </w:r>
          </w:p>
        </w:tc>
      </w:tr>
      <w:tr>
        <w:trPr>
          <w:trHeight w:val="216"/>
        </w:trPr>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7,236,667 Private Placement</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10,855,000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10,855,000</w:t>
            </w:r>
          </w:p>
        </w:tc>
      </w:tr>
      <w:tr>
        <w:trPr>
          <w:trHeight w:val="216"/>
        </w:trPr>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subject to possible</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(42,354,229)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(423,538,055)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(423,542,290)</w:t>
            </w:r>
          </w:p>
        </w:tc>
      </w:tr>
      <w:tr>
        <w:trPr>
          <w:trHeight w:val="216"/>
        </w:trPr>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(192,244)</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(192,244)</w:t>
            </w:r>
          </w:p>
        </w:tc>
      </w:tr>
      <w:tr>
        <w:trPr>
          <w:trHeight w:val="216"/>
        </w:trPr>
        <w:tc>
          <w:tcPr>
            <w:tcW w:w="30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1,920,771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11,068,750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5,190,948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(192,244)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5,000,003</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jc w:val="center"/>
        <w:ind w:left="19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left="194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FOR THE PERIOD JULY 10, 2020 (INCEPTION) THROUGH DECEMBER 31,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earned on investments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Investment of cash into Trust Account</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Units, net of underwriting discounts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sale of Private Placement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promissory note –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Initial classification of common stock subject to possible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hanging="455"/>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(192,244)</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(13,951)</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(277,031)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97,120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(386,106)</w:t>
      </w:r>
    </w:p>
    <w:p>
      <w:pPr>
        <w:spacing w:after="0" w:line="200" w:lineRule="exact"/>
        <w:rPr>
          <w:sz w:val="20"/>
          <w:szCs w:val="20"/>
          <w:color w:val="auto"/>
        </w:rPr>
      </w:pPr>
    </w:p>
    <w:p>
      <w:pPr>
        <w:spacing w:after="0" w:line="28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(442,750,000)</w:t>
      </w:r>
    </w:p>
    <w:p>
      <w:pPr>
        <w:spacing w:after="0" w:line="37"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(442,750,000)</w:t>
      </w:r>
    </w:p>
    <w:p>
      <w:pPr>
        <w:spacing w:after="0" w:line="200" w:lineRule="exact"/>
        <w:rPr>
          <w:sz w:val="20"/>
          <w:szCs w:val="20"/>
          <w:color w:val="auto"/>
        </w:rPr>
      </w:pPr>
    </w:p>
    <w:p>
      <w:pPr>
        <w:spacing w:after="0" w:line="28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433,895,000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10,855,000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112,837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(165,081)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(466,969)</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444,230,787</w:t>
      </w:r>
    </w:p>
    <w:p>
      <w:pPr>
        <w:spacing w:after="0" w:line="264"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1,094,681</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58" w:lineRule="exact"/>
        <w:rPr>
          <w:sz w:val="20"/>
          <w:szCs w:val="20"/>
          <w:color w:val="auto"/>
        </w:rPr>
      </w:pPr>
    </w:p>
    <w:p>
      <w:pPr>
        <w:ind w:left="400" w:hanging="395"/>
        <w:spacing w:after="0"/>
        <w:tabs>
          <w:tab w:leader="none" w:pos="400" w:val="left"/>
        </w:tabs>
        <w:numPr>
          <w:ilvl w:val="0"/>
          <w:numId w:val="31"/>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1,094,681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70294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  423,677,610</w:t>
      </w:r>
    </w:p>
    <w:p>
      <w:pPr>
        <w:spacing w:after="0" w:line="55" w:lineRule="exact"/>
        <w:rPr>
          <w:sz w:val="20"/>
          <w:szCs w:val="20"/>
          <w:color w:val="auto"/>
        </w:rPr>
      </w:pPr>
    </w:p>
    <w:p>
      <w:pPr>
        <w:sectPr>
          <w:pgSz w:w="11900" w:h="16838" w:orient="portrait"/>
          <w:cols w:equalWidth="0" w:num="2">
            <w:col w:w="9300" w:space="720"/>
            <w:col w:w="1220"/>
          </w:cols>
          <w:pgMar w:left="320" w:top="796" w:right="339" w:bottom="1440" w:gutter="0" w:footer="0" w:header="0"/>
        </w:sectPr>
      </w:pPr>
    </w:p>
    <w:tbl>
      <w:tblPr>
        <w:tblLayout w:type="fixed"/>
        <w:tblInd w:w="0" w:type="dxa"/>
        <w:tblCellMar>
          <w:top w:w="0" w:type="dxa"/>
          <w:left w:w="0" w:type="dxa"/>
          <w:bottom w:w="0" w:type="dxa"/>
          <w:right w:w="0" w:type="dxa"/>
        </w:tblCellMar>
      </w:tblPr>
      <w:tr>
        <w:trPr>
          <w:trHeight w:val="28"/>
        </w:trPr>
        <w:tc>
          <w:tcPr>
            <w:tcW w:w="10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00" w:type="dxa"/>
            <w:vAlign w:val="bottom"/>
            <w:shd w:val="clear" w:color="auto" w:fill="000000"/>
          </w:tcPr>
          <w:p>
            <w:pPr>
              <w:spacing w:after="0"/>
              <w:rPr>
                <w:sz w:val="2"/>
                <w:szCs w:val="2"/>
                <w:color w:val="auto"/>
              </w:rPr>
            </w:pPr>
          </w:p>
        </w:tc>
        <w:tc>
          <w:tcPr>
            <w:tcW w:w="1020" w:type="dxa"/>
            <w:vAlign w:val="bottom"/>
            <w:gridSpan w:val="3"/>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vMerge w:val="continue"/>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(135,320)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Arial" w:cs="Arial" w:eastAsia="Arial" w:hAnsi="Arial"/>
                <w:sz w:val="18"/>
                <w:szCs w:val="18"/>
                <w:color w:val="auto"/>
              </w:rPr>
              <w:t>Deferred underwriting fee payable</w:t>
            </w: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15,496,250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Payment of offering costs through promissory note — related party</w:t>
            </w: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July 10, 2020 (inception) through December 31, 2020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3.</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4.</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Transaction costs charged to equity amounted to $24,895,463, consisting of $8,855,000 in cash underwriting fees, $15,496,250 of deferred underwriting fees and $544,213 of other offering costs. In addition, as of December 31, 2020, cash of $1,094,681 was held outside of the Trust Account (as defined below) and is available for the payment of offering costs and for working capital purposes.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jc w:val="center"/>
        <w:ind w:right="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Class A common stock subject to possible redemption is presented as temporary equity, outside of the stockholders’ equity section of the Company’s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Offering costs consist of underwriting, legal, accounting and other expenses incurred through the Initial Public Offering that are directly related to the Initial Public Offering. Offering costs amounting to $24,895,463 were charged to stockholders’ equity upon the completion of the Initial Public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statement of operations includes a presentation of income (loss) per share for common shares subject to possible redemption in a manner similar to the two-class method of income (loss) per share. Net income per common share, basic and diluted, for Class A redeemable common stock is calculated by dividing the interest income earned on the Trust Account less income and franchise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Period From</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July 10, 2020</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Through</w:t>
            </w:r>
          </w:p>
        </w:tc>
      </w:tr>
      <w:tr>
        <w:trPr>
          <w:trHeight w:val="229"/>
        </w:trPr>
        <w:tc>
          <w:tcPr>
            <w:tcW w:w="100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2"/>
        </w:trPr>
        <w:tc>
          <w:tcPr>
            <w:tcW w:w="10020" w:type="dxa"/>
            <w:vAlign w:val="bottom"/>
          </w:tcPr>
          <w:p>
            <w:pPr>
              <w:spacing w:after="0" w:line="201" w:lineRule="exact"/>
              <w:rPr>
                <w:sz w:val="20"/>
                <w:szCs w:val="20"/>
                <w:color w:val="auto"/>
              </w:rPr>
            </w:pPr>
            <w:r>
              <w:rPr>
                <w:rFonts w:ascii="Arial" w:cs="Arial" w:eastAsia="Arial" w:hAnsi="Arial"/>
                <w:sz w:val="18"/>
                <w:szCs w:val="18"/>
                <w:color w:val="auto"/>
              </w:rPr>
              <w:t>Redeemable Class A Common Stock</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0020" w:type="dxa"/>
            <w:vAlign w:val="bottom"/>
          </w:tcPr>
          <w:p>
            <w:pPr>
              <w:ind w:left="180"/>
              <w:spacing w:after="0"/>
              <w:rPr>
                <w:sz w:val="20"/>
                <w:szCs w:val="20"/>
                <w:color w:val="auto"/>
              </w:rPr>
            </w:pPr>
            <w:r>
              <w:rPr>
                <w:rFonts w:ascii="Arial" w:cs="Arial" w:eastAsia="Arial" w:hAnsi="Arial"/>
                <w:sz w:val="18"/>
                <w:szCs w:val="18"/>
                <w:color w:val="auto"/>
              </w:rPr>
              <w:t>Numerator: Earnings allocable to Redeemable Class A 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13,951</w:t>
            </w:r>
          </w:p>
        </w:tc>
      </w:tr>
      <w:tr>
        <w:trPr>
          <w:trHeight w:val="237"/>
        </w:trPr>
        <w:tc>
          <w:tcPr>
            <w:tcW w:w="10020" w:type="dxa"/>
            <w:vAlign w:val="bottom"/>
          </w:tcPr>
          <w:p>
            <w:pPr>
              <w:ind w:left="340"/>
              <w:spacing w:after="0"/>
              <w:rPr>
                <w:sz w:val="20"/>
                <w:szCs w:val="20"/>
                <w:color w:val="auto"/>
              </w:rPr>
            </w:pPr>
            <w:r>
              <w:rPr>
                <w:rFonts w:ascii="Arial" w:cs="Arial" w:eastAsia="Arial" w:hAnsi="Arial"/>
                <w:sz w:val="18"/>
                <w:szCs w:val="18"/>
                <w:color w:val="auto"/>
              </w:rPr>
              <w:t>Income and Franchise Tax</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(13,951)</w:t>
            </w:r>
          </w:p>
        </w:tc>
      </w:tr>
      <w:tr>
        <w:trPr>
          <w:trHeight w:val="216"/>
        </w:trPr>
        <w:tc>
          <w:tcPr>
            <w:tcW w:w="100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Denominator: Weighted Average Redeemable Class A 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Class A Common Stock, Basic and Diluted</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44,275,000</w:t>
            </w:r>
          </w:p>
        </w:tc>
      </w:tr>
      <w:tr>
        <w:trPr>
          <w:trHeight w:val="230"/>
        </w:trPr>
        <w:tc>
          <w:tcPr>
            <w:tcW w:w="10020" w:type="dxa"/>
            <w:vAlign w:val="bottom"/>
          </w:tcPr>
          <w:p>
            <w:pPr>
              <w:ind w:left="180"/>
              <w:spacing w:after="0"/>
              <w:rPr>
                <w:sz w:val="20"/>
                <w:szCs w:val="20"/>
                <w:color w:val="auto"/>
              </w:rPr>
            </w:pPr>
            <w:r>
              <w:rPr>
                <w:rFonts w:ascii="Arial" w:cs="Arial" w:eastAsia="Arial" w:hAnsi="Arial"/>
                <w:sz w:val="18"/>
                <w:szCs w:val="18"/>
                <w:color w:val="auto"/>
              </w:rPr>
              <w:t>Earnings/Basic and Diluted Redeemable Class A 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403"/>
        </w:trPr>
        <w:tc>
          <w:tcPr>
            <w:tcW w:w="10020" w:type="dxa"/>
            <w:vAlign w:val="bottom"/>
          </w:tcPr>
          <w:p>
            <w:pPr>
              <w:spacing w:after="0"/>
              <w:rPr>
                <w:sz w:val="20"/>
                <w:szCs w:val="20"/>
                <w:color w:val="auto"/>
              </w:rPr>
            </w:pPr>
            <w:r>
              <w:rPr>
                <w:rFonts w:ascii="Arial" w:cs="Arial" w:eastAsia="Arial" w:hAnsi="Arial"/>
                <w:sz w:val="18"/>
                <w:szCs w:val="18"/>
                <w:color w:val="auto"/>
              </w:rPr>
              <w:t>Non-Redeemable Class A and B Common Stock</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020" w:type="dxa"/>
            <w:vAlign w:val="bottom"/>
          </w:tcPr>
          <w:p>
            <w:pPr>
              <w:ind w:left="180"/>
              <w:spacing w:after="0"/>
              <w:rPr>
                <w:sz w:val="20"/>
                <w:szCs w:val="20"/>
                <w:color w:val="auto"/>
              </w:rPr>
            </w:pPr>
            <w:r>
              <w:rPr>
                <w:rFonts w:ascii="Arial" w:cs="Arial" w:eastAsia="Arial" w:hAnsi="Arial"/>
                <w:sz w:val="18"/>
                <w:szCs w:val="18"/>
                <w:color w:val="auto"/>
              </w:rPr>
              <w:t>Numerator: Net Income (Loss) minus Redeemable Net Earnings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(192,244)</w:t>
            </w:r>
          </w:p>
        </w:tc>
      </w:tr>
      <w:tr>
        <w:trPr>
          <w:trHeight w:val="236"/>
        </w:trPr>
        <w:tc>
          <w:tcPr>
            <w:tcW w:w="10020" w:type="dxa"/>
            <w:vAlign w:val="bottom"/>
          </w:tcPr>
          <w:p>
            <w:pPr>
              <w:ind w:left="340"/>
              <w:spacing w:after="0"/>
              <w:rPr>
                <w:sz w:val="20"/>
                <w:szCs w:val="20"/>
                <w:color w:val="auto"/>
              </w:rPr>
            </w:pPr>
            <w:r>
              <w:rPr>
                <w:rFonts w:ascii="Arial" w:cs="Arial" w:eastAsia="Arial" w:hAnsi="Arial"/>
                <w:sz w:val="18"/>
                <w:szCs w:val="18"/>
                <w:color w:val="auto"/>
              </w:rPr>
              <w:t>Redeemable Net Earnings</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Non-Redeemable Net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Non-Redeemable Class A and B Common Stock, Basic and Diluted</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10,633,062</w:t>
            </w:r>
          </w:p>
        </w:tc>
      </w:tr>
      <w:tr>
        <w:trPr>
          <w:trHeight w:val="230"/>
        </w:trPr>
        <w:tc>
          <w:tcPr>
            <w:tcW w:w="10020" w:type="dxa"/>
            <w:vAlign w:val="bottom"/>
          </w:tcPr>
          <w:p>
            <w:pPr>
              <w:ind w:left="180"/>
              <w:spacing w:after="0"/>
              <w:rPr>
                <w:sz w:val="20"/>
                <w:szCs w:val="20"/>
                <w:color w:val="auto"/>
              </w:rPr>
            </w:pPr>
            <w:r>
              <w:rPr>
                <w:rFonts w:ascii="Arial" w:cs="Arial" w:eastAsia="Arial" w:hAnsi="Arial"/>
                <w:sz w:val="18"/>
                <w:szCs w:val="18"/>
                <w:color w:val="auto"/>
              </w:rPr>
              <w:t>Loss/Basic and Diluted Non-Redeemable Class A and B 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Note: As of December 31, 2020, basic and diluted shares are the same as there are no non-redeemable securities that are dilutive to the Company’s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there were no amounts outstanding under the Working Capital Loans.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jc w:val="center"/>
        <w:ind w:right="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there were no shares of preferred stock issued or outstanding.</w:t>
      </w:r>
    </w:p>
    <w:p>
      <w:pPr>
        <w:spacing w:after="0" w:line="18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Class A Common Stock </w:t>
      </w:r>
      <w:r>
        <w:rPr>
          <w:rFonts w:ascii="Arial" w:cs="Arial" w:eastAsia="Arial" w:hAnsi="Arial"/>
          <w:sz w:val="17"/>
          <w:szCs w:val="17"/>
          <w:color w:val="auto"/>
        </w:rPr>
        <w:t>— The Company is authorized to issue 380,000,000 shares of Class A common stock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common stock are entitled to one vote for each share. At December 31, 2020, there were 1,920,771 shares of Class A common stock issued and outstanding, excluding 42,354,229 shares of Class A common stock subject to possible redemption.</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December 31, 2020, there were 11,068,750 shares of Class B common stock issued and outstanding.</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jc w:val="center"/>
        <w:ind w:right="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21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6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jc w:val="center"/>
        <w:ind w:right="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$10.00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211"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jc w:val="center"/>
        <w:ind w:right="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NOTE 8. INCOME TAX</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ind w:left="340"/>
              <w:spacing w:after="0"/>
              <w:rPr>
                <w:sz w:val="20"/>
                <w:szCs w:val="20"/>
                <w:color w:val="auto"/>
              </w:rPr>
            </w:pPr>
            <w:r>
              <w:rPr>
                <w:rFonts w:ascii="Arial" w:cs="Arial" w:eastAsia="Arial" w:hAnsi="Arial"/>
                <w:sz w:val="18"/>
                <w:szCs w:val="18"/>
                <w:color w:val="auto"/>
              </w:rPr>
              <w:t>The Company’s net deferred tax assets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0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10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Organizational costs/Startup expenses</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23,469</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0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10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a U.S. federal net operating loss carryover of approximately $80,000 available to offset future taxable income.</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July 10, 2020 (inception) through December 31, 2020, the change in the valuation allowance was $40,371.</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p>
      <w:pPr>
        <w:jc w:val="center"/>
        <w:ind w:left="192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federal income tax rate to the Company’s effective tax rate at December 31, 2020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 taxes, net of federal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valuation allowance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2020</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21.0%</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0.0%</w:t>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-21.0%</w:t>
      </w:r>
    </w:p>
    <w:p>
      <w:pPr>
        <w:spacing w:after="0" w:line="8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7029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40640</wp:posOffset>
            </wp:positionV>
            <wp:extent cx="70294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80" w:space="720"/>
            <w:col w:w="1240"/>
          </w:cols>
          <w:pgMar w:left="320" w:top="796" w:right="339" w:bottom="1440" w:gutter="0" w:footer="0" w:header="0"/>
        </w:sectPr>
      </w:pP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560" w:hanging="903"/>
        <w:spacing w:after="0" w:line="342" w:lineRule="auto"/>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51" w:lineRule="exact"/>
        <w:rPr>
          <w:sz w:val="20"/>
          <w:szCs w:val="20"/>
          <w:color w:val="auto"/>
        </w:rPr>
      </w:pPr>
    </w:p>
    <w:p>
      <w:pPr>
        <w:ind w:left="1560" w:right="20" w:hanging="903"/>
        <w:spacing w:after="0" w:line="277" w:lineRule="auto"/>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9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2020, assets held in the Trust Account were comprised of $442,763,951 in money market funds which are invested primarily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 During the year ended December 31, 2020, the Company did not withdraw any interest income from the Trust Account.</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Level</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442,763,951</w:t>
            </w:r>
          </w:p>
        </w:tc>
      </w:tr>
      <w:tr>
        <w:trPr>
          <w:trHeight w:val="547"/>
        </w:trPr>
        <w:tc>
          <w:tcPr>
            <w:tcW w:w="8780" w:type="dxa"/>
            <w:vAlign w:val="bottom"/>
            <w:tcBorders>
              <w:bottom w:val="single" w:sz="8" w:color="auto"/>
            </w:tcBorders>
            <w:gridSpan w:val="2"/>
          </w:tcPr>
          <w:p>
            <w:pPr>
              <w:ind w:left="5460"/>
              <w:spacing w:after="0"/>
              <w:rPr>
                <w:sz w:val="20"/>
                <w:szCs w:val="20"/>
                <w:color w:val="auto"/>
              </w:rPr>
            </w:pPr>
            <w:r>
              <w:rPr>
                <w:rFonts w:ascii="Arial" w:cs="Arial" w:eastAsia="Arial" w:hAnsi="Arial"/>
                <w:sz w:val="18"/>
                <w:szCs w:val="18"/>
                <w:color w:val="auto"/>
              </w:rPr>
              <w:t>F-18</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type w:val="continuous"/>
        </w:sectPr>
      </w:pPr>
    </w:p>
    <w:bookmarkStart w:id="78" w:name="page79"/>
    <w:bookmarkEnd w:id="78"/>
    <w:p>
      <w:pPr>
        <w:jc w:val="center"/>
        <w:ind w:right="4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 through the merger of Merger Sub with and into Sema4, with Sema4 surviving as a wholly-owned subsidiary of the Company (the “Merger”)</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19" w:lineRule="exact"/>
        <w:rPr>
          <w:sz w:val="20"/>
          <w:szCs w:val="20"/>
          <w:color w:val="auto"/>
        </w:rPr>
      </w:pPr>
    </w:p>
    <w:p>
      <w:pPr>
        <w:jc w:val="both"/>
        <w:ind w:left="66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16"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amount of cash payable to such stockholder pursuant to its cash election, if any, divided by (ii) $10.</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1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1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Agreement.On February 10, 2021, concurrently with the execution of the Merger Agreement, the Company entered into subscription agreements (collectively, the “Subscription Agreements”) with certain investors (collectively, the “PIPE Investors” which include certain existing equityholders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132"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of December 31, 2020, CM Life Sciences, Inc., (“we,” “our,” “us” or the “Company”) had the following three classes of securities registered under Section 12 of the Securities Exchange Act of 1934, as amended (the “Exchange Act”): (i) its units, each consisting of one share of Class A common stock and one-third of one redeemable warrant (the “Units”), (ii) Class A common stock, par value $0.0001 per share (“Class A Common Stock”), and (iii) redeemable warrants, each whole warrant exercisable for one share of Class A Common Stock at an exercise price of $11.50.</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summary includes a brief description of such securities as well as a description of the Company’s Class B common stock, par value $0.0001 per share (“Class B Common Stock” or “Founder Shares”), which are not registered pursuant to Section 12 of the Exchange Act but are convertible into Class A Common Stock. The description of the Class B Common Stock is necessary to understand the material terms of the Class A Common Stock. Unless the context otherwise requires, references to our “Sponsor” are to CMLS Holdings, LLC and references to our “initial stockholders” are to our Sponsor and certain of our independent directors, as they held our Founder Shares prior to our initial public offering (the “Initial Public Offering”). The following also summarizes certain provisions of the General Corporation Law of the State of Delaware (the “DGCL”) and is subject to and qualified in its entirely by reference to the DGCL.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our second amended and restated certificate of incorporation, we are authorized to issue 400,000,000 shares of common stock, $0.0001 par value each, including 380,000,000 shares of Class A Common Stock and 20,000,000 shares of Class B Common Stock, as well as 1,000,000 shares of preferred stock, $0.0001 par value each.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unit consists of one share of Class A Common Stock and one-third of one redeemable warrant. Each whole warrant entitles the holder thereof to purchase one share of Class A Common Stock at a price of $11.50 per share, subject to adjustment. Pursuant to the warrant agreement, a warrant holder may exercise its warrants only for a whole number of the shares of Company’s Class A Common Stock. This means only a whole warrant may be exercised at any given time by a warrant holder. For example, if a warrant holder holds one-third of one warrant to purchase a share of Class A Common Stock, such warrant will not be exercisable. If a warrant holder holds three-thirds of one warrant, such whole warrant will be exercisable for one share of Class A Common Stock at a price of $11.50 per share. No fractional warrants have been issued upon separation of the units and only whole warrants trade.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 Unless specified in our second amended and restated certificate of incorporation,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our second amended and restated certificate of incorporation authorizes the issuance of up to 380,000,000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initial business combination. Our board of directors is divided into three classes with only one class of directors being elected in each year and each class (except for those directors appointed prior to our first annual meeting of stockholders) serving a three-year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both"/>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hold in connection with the completion of our initial business combination. Unlike many special purpose acquisition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second amended and restated certificate of incorporation, conduct the redemptions pursuant to the tender offer rules of the SEC, and file tender offer documents with the SEC prior to completing our initial business combination. Our second amended and restated certificate of incorporation requires these tender offer documents to contain substantially the same financial and other information about our initial business combination and the redemption rights as is required under the SEC’s proxy rules. If, however, a stockholder approval of the transaction is required by law, or we decide to obtain stockholder approval for business or other legal reasons, we will, like many special purpose acquisition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our initial business combination. However, the participation of our sponsor, officers, directors, advisors or their respective affiliates in privately-negotiated transactions, if any, could result in the approval of our initial business combination even if a majority of our public stockholders vote, or indicate their intention to vote, against such initial business combination. For purposes of seeking approval of the majority of our outstanding shares of common stock, non-votes will have no effect on the approval of our initial business combination once a quorum is obtained.</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second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20% of the shares sold in the Initial Public Offering, which we refer to as the “Excess Shares,” without our prior consent.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our initial business combination. And, as a result, such stockholders will continue to hold that number of shares exceeding 20% and, in order to dispose such shares would be required to sell their shares in open market transactions, potentially at a loss.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seek stockholder approval in connection with our initial business combination, our initial stockholders, sponsor, officers and directors have agreed to vote any Founder Shares they hold and any public shares purchased during or after the Initial Public Offering in favor of our initial business combination. As a result, in addition to our initial stockholders’ Founder Shares, we would need 16,603,126, or 37.5%, of the 44,275,000 public shares sold in the Initial Public Offering to be voted in favor of an initial business combination in order to have our initial business combination approved (assuming all outstanding shares are voted). Additionally, each public stockholder may elect to redeem their public shares irrespective of whether they vote for or against the proposed transaction.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1" w:name="page82"/>
    <w:bookmarkEnd w:id="81"/>
    <w:p>
      <w:pPr>
        <w:jc w:val="both"/>
        <w:spacing w:after="0" w:line="268" w:lineRule="auto"/>
        <w:rPr>
          <w:sz w:val="20"/>
          <w:szCs w:val="20"/>
          <w:color w:val="auto"/>
        </w:rPr>
      </w:pPr>
      <w:r>
        <w:rPr>
          <w:rFonts w:ascii="Arial" w:cs="Arial" w:eastAsia="Arial" w:hAnsi="Arial"/>
          <w:sz w:val="17"/>
          <w:szCs w:val="17"/>
          <w:color w:val="auto"/>
        </w:rPr>
        <w:t>Pursuant to our second amended and restated certificate of incorporation, if we are unable to complete our initial business combination within 24 months from the closing of the Initial Public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Our initial stockholders have entered into agreements with us, pursuant to which they have agreed to waive their rights to liquidating distributions from the trust account with respect to their Founder Shares if we fail to complete our initial business combination within 24 months from the closing of the Initial Public Offering or during any extended period of time that we may have to consummate an initial business combination as a result of an amendment to our second amended and restated certificate of incorporation (an “Extension Period”). However, if our initial stockholders or management team acquire public shares in or after the Initial Public Offering, they will be entitled to liquidating distributions from the trust account with respect to such public shares if we fail to complete our initial business combination within the prescribed time period.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shares, if any, having preference over the common stock. Our stockholders have no preemptive or other subscription rights. There are no sinking fund provisions applicable to the common stock, except that we will provide our public stockholders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described herein.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Founder Shares are designated as Class B Common Stock and, except as described below, are identical to the shares of Class A Common Stock included in the units being sold in the Initial Public Offering, and holders of Founder Shares have the same stockholder rights as public stockholders, except that (i) the Founder Shares are subject to certain transfer restrictions, as described in more detail below, (ii) our initial stockholders, sponsor, officers and directors have entered into a letter agreement with us, pursuant to which they have agreed (A) to waive their redemption rights with respect to any Founder Shares and public shares they hold in connection with the completion of our initial business combination, (B) to waive their redemption rights with respect to any Founder Shares and public shares they hold in connection with a stockholder vote to approve an amendment to our second amended and restated certificate of incorporation to modify the substance or timing of our obligation to redeem 100% of our public shares if we have not consummated an initial business combination within 24 months from the closing the Initial Public Offering or with respect to any other material provisions relating to stockholders’ rights or pre-initial business combination activity and (C) to waive their rights to liquidating distributions from the trust account with respect to any Founder Shares they hold if we fail to complete our initial business combination within 24 months from the closing of the Initial Public Offering or during any Extension Period, although they will be entitled to liquidating distributions from the trust account with respect to any public shares they hold if we fail to complete our initial business combination within such time period, and (iii) the Founder Shares are automatically convertible into Class A Common Stock concurrently with or immediately following the consummation of our initial business combination on a one-for-one basis, subject to adjustment as described herein and in our second amended and restated certificate of incorporation. If we submit our initial business combination to our public stockholders for a vote, our initial stockholders have agreed to vote their Founder Shares and any public shares purchased during or after the Initial Public Offering in favor of our initial business combination.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2" w:name="page83"/>
    <w:bookmarkEnd w:id="82"/>
    <w:p>
      <w:pPr>
        <w:jc w:val="both"/>
        <w:spacing w:after="0" w:line="286" w:lineRule="auto"/>
        <w:rPr>
          <w:sz w:val="20"/>
          <w:szCs w:val="20"/>
          <w:color w:val="auto"/>
        </w:rPr>
      </w:pPr>
      <w:r>
        <w:rPr>
          <w:rFonts w:ascii="Arial" w:cs="Arial" w:eastAsia="Arial" w:hAnsi="Arial"/>
          <w:sz w:val="16"/>
          <w:szCs w:val="16"/>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Up to 1,443,750 Founder Shares will be forfeited by our sponsor depending on the exercise of the over-allotment option.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second amended and restated certificate of incorporation authorizes 1,000,000 shares of preferred stock and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of us or the removal of existing management. We have no preferred shares outstanding at the date hereof. Although we do not currently intend to issue any shares of preferred stock, we cannot assure you that we will not do so in the future. No shares of preferred stock are being issued or registered in the Initial Public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Each whole warrant entitles the registered holder to purchase one share of Class A Common Stock at a price of $11.50 per share, subject to adjustment as discussed below, at any time commencing on the later of 12 months from the closing of the Initial Public Offering and 30 days after the completion of our initial business combination, provided in each case that we have an effective registration statement under the Securities Act of 1933, as amended (the “Securities Act”) covering the shares of Class A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Class A Common Stock. This means only a whole warrant may be exercised at a given time by a warrant holder. No fractional warrants have been issued upon separation of the units and only whole warrants will trade. Accordingly, unless you purchase at least three units, you will not be able to receive or trade a whole warrant. The warrants will expire five years after the completion of our initial business combination, at 5:00 p.m., New York City time, or earlier upon redemption or liquidation.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3" w:name="page84"/>
    <w:bookmarkEnd w:id="83"/>
    <w:p>
      <w:pPr>
        <w:jc w:val="both"/>
        <w:spacing w:after="0" w:line="289" w:lineRule="auto"/>
        <w:rPr>
          <w:sz w:val="20"/>
          <w:szCs w:val="20"/>
          <w:color w:val="auto"/>
        </w:rPr>
      </w:pPr>
      <w:r>
        <w:rPr>
          <w:rFonts w:ascii="Arial" w:cs="Arial" w:eastAsia="Arial" w:hAnsi="Arial"/>
          <w:sz w:val="16"/>
          <w:szCs w:val="16"/>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our satisfying our obligations described below with respect to registration.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statement covering the shares of Class A Common Stock issuable upon exercise of the warrants is not effective by the sixtieth (60</w:t>
      </w:r>
      <w:r>
        <w:rPr>
          <w:rFonts w:ascii="Arial" w:cs="Arial" w:eastAsia="Arial" w:hAnsi="Arial"/>
          <w:sz w:val="26"/>
          <w:szCs w:val="26"/>
          <w:color w:val="auto"/>
          <w:vertAlign w:val="superscript"/>
        </w:rPr>
        <w:t>th</w:t>
      </w:r>
      <w:r>
        <w:rPr>
          <w:rFonts w:ascii="Arial" w:cs="Arial" w:eastAsia="Arial" w:hAnsi="Arial"/>
          <w:sz w:val="16"/>
          <w:szCs w:val="16"/>
          <w:color w:val="auto"/>
        </w:rPr>
        <w:t>)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such event, each holder would pay the exercise price by surrendering the warrants for that number of shares of Class A Common Stock equal to the lesser of (A) the quotient obtained by dividing</w:t>
      </w:r>
    </w:p>
    <w:p>
      <w:pPr>
        <w:spacing w:after="0" w:line="7" w:lineRule="exact"/>
        <w:rPr>
          <w:sz w:val="20"/>
          <w:szCs w:val="20"/>
          <w:color w:val="auto"/>
        </w:rPr>
      </w:pPr>
    </w:p>
    <w:p>
      <w:pPr>
        <w:jc w:val="both"/>
        <w:ind w:firstLine="8"/>
        <w:spacing w:after="0" w:line="253" w:lineRule="auto"/>
        <w:tabs>
          <w:tab w:leader="none" w:pos="2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product of the number of shares of Class A Common Stock underlying the warrants, multiplied by the excess of the “fair market value” (defined below) less the exercise price of the warrants by (y) the fair market value and (B) 0.361. The “fair market value” as used in this paragraph shall mean the volume weighted average price of the Class A Common Stock for the 10 trading days ending on the trading day prior to the date on which the notice of exercise is received by the warrant agent.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$18.00.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17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adjustments to the number of shares issuable upon exercise or the exercise price of a warrant as described under the heading “— Warrants — Public Stockholders’ Warrants — Anti-Dilution Adjustments”) for any 20 trading days within a 30-trading day period ending three trading days before we send the notice of redemption to the warrant holders.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 None of the private placement warrants will be redeemable by us (except as described below under the heading “— Warrants — Public Stockholders’ Warrants — Redemption of warrants when the price per share of Class A Common Stock equals or exceeds $10.00”) so long as they are held by the initial purchasers of the private placement warrants or their permitted transferees.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4" w:name="page85"/>
    <w:bookmarkEnd w:id="84"/>
    <w:p>
      <w:pPr>
        <w:jc w:val="both"/>
        <w:spacing w:after="0" w:line="255"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adjusted for adjustments to the number of shares issuable upon exercise or the exercise price of a warrant as described under the heading “— Warrants — Public Stockholders’ Warrants — Anti-dilution Adjustments”) as well as the $11.50 (for whole shares) warrant exercise price after the redemption notice is issued.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at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determined by reference to the table below, based on the redemption date and the “fair market value” (as defined below) of our Class A Common Stock except as otherwise described below;</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$10.00 per public share (as adjusted for adjustments to the number of shares issuable upon exercise or the exercise price of a warrant as described under the heading “— Warrants — Public Stockholders’ Warrants — Anti-Dilution Adjustments”) for any 20 trading days within the 30-trading day period ending three trading days before we send the notice of redemption to the warrant holders; and</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 Warrants — Public Shareholders’ Warrants — Anti-dilution Adjustments”), the private placement warrants must also be concurrently called for redemption on the same terms as the outstanding public warrants, as described above.</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our Class A Common Stock on the corresponding redemption date (assuming holders elect to exercise their warrants and such warrants are not redeemed for $0.10 per warrant), determined for these purposes based on volume weighted average price of our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 Pursuant to the warrant agreement, references above to Class A Common Stock shall include a security other than Class A Common Stock into which the Class A Common Stock have been converted or exchanged for in the event we are not the surviving company in our initial business combination. The numbers in the table below will not be adjusted when determining the number of shares of Class A Common Stock to be issued upon exercise of the warrants if we are not the surviving entity following our initial business combination.</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w:t>
      </w:r>
    </w:p>
    <w:p>
      <w:pPr>
        <w:spacing w:after="0" w:line="4" w:lineRule="exact"/>
        <w:rPr>
          <w:sz w:val="20"/>
          <w:szCs w:val="20"/>
          <w:color w:val="auto"/>
        </w:rPr>
      </w:pPr>
    </w:p>
    <w:p>
      <w:pPr>
        <w:jc w:val="both"/>
        <w:ind w:firstLine="8"/>
        <w:spacing w:after="0" w:line="271" w:lineRule="auto"/>
        <w:tabs>
          <w:tab w:leader="none" w:pos="258"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case of an adjustment pursuant to the fifth paragraph under 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 (b) in the case of an adjustment pursuant to the second paragraph under the heading “— Anti-dilution Adjustments” below, the adjusted share prices in the column headings will equal the unadjusted share price less the decrease in the exercise price of a warrant pursuant to such exercise price adjustment.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50"/>
        </w:trPr>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Redemption Date (period to</w:t>
            </w: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4120" w:type="dxa"/>
            <w:vAlign w:val="bottom"/>
            <w:tcBorders>
              <w:top w:val="single" w:sz="8" w:color="auto"/>
              <w:bottom w:val="single" w:sz="8" w:color="auto"/>
            </w:tcBorders>
            <w:gridSpan w:val="9"/>
          </w:tcPr>
          <w:p>
            <w:pPr>
              <w:ind w:left="600"/>
              <w:spacing w:after="0"/>
              <w:rPr>
                <w:sz w:val="20"/>
                <w:szCs w:val="20"/>
                <w:color w:val="auto"/>
              </w:rPr>
            </w:pPr>
            <w:r>
              <w:rPr>
                <w:rFonts w:ascii="Arial" w:cs="Arial" w:eastAsia="Arial" w:hAnsi="Arial"/>
                <w:sz w:val="18"/>
                <w:szCs w:val="18"/>
                <w:b w:val="1"/>
                <w:bCs w:val="1"/>
                <w:color w:val="auto"/>
                <w:w w:val="92"/>
              </w:rPr>
              <w:t>Fair Market Value of Class A Common Stock</w:t>
            </w: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expiration of warrants)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≤10.00</w:t>
            </w: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11.00</w:t>
            </w:r>
          </w:p>
        </w:tc>
        <w:tc>
          <w:tcPr>
            <w:tcW w:w="22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12.00</w:t>
            </w:r>
          </w:p>
        </w:tc>
        <w:tc>
          <w:tcPr>
            <w:tcW w:w="22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13.00</w:t>
            </w:r>
          </w:p>
        </w:tc>
        <w:tc>
          <w:tcPr>
            <w:tcW w:w="22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14.00</w:t>
            </w:r>
          </w:p>
        </w:tc>
        <w:tc>
          <w:tcPr>
            <w:tcW w:w="22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15.00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16.00</w:t>
            </w:r>
          </w:p>
        </w:tc>
        <w:tc>
          <w:tcPr>
            <w:tcW w:w="20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17.00</w:t>
            </w:r>
          </w:p>
        </w:tc>
        <w:tc>
          <w:tcPr>
            <w:tcW w:w="20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≥18.00</w:t>
            </w:r>
          </w:p>
        </w:tc>
        <w:tc>
          <w:tcPr>
            <w:tcW w:w="100" w:type="dxa"/>
            <w:vAlign w:val="bottom"/>
          </w:tcPr>
          <w:p>
            <w:pPr>
              <w:spacing w:after="0"/>
              <w:rPr>
                <w:sz w:val="19"/>
                <w:szCs w:val="19"/>
                <w:color w:val="auto"/>
              </w:rPr>
            </w:pPr>
          </w:p>
        </w:tc>
      </w:tr>
      <w:tr>
        <w:trPr>
          <w:trHeight w:val="216"/>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60 months</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0.348</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0.358</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57 months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0.257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0.277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0.294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0.310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0.324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0.337</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0.348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0.358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 months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51 months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0.246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0.268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0.287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0.304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0.320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0.333</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0.346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0.357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 months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45 months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0.235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0.258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0.279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0.298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0.315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0.330</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0.343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0.356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months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0.228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39 months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0.221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0.246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0.269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0.290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0.309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0.325</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0.340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0.354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 months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33 months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0.205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0.232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0.257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0.280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0.301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0.320</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0.337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0.352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months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0.224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27 months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0.185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0.214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0.242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0.268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0.291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0.313</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0.332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0.350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 months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0.329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21 months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0.161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0.193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0.223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0.252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0.279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0.304</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0.326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0.347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 months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0.322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15 months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0.130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0.164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0.197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0.230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0.262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0.291</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0.317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0.342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 months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0.312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9 months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0.090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0.125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0.162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0.199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0.237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0.272</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0.305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0.336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months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0.034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0.065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0.104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0.150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0.197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0.243</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0.286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0.326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months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0.323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Common Stock for each whole warrant. For an example where the exact fair market value and redemption date are not as set forth in the table above, if the volume weighted average price of our Class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shares of Class A Common Stock.</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redemption feature differs from the typical warrant redemption features used in other blank check offerings, which typically only provide for a redemption of warrants for cash (other than the private placement warrants) when the trading price for the Class A Common Stock exceeds $18.00 per share for a specified period of time. This redemption feature is structured to allow for all of the outstanding warrants to be redeemed when the Class A Common Stock are trading at or above $10.00 per share, which may be at a time when the trading price of our Class A Common Stock is below the exercise price of the warrants. We have established this redemption feature to provide us with the flexibility to redeem the warrants without the warrants having to reach the $18.00 per share threshold set forth above under “— Redemption of warrants when the price per share of Class A Common Stock equals or exceeds $18.00.” Holders choosing to exercise their warrants in connection with a redemption pursuant to this feature will, in effect, receive a number of shares for their warrants based on an option pricing model with a fixed volatility input as of September 1, 2020. This redemption right provides us with an additional mechanism by which to redeem all of the outstanding warrants, and therefore have certainty as to our capital structure as the warrants would no longer be outstanding and would have been exercised or redeemed and we will be required to pay the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86" w:name="page87"/>
    <w:bookmarkEnd w:id="86"/>
    <w:p>
      <w:pPr>
        <w:jc w:val="both"/>
        <w:spacing w:after="0" w:line="255" w:lineRule="auto"/>
        <w:rPr>
          <w:sz w:val="20"/>
          <w:szCs w:val="20"/>
          <w:color w:val="auto"/>
        </w:rPr>
      </w:pPr>
      <w:r>
        <w:rPr>
          <w:rFonts w:ascii="Arial" w:cs="Arial" w:eastAsia="Arial" w:hAnsi="Arial"/>
          <w:sz w:val="18"/>
          <w:szCs w:val="18"/>
          <w:color w:val="auto"/>
        </w:rPr>
        <w:t>As stated above, we can redeem the warrants when the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Common Stock are trading at a price below the exercise price of the warrants, this could result in the warrant holders receiving fewer Class A Common Stock than they would have received if they had chosen to wait to exercise their warrants for Class A Common Stock if and when such Class A Common Stock were trading at a price higher than the exercise price of $11.50.</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fractional Class A Common Stock will be issued upon exercise. If, upon exercise, a holder would be entitled to receive a fractional interest in a share, we will round down to the nearest whole number of the number of Class A Common Stock to be issued to the holder. If, at the time of redemption, the warrants are exercisable for a security other than the shares of Class A Common Stock pursuant to the warrant agreement (for instance, if we are not the surviving company in our initial business combination), the warrants may be exercised for such security. At such time as the warrants become exercisable for a security other than the Class A Common Stock, the Company (or surviving company) will use its commercially reasonable efforts to register under the Securities Act the security issuable upon exercise of the warrants.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the number of outstanding shares of Class A Common Stock is increased by a capitalization or share dividend payable in Class A Common Stock, or by a split-up of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ordinary stock. A rights offering made to all or substantially all holders of common stock entitling holders to purchase Class A Common Stock at a price less than the “historical fair market value” (as defined below) will be deemed a share dividend of a number of shares of Class A Common Stock equal to the product of</w:t>
      </w:r>
    </w:p>
    <w:p>
      <w:pPr>
        <w:spacing w:after="0" w:line="2" w:lineRule="exact"/>
        <w:rPr>
          <w:sz w:val="20"/>
          <w:szCs w:val="20"/>
          <w:color w:val="auto"/>
        </w:rPr>
      </w:pPr>
    </w:p>
    <w:p>
      <w:pPr>
        <w:jc w:val="both"/>
        <w:ind w:firstLine="8"/>
        <w:spacing w:after="0" w:line="288" w:lineRule="auto"/>
        <w:tabs>
          <w:tab w:leader="none" w:pos="227"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number of shares of Class A Common Stock actually sold in such rights offering (or issuable under any other equity securities sold in such rights offering that are convertible into or exercisable for Class A Common Stock) and (ii) one minus the quotient of (x) the price per share of Class A Common Stock paid in such rights offering and (y) the historical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“historical fair market value” means the volume weighted average price of Class A Common stock as reported during the 10 trading day period ending on the trading day prior to the first date on which the Class A Common Stock trade on the applicable exchange or in the applicable market, regular way, without the right to receive such rights.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all or substantially all of the holders of the Class A Common Stock on account of such Class A Common Stock (or other securities into which the warrants are convertible), other than (a) as described above, (b) any cash dividends or cash distributions which, when combined on a per share basis with all other cash dividends and cash distributions paid on the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(c) to satisfy the redemption rights of the holders of Class A Common Stock in connection with a proposed initial business combination, (d) to satisfy the redemption rights of the holders of Class A Common Stock in connection with a shareholder vote to amend our second amended and restated certificate of incorporation (A) to modify the substance or timing of our obligation to provide holders of our Class A Common Stock the right to have their shares redeemed in connection with our initial business combination or to redeem 100% of our public shares if we do not complete our initial business combination within 24 months from the closing of the Initial Public Offering or (B) with respect to any other provision relating to the rights of holders of our Class A Common Stock,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7" w:name="page88"/>
    <w:bookmarkEnd w:id="87"/>
    <w:p>
      <w:pPr>
        <w:jc w:val="both"/>
        <w:spacing w:after="0" w:line="259" w:lineRule="auto"/>
        <w:rPr>
          <w:sz w:val="20"/>
          <w:szCs w:val="20"/>
          <w:color w:val="auto"/>
        </w:rPr>
      </w:pPr>
      <w:r>
        <w:rPr>
          <w:rFonts w:ascii="Arial" w:cs="Arial" w:eastAsia="Arial" w:hAnsi="Arial"/>
          <w:sz w:val="18"/>
          <w:szCs w:val="18"/>
          <w:color w:val="auto"/>
        </w:rPr>
        <w:t>If the number of outstanding shares of Class A Common Stock is decreased by a consolidation, combination, reverse share split or reclassification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if (x) we issue additional shares of Class A Common Stock or equity-linked securities for capital raising purposes in connection with the closing of our initial business combination (excluding any issuance of forward purchase shares) at an issue price or effective issue price of less than $9.20 per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4" w:lineRule="exact"/>
        <w:rPr>
          <w:sz w:val="20"/>
          <w:szCs w:val="20"/>
          <w:color w:val="auto"/>
        </w:rPr>
      </w:pPr>
    </w:p>
    <w:p>
      <w:pPr>
        <w:jc w:val="both"/>
        <w:ind w:firstLine="8"/>
        <w:spacing w:after="0" w:line="269" w:lineRule="auto"/>
        <w:tabs>
          <w:tab w:leader="none" w:pos="252"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volume weighted average trading price of our Class A Common Stock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above under “— Redemption of warrants when the price per share of Class A Common Stock equals or exceeds $18.00” will be adjusted (to the nearest cent) to be equal to 180% of the higher of the Market Value and the Newly Issued Price, and the $10.00 per share redemption trigger price described above under “— Redemption of warrants when the price per share of Class A Common Stock equals or exceeds $10.00” will be adjusted (to the nearest cent) to be equal to the higher of the Market Value and the Newly Issued Price.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warrants have been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 You should review a copy of the warrant agreement, which was filed as Exhibit to 10.1 to the Company’s current report on Form 8-K filed with the SEC on September 4, 2020, for a complete description of the terms and conditions applicable to the warrants.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8" w:name="page89"/>
    <w:bookmarkEnd w:id="88"/>
    <w:p>
      <w:pPr>
        <w:jc w:val="both"/>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Except as described below, the private placement warrants have terms and provisions that are identical to those of the warrants sold as part of the units in the Initial Public Offering. The private placement warrants (including the Class A Common Stock issuable upon exercise of the private placement warrants) will not be transferable, assignable or salable until 30 days after the completion of our initial business combination (except pursuant to limited exceptions to our officers and directors and other persons or entities affiliated with the initial purchasers of the private placement warrants) and they will not be redeemable by us so long as they are held by the initial purchasers of the private placement warrants or their permitted transferees (except as otherwise set forth herein). The initial purchasers of the private placement warrants, or their permitted transferees, have the option to exercise the private placement warrants on a cashless basis. If the private placement warrants are held by holders other than initial purchasers of the private placement warrants or their permitted transferees, the private placement warrants will be redeemable by us in all redemption scenarios and exercisable by the holders on the same basis as the warrants included in the units being sold in the Initial Public Offering.</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“Purchaser fair market value” (defined below) over the exercise price of the warrants by (y) the Purchaser fair market value. For these purposes, the “Purchaser fair market value” shall mean the average reported closing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the initial purchasers and their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 business combination entity at a price of $1.50 per warrant at the option of the lender. Such warrants would be identical to the private placement warrants.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initial stockholders have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transfers can be made to our officers and directors and other persons or entities affiliated with the sponsor.</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incur any indebtedness, our ability to declare dividends may be limited by restrictive covenants we may agree to in connection therewith.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certificate of incorporation contains certain requirements and restrictions that will apply to us until the completion of our initial business combination. These provisions cannot be amended without the approval of the holders of 65% of our common stock. Our initial stockholders, who will collectively beneficially own approximately 20% of our common stock, may participate in any vote to amend our second amended and restated certificate of incorporation and will have the discretion to vote in any manner they choose. Specifically, our second amended and restated certificate of incorporation provides, among other things, that:</w:t>
      </w:r>
    </w:p>
    <w:p>
      <w:pPr>
        <w:spacing w:after="0" w:line="188" w:lineRule="exact"/>
        <w:rPr>
          <w:sz w:val="20"/>
          <w:szCs w:val="20"/>
          <w:color w:val="auto"/>
        </w:rPr>
      </w:pPr>
    </w:p>
    <w:p>
      <w:pPr>
        <w:jc w:val="both"/>
        <w:ind w:left="660" w:hanging="328"/>
        <w:spacing w:after="0" w:line="290"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we are unable to complete our initial business combination within 24 months from the closing of the Initial Public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165"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securities that would entitle the holders thereof to (i) receive funds from the trust account or (ii) vote as a class with our public shares (a) on our initial business combination or (b) to approve an amendment to our second amended and restated certificate of incorporation to (x) extend the time we have to consummate a business combination beyond 24 months from the closing of the Initial Public Offering or (y) amend the foregoing provisions;</w:t>
      </w:r>
    </w:p>
    <w:p>
      <w:pPr>
        <w:spacing w:after="0" w:line="186"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are not prohibited from entering into a business combination with a target business that is affiliated with our sponsor, our directors or our executive officers.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 A target will not be deemed an affiliate solely by virtue of ownership by our sponsor or its affiliates, or any of their or our executive officers or directors, of less than 10% of its common stock, individually or in the aggregate;</w:t>
      </w:r>
    </w:p>
    <w:p>
      <w:pPr>
        <w:spacing w:after="0" w:line="176"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17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0" w:name="page91"/>
    <w:bookmarkEnd w:id="90"/>
    <w:p>
      <w:pPr>
        <w:jc w:val="both"/>
        <w:ind w:left="660" w:hanging="328"/>
        <w:spacing w:after="0" w:line="25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our stockholders approve an amendment to our second amended and restated certificate of incorporation to modify the substance or timing of our obligation to redeem 100% of our public shares if we do not complete our initial business combination within 24 months from the closing of the Initial Public Offering, or with respect to any other material provisions relating to stockholders’ rights or pre-initial business combination activity, we will provide our public stockholders with the opportunity to redeem all or a portion of their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described herein; and</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our second amended and restated certificate of incorporation provides that under no circumstances will we redeem our public shares in an amount that would cause our net tangible assets to be less than $5,000,001.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Second Amended and Restated Certificate of Incorporation and Bylaws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opted out of the provisions of Section 203 of the DGCL regulating corporate takeovers. However, our second amended and restated certificate of incorporation contains similar provisions that will prevent us, under certain circumstances, from engaging in a “business combination” with:</w:t>
      </w:r>
    </w:p>
    <w:p>
      <w:pPr>
        <w:spacing w:after="0" w:line="12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associate of an interested stockholder,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three years following the date that the stockholder became an interested stockholder, provided that our sponsor and its affiliates, any of its respective direct or indirect transferees who hold at least 15% of our outstanding common stock after such transfer and any group as to which such persons are party to, do not constitute “interested stockholders” for purposes of this provision.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our second amended and restated certificate of incorporation do not apply if:</w:t>
      </w:r>
    </w:p>
    <w:p>
      <w:pPr>
        <w:spacing w:after="0" w:line="17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board of directors approves the transaction that made the stockholder an “interested stockholder,” prior to the date of the transaction;</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second amended and restated certificate of incorporation provides that our board of directors will be classified into three classes of directors. As a result, in most circumstances, a person can gain control of our board only by successfully engaging in a proxy contest at two or more annual meetings.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Exclusive forum for certain lawsuits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second amended and restated certificate of incorporation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second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2" w:lineRule="exact"/>
        <w:rPr>
          <w:sz w:val="20"/>
          <w:szCs w:val="20"/>
          <w:color w:val="auto"/>
        </w:rPr>
      </w:pPr>
    </w:p>
    <w:p>
      <w:pPr>
        <w:jc w:val="both"/>
        <w:ind w:firstLine="8"/>
        <w:spacing w:after="0" w:line="252" w:lineRule="auto"/>
        <w:tabs>
          <w:tab w:leader="none" w:pos="2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Notwithstanding the foregoing, our second amended and restated certificate of incorporation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Section 22 of the Securities Act, however, created concurrent jurisdiction for federal and state courts over all suits brought to enforce any duty or liability created by the Securities Act or the rules and regulations thereunder. Accordingly, there is uncertainty as to whether a court would enforce such provisions, and the enforceability of similar choice of forum provisions in other companies’ charter documents has been challenged in legal proceedings. While the Delaware courts have determined that such exclusive forum provisions are facially valid, a stockholder may nevertheless seek to bring a claim in a venue other than those designated in the exclusive forum provisions, and there can be no assurance that such provisions will be enforced by a court in those other jurisdictions. Any person or entity purchasing or otherwise acquiring any interest in our securities shall be deemed to have notice of and consented to these provisions; however, we note that investors cannot waive compliance with the federal securities laws and the rules and regulations thereunder.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 of stockholders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opening of</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business on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 by written consent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Classified Board of Directors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is divided into three classes, Class I, Class II and Class III, with members of each class serving staggered three-year terms. Our second amended and restated certificate of incorporation provides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Common Stock Consent Right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holders of the (i) Founder Shares, which were issued in a private placement prior to the closing of the Initial Public Offering, (ii) private placement warrants, which were issued in a private placement simultaneously with the closing of Initial Public Offering and the shares of Class A Common Stock underlying such private placement warrants, (iii) private placement warrants that may be issued upon conversion of working capital loans and (iv) any forward purchase shares that are issued in a private placement simultaneously with the closing of the initial business combination, have registration rights to require us to register a sale of any of our securities held by them pursuant to a registration rights agreement.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September 1, 2020, by and between CM Life 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Eli Casdin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directors, officers and other persons in service to corporations or business enterprises are being increasingly subjected to expensive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time-consuming litigation relating to, among other things, matters that traditionally would have been brought only against the Company or business enterprise itself;</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and any resolutions adopted pursuant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substitute therefor, nor to diminish or abrogate any rights of Indemnitee thereunder;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desires Indemnitee to serve in such capacity. Indemnitee is willing to serve, continue to serve and to take on additional service for or on behalf of the Company on the condition that Indemnitee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firstLine="656"/>
        <w:spacing w:after="0" w:line="274" w:lineRule="auto"/>
        <w:tabs>
          <w:tab w:leader="none" w:pos="90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will serve or continue to serve as an officer, director, advisor, key employee or in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capacity of the Company,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in each case as provided in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This Agreement, however, shall not impose any obligation on Indemnitee or the Company to continue Indemnitee’s service to the Company beyond any period otherwise required by law or by other agreements or commitments of the parties, if any.</w:t>
      </w:r>
    </w:p>
    <w:p>
      <w:pPr>
        <w:spacing w:after="0" w:line="173" w:lineRule="exact"/>
        <w:rPr>
          <w:rFonts w:ascii="Arial" w:cs="Arial" w:eastAsia="Arial" w:hAnsi="Arial"/>
          <w:sz w:val="17"/>
          <w:szCs w:val="17"/>
          <w:b w:val="1"/>
          <w:bCs w:val="1"/>
          <w:color w:val="auto"/>
        </w:rPr>
      </w:pPr>
    </w:p>
    <w:p>
      <w:pPr>
        <w:ind w:left="880" w:hanging="224"/>
        <w:spacing w:after="0"/>
        <w:tabs>
          <w:tab w:leader="none" w:pos="8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sz w:val="20"/>
          <w:szCs w:val="20"/>
          <w:color w:val="auto"/>
        </w:rPr>
      </w:pPr>
    </w:p>
    <w:p>
      <w:pPr>
        <w:jc w:val="both"/>
        <w:ind w:firstLine="656"/>
        <w:spacing w:after="0" w:line="259" w:lineRule="auto"/>
        <w:tabs>
          <w:tab w:leader="none" w:pos="9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right="20" w:firstLine="656"/>
        <w:spacing w:after="0" w:line="277" w:lineRule="auto"/>
        <w:tabs>
          <w:tab w:leader="none" w:pos="9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Beneficial Ownership</w:t>
      </w:r>
      <w:r>
        <w:rPr>
          <w:rFonts w:ascii="Arial" w:cs="Arial" w:eastAsia="Arial" w:hAnsi="Arial"/>
          <w:sz w:val="18"/>
          <w:szCs w:val="18"/>
          <w:i w:val="1"/>
          <w:iCs w:val="1"/>
          <w:color w:val="auto"/>
        </w:rPr>
        <w:t>”</w:t>
      </w:r>
      <w:r>
        <w:rPr>
          <w:rFonts w:ascii="Arial" w:cs="Arial" w:eastAsia="Arial" w:hAnsi="Arial"/>
          <w:sz w:val="18"/>
          <w:szCs w:val="18"/>
          <w:color w:val="auto"/>
        </w:rPr>
        <w:t xml:space="preserve">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firstLine="1304"/>
        <w:spacing w:after="0" w:line="273" w:lineRule="auto"/>
        <w:tabs>
          <w:tab w:leader="none" w:pos="1556"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CMLS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or any of its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619"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cease for any reason to constitute at least a majority of the members of the Board;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1304"/>
        <w:spacing w:after="0" w:line="268" w:lineRule="auto"/>
        <w:tabs>
          <w:tab w:leader="none" w:pos="1669"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6" w:lineRule="exact"/>
        <w:rPr>
          <w:rFonts w:ascii="Arial" w:cs="Arial" w:eastAsia="Arial" w:hAnsi="Arial"/>
          <w:sz w:val="17"/>
          <w:szCs w:val="17"/>
          <w:color w:val="auto"/>
        </w:rPr>
      </w:pPr>
    </w:p>
    <w:p>
      <w:pPr>
        <w:jc w:val="both"/>
        <w:ind w:firstLine="1304"/>
        <w:spacing w:after="0" w:line="259" w:lineRule="auto"/>
        <w:tabs>
          <w:tab w:leader="none" w:pos="1646"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609"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i w:val="1"/>
          <w:iCs w:val="1"/>
          <w:color w:val="auto"/>
        </w:rPr>
        <w:t>”</w:t>
      </w:r>
      <w:r>
        <w:rPr>
          <w:rFonts w:ascii="Arial" w:cs="Arial" w:eastAsia="Arial" w:hAnsi="Arial"/>
          <w:sz w:val="18"/>
          <w:szCs w:val="18"/>
          <w:color w:val="auto"/>
        </w:rPr>
        <w:t xml:space="preserve">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xml:space="preserve"> shall mean the Court of Chancery of the State of Delaware.</w:t>
      </w:r>
    </w:p>
    <w:p>
      <w:pPr>
        <w:spacing w:after="0" w:line="225"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xml:space="preserve">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fiduciary, employee or agent.</w:t>
      </w:r>
    </w:p>
    <w:p>
      <w:pPr>
        <w:spacing w:after="0" w:line="186" w:lineRule="exact"/>
        <w:rPr>
          <w:rFonts w:ascii="Arial" w:cs="Arial" w:eastAsia="Arial" w:hAnsi="Arial"/>
          <w:sz w:val="18"/>
          <w:szCs w:val="18"/>
          <w:color w:val="auto"/>
        </w:rPr>
      </w:pPr>
    </w:p>
    <w:p>
      <w:pPr>
        <w:ind w:left="960" w:hanging="304"/>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Securities Exchange Act of 1934, as amended.</w:t>
      </w:r>
    </w:p>
    <w:p>
      <w:pPr>
        <w:spacing w:after="0" w:line="225" w:lineRule="exact"/>
        <w:rPr>
          <w:rFonts w:ascii="Arial" w:cs="Arial" w:eastAsia="Arial" w:hAnsi="Arial"/>
          <w:sz w:val="18"/>
          <w:szCs w:val="18"/>
          <w:color w:val="auto"/>
        </w:rPr>
      </w:pPr>
    </w:p>
    <w:p>
      <w:pPr>
        <w:jc w:val="both"/>
        <w:ind w:firstLine="656"/>
        <w:spacing w:after="0" w:line="289" w:lineRule="auto"/>
        <w:tabs>
          <w:tab w:leader="none" w:pos="9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left="920" w:hanging="264"/>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fines</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excise tax assessed on Indemnitee with respect to any employee benefit plan.</w:t>
      </w:r>
    </w:p>
    <w:p>
      <w:pPr>
        <w:spacing w:after="0" w:line="225" w:lineRule="exact"/>
        <w:rPr>
          <w:rFonts w:ascii="Arial" w:cs="Arial" w:eastAsia="Arial" w:hAnsi="Arial"/>
          <w:sz w:val="18"/>
          <w:szCs w:val="18"/>
          <w:color w:val="auto"/>
        </w:rPr>
      </w:pPr>
    </w:p>
    <w:p>
      <w:pPr>
        <w:jc w:val="both"/>
        <w:ind w:firstLine="656"/>
        <w:spacing w:after="0" w:line="293" w:lineRule="auto"/>
        <w:tabs>
          <w:tab w:leader="none" w:pos="9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i w:val="1"/>
          <w:iCs w:val="1"/>
          <w:color w:val="auto"/>
        </w:rPr>
        <w:t>”</w:t>
      </w:r>
      <w:r>
        <w:rPr>
          <w:rFonts w:ascii="Arial" w:cs="Arial" w:eastAsia="Arial" w:hAnsi="Arial"/>
          <w:sz w:val="16"/>
          <w:szCs w:val="16"/>
          <w:color w:val="auto"/>
        </w:rPr>
        <w:t xml:space="preserve">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jc w:val="both"/>
        <w:ind w:firstLine="656"/>
        <w:spacing w:after="0" w:line="273" w:lineRule="auto"/>
        <w:tabs>
          <w:tab w:leader="none" w:pos="948"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77" w:lineRule="exact"/>
        <w:rPr>
          <w:rFonts w:ascii="Arial" w:cs="Arial" w:eastAsia="Arial" w:hAnsi="Arial"/>
          <w:sz w:val="17"/>
          <w:szCs w:val="17"/>
          <w:color w:val="auto"/>
        </w:rPr>
      </w:pPr>
    </w:p>
    <w:p>
      <w:pPr>
        <w:jc w:val="both"/>
        <w:ind w:firstLine="656"/>
        <w:spacing w:after="0" w:line="290" w:lineRule="auto"/>
        <w:tabs>
          <w:tab w:leader="none" w:pos="998"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65" w:lineRule="exact"/>
        <w:rPr>
          <w:rFonts w:ascii="Arial" w:cs="Arial" w:eastAsia="Arial" w:hAnsi="Arial"/>
          <w:sz w:val="16"/>
          <w:szCs w:val="16"/>
          <w:color w:val="auto"/>
        </w:rPr>
      </w:pPr>
    </w:p>
    <w:p>
      <w:pPr>
        <w:jc w:val="both"/>
        <w:ind w:firstLine="656"/>
        <w:spacing w:after="0" w:line="257" w:lineRule="auto"/>
        <w:tabs>
          <w:tab w:leader="none" w:pos="9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firstLine="656"/>
        <w:spacing w:after="0" w:line="308" w:lineRule="auto"/>
        <w:tabs>
          <w:tab w:leader="none" w:pos="948"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sz w:val="20"/>
          <w:szCs w:val="20"/>
          <w:color w:val="auto"/>
        </w:rPr>
      </w:pPr>
    </w:p>
    <w:p>
      <w:pPr>
        <w:jc w:val="both"/>
        <w:ind w:firstLine="656"/>
        <w:spacing w:after="0" w:line="271" w:lineRule="auto"/>
        <w:tabs>
          <w:tab w:leader="none" w:pos="886"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harmless and exonerate Indemnitee in accordance with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3" w:lineRule="exact"/>
        <w:rPr>
          <w:rFonts w:ascii="Arial" w:cs="Arial" w:eastAsia="Arial" w:hAnsi="Arial"/>
          <w:sz w:val="17"/>
          <w:szCs w:val="17"/>
          <w:b w:val="1"/>
          <w:bCs w:val="1"/>
          <w:color w:val="auto"/>
        </w:rPr>
      </w:pPr>
    </w:p>
    <w:p>
      <w:pPr>
        <w:jc w:val="both"/>
        <w:ind w:firstLine="656"/>
        <w:spacing w:after="0" w:line="289" w:lineRule="auto"/>
        <w:tabs>
          <w:tab w:leader="none" w:pos="886"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indemnify, hold harmless and exonerate Indemnitee in accordance with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60" w:lineRule="exact"/>
        <w:rPr>
          <w:rFonts w:ascii="Arial" w:cs="Arial" w:eastAsia="Arial" w:hAnsi="Arial"/>
          <w:sz w:val="16"/>
          <w:szCs w:val="16"/>
          <w:b w:val="1"/>
          <w:bCs w:val="1"/>
          <w:color w:val="auto"/>
        </w:rPr>
      </w:pPr>
    </w:p>
    <w:p>
      <w:pPr>
        <w:jc w:val="both"/>
        <w:ind w:firstLine="656"/>
        <w:spacing w:after="0" w:line="269" w:lineRule="auto"/>
        <w:tabs>
          <w:tab w:leader="none" w:pos="90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this Agreement except for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firstLine="656"/>
        <w:spacing w:after="0" w:line="281" w:lineRule="auto"/>
        <w:tabs>
          <w:tab w:leader="none" w:pos="886"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except for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Indemnitee is, by reason of Indemnitee’s Corporate Status, a witness or deponent in any Proceeding to which Indemnitee was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64" w:lineRule="exact"/>
        <w:rPr>
          <w:rFonts w:ascii="Arial" w:cs="Arial" w:eastAsia="Arial" w:hAnsi="Arial"/>
          <w:sz w:val="17"/>
          <w:szCs w:val="17"/>
          <w:b w:val="1"/>
          <w:bCs w:val="1"/>
          <w:color w:val="auto"/>
        </w:rPr>
      </w:pPr>
    </w:p>
    <w:p>
      <w:pPr>
        <w:jc w:val="both"/>
        <w:ind w:firstLine="656"/>
        <w:spacing w:after="0" w:line="291" w:lineRule="auto"/>
        <w:tabs>
          <w:tab w:leader="none" w:pos="873"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INDEMNIFICATION, HOLD HARMLESS AND EXONERATION RIGHTS</w:t>
      </w:r>
      <w:r>
        <w:rPr>
          <w:rFonts w:ascii="Arial" w:cs="Arial" w:eastAsia="Arial" w:hAnsi="Arial"/>
          <w:sz w:val="16"/>
          <w:szCs w:val="16"/>
          <w:color w:val="auto"/>
        </w:rPr>
        <w:t>. Notwithstanding any limitation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hereof and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in connection with the Proceeding. No indemnification, hold harmless or exoneration rights shall be available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59" w:lineRule="exact"/>
        <w:rPr>
          <w:rFonts w:ascii="Arial" w:cs="Arial" w:eastAsia="Arial" w:hAnsi="Arial"/>
          <w:sz w:val="16"/>
          <w:szCs w:val="16"/>
          <w:b w:val="1"/>
          <w:bCs w:val="1"/>
          <w:color w:val="auto"/>
        </w:rPr>
      </w:pPr>
    </w:p>
    <w:p>
      <w:pPr>
        <w:ind w:left="880" w:hanging="224"/>
        <w:spacing w:after="0"/>
        <w:tabs>
          <w:tab w:leader="none" w:pos="8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5" w:lineRule="auto"/>
        <w:tabs>
          <w:tab w:leader="none" w:pos="97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76" w:lineRule="exact"/>
        <w:rPr>
          <w:rFonts w:ascii="Arial" w:cs="Arial" w:eastAsia="Arial" w:hAnsi="Arial"/>
          <w:sz w:val="17"/>
          <w:szCs w:val="17"/>
          <w:color w:val="auto"/>
        </w:rPr>
      </w:pPr>
    </w:p>
    <w:p>
      <w:pPr>
        <w:ind w:firstLine="656"/>
        <w:spacing w:after="0" w:line="277" w:lineRule="auto"/>
        <w:tabs>
          <w:tab w:leader="none" w:pos="9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right="20" w:firstLine="656"/>
        <w:spacing w:after="0" w:line="277" w:lineRule="auto"/>
        <w:tabs>
          <w:tab w:leader="none" w:pos="9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sz w:val="20"/>
          <w:szCs w:val="20"/>
          <w:color w:val="auto"/>
        </w:rPr>
      </w:pPr>
    </w:p>
    <w:p>
      <w:pPr>
        <w:ind w:firstLine="656"/>
        <w:spacing w:after="0" w:line="282" w:lineRule="auto"/>
        <w:tabs>
          <w:tab w:leader="none" w:pos="9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advance expenses, hold harmless or exoneration payment in connection with any claim made against Indemnitee:</w:t>
      </w:r>
    </w:p>
    <w:p>
      <w:pPr>
        <w:spacing w:after="0" w:line="166" w:lineRule="exact"/>
        <w:rPr>
          <w:sz w:val="20"/>
          <w:szCs w:val="20"/>
          <w:color w:val="auto"/>
        </w:rPr>
      </w:pPr>
    </w:p>
    <w:p>
      <w:pPr>
        <w:jc w:val="both"/>
        <w:ind w:firstLine="656"/>
        <w:spacing w:after="0" w:line="263" w:lineRule="auto"/>
        <w:tabs>
          <w:tab w:leader="none" w:pos="9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firstLine="656"/>
        <w:spacing w:after="0" w:line="277" w:lineRule="auto"/>
        <w:tabs>
          <w:tab w:leader="none" w:pos="961"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Sections 14(f)-(g)</w:t>
      </w:r>
      <w:r>
        <w:rPr>
          <w:rFonts w:ascii="Arial" w:cs="Arial" w:eastAsia="Arial" w:hAnsi="Arial"/>
          <w:sz w:val="18"/>
          <w:szCs w:val="18"/>
          <w:color w:val="auto"/>
        </w:rPr>
        <w:t xml:space="preserv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ADVANCES OF EXPENSES; DEFENSE OF CLAIM</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51"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the Bylaws, applicable law or otherwise. This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shall not apply to any claim made by Indemnitee for which an indemnification, hold harmless or exoneration payment is excluded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w:t>
      </w:r>
    </w:p>
    <w:p>
      <w:pPr>
        <w:spacing w:after="0" w:line="167" w:lineRule="exact"/>
        <w:rPr>
          <w:rFonts w:ascii="Arial" w:cs="Arial" w:eastAsia="Arial" w:hAnsi="Arial"/>
          <w:sz w:val="16"/>
          <w:szCs w:val="16"/>
          <w:color w:val="auto"/>
        </w:rPr>
      </w:pPr>
    </w:p>
    <w:p>
      <w:pPr>
        <w:ind w:left="960" w:hanging="304"/>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right="20" w:firstLine="656"/>
        <w:spacing w:after="0" w:line="277" w:lineRule="auto"/>
        <w:tabs>
          <w:tab w:leader="none" w:pos="93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PROCEDURE FOR NOTIFICATION AND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10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656"/>
        <w:spacing w:after="0" w:line="259"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PROCEDURE UPON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6" w:lineRule="auto"/>
        <w:tabs>
          <w:tab w:leader="none" w:pos="951"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Disinterested Directors so direct, by Independent Counsel in a written opinion to the Board, a copy of which shall be delivered to Indemnitee; or (ii) if a Change in Control has occurred,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73" w:lineRule="exact"/>
        <w:rPr>
          <w:rFonts w:ascii="Arial" w:cs="Arial" w:eastAsia="Arial" w:hAnsi="Arial"/>
          <w:sz w:val="16"/>
          <w:szCs w:val="16"/>
          <w:color w:val="auto"/>
        </w:rPr>
      </w:pPr>
    </w:p>
    <w:p>
      <w:pPr>
        <w:jc w:val="both"/>
        <w:ind w:firstLine="656"/>
        <w:spacing w:after="0" w:line="285" w:lineRule="auto"/>
        <w:tabs>
          <w:tab w:leader="none" w:pos="961"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Upon the due commencement of any judicial proceeding or arbitration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656"/>
        <w:spacing w:after="0" w:line="263" w:lineRule="auto"/>
        <w:tabs>
          <w:tab w:leader="none" w:pos="99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PRESUMPTIONS AND EFFECT OF CERTAIN PROCEEDINGS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1" w:lineRule="auto"/>
        <w:tabs>
          <w:tab w:leader="none" w:pos="95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firstLine="656"/>
        <w:spacing w:after="0" w:line="271" w:lineRule="auto"/>
        <w:tabs>
          <w:tab w:leader="none" w:pos="975"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If the person, persons or entity empowered or selected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firstLine="656"/>
        <w:spacing w:after="0" w:line="257" w:lineRule="auto"/>
        <w:tabs>
          <w:tab w:leader="none" w:pos="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jc w:val="both"/>
        <w:ind w:firstLine="656"/>
        <w:spacing w:after="0" w:line="253" w:lineRule="auto"/>
        <w:tabs>
          <w:tab w:leader="none" w:pos="9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trustees, general partners, managers or managing members of the Enterprise in the course of their duties, or on the advice of legal counsel for the Enterprise, its Board, any committee of the Board or any director, trustee, general partner, manager or managing member of the Enterprise, or on information or records given or reports made to the Enterprise, its Board, any committee of the Board or any director, trustee, general partner, manager or managing member of the Enterprise, by an independent certified public accountant or by an appraiser or other expert selected by the Enterprise, its Board, any committee of the Board or any director, trustee, general partner, manager or managing member. The provisions of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right="20" w:firstLine="656"/>
        <w:spacing w:after="0" w:line="308" w:lineRule="auto"/>
        <w:tabs>
          <w:tab w:leader="none" w:pos="937"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REMEDIES OF INDEMNITEE</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37"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In the event that (i) a determination is made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that Indemnitee is not entitled to indemnification under this Agreement, (ii) advancement of Expenses, to the fullest extent permitted by applicable law, is not timely made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(iii) no determination of entitlement to indemnification shall have been made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thirty (30) days after receipt by the Company of the request for indemnification, (iv) payment of indemnification is not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the last sentence of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ten (10) days after receipt by the Company of a written request therefor, (v) a contribution payment is not made in a timely manner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(vi) payment of indemnification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and Mediation Procedures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67" w:lineRule="exact"/>
        <w:rPr>
          <w:rFonts w:ascii="Arial" w:cs="Arial" w:eastAsia="Arial" w:hAnsi="Arial"/>
          <w:sz w:val="16"/>
          <w:szCs w:val="16"/>
          <w:color w:val="auto"/>
        </w:rPr>
      </w:pPr>
    </w:p>
    <w:p>
      <w:pPr>
        <w:jc w:val="both"/>
        <w:ind w:firstLine="656"/>
        <w:spacing w:after="0" w:line="263" w:lineRule="auto"/>
        <w:tabs>
          <w:tab w:leader="none" w:pos="1002"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 that Indemnitee is not entitled to indemnification,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018"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be presumed to be entitled to be indemnified, held harmless, and exonerated and to receive advancement of Expenses under this Agreement and the Company shall have the burden of proving Indemnitee is not entitled to be indemnified, held harmless, and exonerated and to receive advancement of Expenses, as the case may be, and the Company may not refer to or introduce into evidence any determination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adverse to Indemnitee for any purpose. If Indemnitee commences a judicial proceeding or arbitration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not be required to reimburse the Company for any advances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Agreement until a final determination is made with respect to Indemnitee’s entitlement to indemnification (as to which all rights of appeal have been exhausted or lapsed).</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002"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656"/>
        <w:spacing w:after="0" w:line="263" w:lineRule="auto"/>
        <w:tabs>
          <w:tab w:leader="none" w:pos="9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Company shall be precluded from asserting in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firstLine="656"/>
        <w:spacing w:after="0" w:line="271" w:lineRule="auto"/>
        <w:tabs>
          <w:tab w:leader="none" w:pos="931"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83" w:lineRule="exact"/>
        <w:rPr>
          <w:sz w:val="20"/>
          <w:szCs w:val="20"/>
          <w:color w:val="auto"/>
        </w:rPr>
      </w:pPr>
    </w:p>
    <w:p>
      <w:pPr>
        <w:jc w:val="both"/>
        <w:ind w:firstLine="656"/>
        <w:spacing w:after="0" w:line="261" w:lineRule="auto"/>
        <w:tabs>
          <w:tab w:leader="none" w:pos="1017"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except 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requested by Indemnitee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9" w:lineRule="exact"/>
        <w:rPr>
          <w:rFonts w:ascii="Arial" w:cs="Arial" w:eastAsia="Arial" w:hAnsi="Arial"/>
          <w:sz w:val="18"/>
          <w:szCs w:val="18"/>
          <w:b w:val="1"/>
          <w:bCs w:val="1"/>
          <w:color w:val="auto"/>
        </w:rPr>
      </w:pPr>
    </w:p>
    <w:p>
      <w:pPr>
        <w:ind w:left="980" w:hanging="324"/>
        <w:spacing w:after="0"/>
        <w:tabs>
          <w:tab w:leader="none" w:pos="9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95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firstLine="656"/>
        <w:spacing w:after="0" w:line="290" w:lineRule="auto"/>
        <w:tabs>
          <w:tab w:leader="none" w:pos="96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DGCL, the Charter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i w:val="1"/>
          <w:iCs w:val="1"/>
          <w:color w:val="auto"/>
        </w:rPr>
        <w:t>”</w:t>
      </w:r>
      <w:r>
        <w:rPr>
          <w:rFonts w:ascii="Arial" w:cs="Arial" w:eastAsia="Arial" w:hAnsi="Arial"/>
          <w:sz w:val="16"/>
          <w:szCs w:val="16"/>
          <w:color w:val="auto"/>
        </w:rPr>
        <w:t xml:space="preserve">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firstLine="656"/>
        <w:spacing w:after="0" w:line="290" w:lineRule="auto"/>
        <w:tabs>
          <w:tab w:leader="none" w:pos="93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firstLine="656"/>
        <w:spacing w:after="0" w:line="263" w:lineRule="auto"/>
        <w:tabs>
          <w:tab w:leader="none" w:pos="96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3" w:lineRule="exact"/>
        <w:rPr>
          <w:rFonts w:ascii="Arial" w:cs="Arial" w:eastAsia="Arial" w:hAnsi="Arial"/>
          <w:sz w:val="18"/>
          <w:szCs w:val="18"/>
          <w:color w:val="auto"/>
        </w:rPr>
      </w:pPr>
    </w:p>
    <w:p>
      <w:pPr>
        <w:jc w:val="both"/>
        <w:ind w:firstLine="656"/>
        <w:spacing w:after="0" w:line="268" w:lineRule="auto"/>
        <w:tabs>
          <w:tab w:leader="none" w:pos="97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Company acknowledges that to the extent Indemnitee is serving as a director on the Company’s board of directors at the request or direction of a private equity or venture capital fund or other entity and/or certain of its affiliates (collectively, the “</w:t>
      </w:r>
      <w:r>
        <w:rPr>
          <w:rFonts w:ascii="Arial" w:cs="Arial" w:eastAsia="Arial" w:hAnsi="Arial"/>
          <w:sz w:val="17"/>
          <w:szCs w:val="17"/>
          <w:b w:val="1"/>
          <w:bCs w:val="1"/>
          <w:i w:val="1"/>
          <w:iCs w:val="1"/>
          <w:color w:val="auto"/>
        </w:rPr>
        <w:t>Secondary Indemnitors</w:t>
      </w:r>
      <w:r>
        <w:rPr>
          <w:rFonts w:ascii="Arial" w:cs="Arial" w:eastAsia="Arial" w:hAnsi="Arial"/>
          <w:sz w:val="17"/>
          <w:szCs w:val="17"/>
          <w:color w:val="auto"/>
        </w:rPr>
        <w:t xml:space="preserve">”),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w:t>
      </w:r>
      <w:r>
        <w:rPr>
          <w:rFonts w:ascii="Arial" w:cs="Arial" w:eastAsia="Arial" w:hAnsi="Arial"/>
          <w:sz w:val="17"/>
          <w:szCs w:val="17"/>
          <w:u w:val="single" w:color="auto"/>
          <w:color w:val="auto"/>
        </w:rPr>
        <w:t>Section 9(e)</w:t>
      </w:r>
      <w:r>
        <w:rPr>
          <w:rFonts w:ascii="Arial" w:cs="Arial" w:eastAsia="Arial" w:hAnsi="Arial"/>
          <w:sz w:val="17"/>
          <w:szCs w:val="17"/>
          <w:color w:val="auto"/>
        </w:rPr>
        <w:t xml:space="preserve">.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w:t>
      </w:r>
      <w:r>
        <w:rPr>
          <w:rFonts w:ascii="Arial" w:cs="Arial" w:eastAsia="Arial" w:hAnsi="Arial"/>
          <w:sz w:val="17"/>
          <w:szCs w:val="17"/>
          <w:u w:val="single" w:color="auto"/>
          <w:color w:val="auto"/>
        </w:rPr>
        <w:t>Section 9(e)</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ind w:firstLine="656"/>
        <w:spacing w:after="0" w:line="284" w:lineRule="auto"/>
        <w:tabs>
          <w:tab w:leader="none" w:pos="918"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firstLine="8"/>
        <w:spacing w:after="0" w:line="323" w:lineRule="auto"/>
        <w:tabs>
          <w:tab w:leader="none" w:pos="284"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4" w:lineRule="exact"/>
        <w:rPr>
          <w:sz w:val="20"/>
          <w:szCs w:val="20"/>
          <w:color w:val="auto"/>
        </w:rPr>
      </w:pPr>
    </w:p>
    <w:p>
      <w:pPr>
        <w:jc w:val="both"/>
        <w:ind w:firstLine="656"/>
        <w:spacing w:after="0" w:line="255" w:lineRule="auto"/>
        <w:tabs>
          <w:tab w:leader="none" w:pos="103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this Agreement) by reason of Indemnitee’s Corporate Status, whether or not Indemnitee is acting in any such capacity at the time any liability or expense is incurred for which indemnification or advancement can be provided under this Agreement.</w:t>
      </w:r>
    </w:p>
    <w:p>
      <w:pPr>
        <w:spacing w:after="0" w:line="188" w:lineRule="exact"/>
        <w:rPr>
          <w:rFonts w:ascii="Arial" w:cs="Arial" w:eastAsia="Arial" w:hAnsi="Arial"/>
          <w:sz w:val="18"/>
          <w:szCs w:val="18"/>
          <w:b w:val="1"/>
          <w:bCs w:val="1"/>
          <w:color w:val="auto"/>
        </w:rPr>
      </w:pPr>
    </w:p>
    <w:p>
      <w:pPr>
        <w:ind w:left="1020" w:hanging="364"/>
        <w:spacing w:after="0"/>
        <w:tabs>
          <w:tab w:leader="none" w:pos="102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w:t>
      </w:r>
    </w:p>
    <w:p>
      <w:pPr>
        <w:spacing w:after="0" w:line="38" w:lineRule="exact"/>
        <w:rPr>
          <w:rFonts w:ascii="Arial" w:cs="Arial" w:eastAsia="Arial" w:hAnsi="Arial"/>
          <w:sz w:val="17"/>
          <w:szCs w:val="17"/>
          <w:b w:val="1"/>
          <w:bCs w:val="1"/>
          <w:color w:val="auto"/>
        </w:rPr>
      </w:pPr>
    </w:p>
    <w:p>
      <w:pPr>
        <w:jc w:val="both"/>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b w:val="1"/>
          <w:bCs w:val="1"/>
          <w:color w:val="auto"/>
        </w:rPr>
      </w:pPr>
    </w:p>
    <w:p>
      <w:pPr>
        <w:ind w:left="980" w:hanging="324"/>
        <w:spacing w:after="0"/>
        <w:tabs>
          <w:tab w:leader="none" w:pos="9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9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656"/>
        <w:spacing w:after="0" w:line="273" w:lineRule="auto"/>
        <w:tabs>
          <w:tab w:leader="none" w:pos="937"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00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firstLine="656"/>
        <w:spacing w:after="0" w:line="289" w:lineRule="auto"/>
        <w:tabs>
          <w:tab w:leader="none" w:pos="978"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spacing w:after="0" w:line="162" w:lineRule="exact"/>
        <w:rPr>
          <w:sz w:val="20"/>
          <w:szCs w:val="20"/>
          <w:color w:val="auto"/>
        </w:rPr>
      </w:pPr>
    </w:p>
    <w:p>
      <w:pPr>
        <w:jc w:val="both"/>
        <w:ind w:firstLine="656"/>
        <w:spacing w:after="0" w:line="266" w:lineRule="auto"/>
        <w:tabs>
          <w:tab w:leader="none" w:pos="1003"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b w:val="1"/>
          <w:bCs w:val="1"/>
          <w:color w:val="auto"/>
        </w:rPr>
      </w:pPr>
    </w:p>
    <w:p>
      <w:pPr>
        <w:jc w:val="both"/>
        <w:ind w:firstLine="656"/>
        <w:spacing w:after="0" w:line="289" w:lineRule="auto"/>
        <w:tabs>
          <w:tab w:leader="none" w:pos="976"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on such delivery, or (ii) mailed by certified or registered mail with postage prepaid, on the third (3rd) business day after the date on which it is so mailed:</w:t>
      </w:r>
    </w:p>
    <w:p>
      <w:pPr>
        <w:spacing w:after="0" w:line="162" w:lineRule="exact"/>
        <w:rPr>
          <w:sz w:val="20"/>
          <w:szCs w:val="20"/>
          <w:color w:val="auto"/>
        </w:rPr>
      </w:pPr>
    </w:p>
    <w:p>
      <w:pPr>
        <w:ind w:firstLine="656"/>
        <w:spacing w:after="0" w:line="277" w:lineRule="auto"/>
        <w:tabs>
          <w:tab w:leader="none" w:pos="9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Eli Casdin and Brian Emes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eli@casdincapital.com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bemes@corvexcap.com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354-8113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firstLine="1304"/>
        <w:spacing w:after="0" w:line="285" w:lineRule="auto"/>
        <w:tabs>
          <w:tab w:leader="none" w:pos="1624" w:val="left"/>
        </w:tabs>
        <w:numPr>
          <w:ilvl w:val="2"/>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governed 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w:t>
      </w:r>
    </w:p>
    <w:p>
      <w:pPr>
        <w:spacing w:after="0" w:line="3" w:lineRule="exact"/>
        <w:rPr>
          <w:rFonts w:ascii="Arial" w:cs="Arial" w:eastAsia="Arial" w:hAnsi="Arial"/>
          <w:sz w:val="16"/>
          <w:szCs w:val="16"/>
          <w:b w:val="1"/>
          <w:bCs w:val="1"/>
          <w:color w:val="auto"/>
        </w:rPr>
      </w:pPr>
    </w:p>
    <w:p>
      <w:pPr>
        <w:jc w:val="both"/>
        <w:ind w:firstLine="8"/>
        <w:spacing w:after="0" w:line="253" w:lineRule="auto"/>
        <w:tabs>
          <w:tab w:leader="none" w:pos="254"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or in such other manner as may be permitted by law, shall be valid and sufficient service thereof.</w:t>
      </w:r>
    </w:p>
    <w:p>
      <w:pPr>
        <w:spacing w:after="0" w:line="186" w:lineRule="exact"/>
        <w:rPr>
          <w:rFonts w:ascii="Arial" w:cs="Arial" w:eastAsia="Arial" w:hAnsi="Arial"/>
          <w:sz w:val="18"/>
          <w:szCs w:val="18"/>
          <w:color w:val="auto"/>
        </w:rPr>
      </w:pPr>
    </w:p>
    <w:p>
      <w:pPr>
        <w:jc w:val="both"/>
        <w:ind w:firstLine="656"/>
        <w:spacing w:after="0" w:line="266" w:lineRule="auto"/>
        <w:tabs>
          <w:tab w:leader="none" w:pos="990"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b w:val="1"/>
          <w:bCs w:val="1"/>
          <w:color w:val="auto"/>
        </w:rPr>
      </w:pPr>
    </w:p>
    <w:p>
      <w:pPr>
        <w:jc w:val="both"/>
        <w:ind w:firstLine="656"/>
        <w:spacing w:after="0" w:line="266" w:lineRule="auto"/>
        <w:tabs>
          <w:tab w:leader="none" w:pos="1003"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the 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b w:val="1"/>
          <w:bCs w:val="1"/>
          <w:color w:val="auto"/>
        </w:rPr>
      </w:pPr>
    </w:p>
    <w:p>
      <w:pPr>
        <w:jc w:val="both"/>
        <w:ind w:firstLine="656"/>
        <w:spacing w:after="0" w:line="258" w:lineRule="auto"/>
        <w:tabs>
          <w:tab w:leader="none" w:pos="976"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b w:val="1"/>
          <w:bCs w:val="1"/>
          <w:color w:val="auto"/>
        </w:rPr>
      </w:pPr>
    </w:p>
    <w:p>
      <w:pPr>
        <w:jc w:val="both"/>
        <w:ind w:firstLine="656"/>
        <w:spacing w:after="0" w:line="266" w:lineRule="auto"/>
        <w:tabs>
          <w:tab w:leader="none" w:pos="990"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both"/>
        <w:ind w:firstLine="656"/>
        <w:spacing w:after="0" w:line="258" w:lineRule="auto"/>
        <w:tabs>
          <w:tab w:leader="none" w:pos="963"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contained herein to the contrary, Indemnitee hereby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83" w:lineRule="exact"/>
        <w:rPr>
          <w:rFonts w:ascii="Arial" w:cs="Arial" w:eastAsia="Arial" w:hAnsi="Arial"/>
          <w:sz w:val="18"/>
          <w:szCs w:val="18"/>
          <w:b w:val="1"/>
          <w:bCs w:val="1"/>
          <w:color w:val="auto"/>
        </w:rPr>
      </w:pPr>
    </w:p>
    <w:p>
      <w:pPr>
        <w:jc w:val="both"/>
        <w:ind w:firstLine="656"/>
        <w:spacing w:after="0" w:line="273" w:lineRule="auto"/>
        <w:tabs>
          <w:tab w:leader="none" w:pos="99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INSURANCE</w:t>
      </w:r>
      <w:r>
        <w:rPr>
          <w:rFonts w:ascii="Arial" w:cs="Arial" w:eastAsia="Arial" w:hAnsi="Arial"/>
          <w:sz w:val="17"/>
          <w:szCs w:val="17"/>
          <w:color w:val="auto"/>
        </w:rPr>
        <w:t>. The Company shall use commercially reasonable efforts to obtain and maintain in effect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t>IN WITNESS WHEREOF, the parties hereto have caused this Indemnity Agreement to be signed as of the day and year first above written.</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23495</wp:posOffset>
            </wp:positionV>
            <wp:extent cx="25628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Eli Casdin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908" w:right="8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September 1, 2020, by and between CM Life 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Keith Meister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directors, officers and other persons in service to corporations or business enterprises are being increasingly subjected to expensive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time-consuming litigation relating to, among other things, matters that traditionally would have been brought only against the Company or business enterprise itself;</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and any resolutions adopted pursuant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substitute therefor, nor to diminish or abrogate any rights of Indemnitee thereunder;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desires Indemnitee to serve in such capacity. Indemnitee is willing to serve, continue to serve and to take on additional service for or on behalf of the Company on the condition that Indemnitee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firstLine="656"/>
        <w:spacing w:after="0" w:line="274" w:lineRule="auto"/>
        <w:tabs>
          <w:tab w:leader="none" w:pos="90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will serve or continue to serve as an officer, director, advisor, key employee or in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capacity of the Company,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in each case as provided in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This Agreement, however, shall not impose any obligation on Indemnitee or the Company to continue Indemnitee’s service to the Company beyond any period otherwise required by law or by other agreements or commitments of the parties, if any.</w:t>
      </w:r>
    </w:p>
    <w:p>
      <w:pPr>
        <w:spacing w:after="0" w:line="173" w:lineRule="exact"/>
        <w:rPr>
          <w:rFonts w:ascii="Arial" w:cs="Arial" w:eastAsia="Arial" w:hAnsi="Arial"/>
          <w:sz w:val="17"/>
          <w:szCs w:val="17"/>
          <w:b w:val="1"/>
          <w:bCs w:val="1"/>
          <w:color w:val="auto"/>
        </w:rPr>
      </w:pPr>
    </w:p>
    <w:p>
      <w:pPr>
        <w:ind w:left="880" w:hanging="224"/>
        <w:spacing w:after="0"/>
        <w:tabs>
          <w:tab w:leader="none" w:pos="8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sz w:val="20"/>
          <w:szCs w:val="20"/>
          <w:color w:val="auto"/>
        </w:rPr>
      </w:pPr>
    </w:p>
    <w:p>
      <w:pPr>
        <w:jc w:val="both"/>
        <w:ind w:firstLine="656"/>
        <w:spacing w:after="0" w:line="259" w:lineRule="auto"/>
        <w:tabs>
          <w:tab w:leader="none" w:pos="9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right="20" w:firstLine="656"/>
        <w:spacing w:after="0" w:line="277" w:lineRule="auto"/>
        <w:tabs>
          <w:tab w:leader="none" w:pos="961"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Beneficial Ownership</w:t>
      </w:r>
      <w:r>
        <w:rPr>
          <w:rFonts w:ascii="Arial" w:cs="Arial" w:eastAsia="Arial" w:hAnsi="Arial"/>
          <w:sz w:val="18"/>
          <w:szCs w:val="18"/>
          <w:i w:val="1"/>
          <w:iCs w:val="1"/>
          <w:color w:val="auto"/>
        </w:rPr>
        <w:t>”</w:t>
      </w:r>
      <w:r>
        <w:rPr>
          <w:rFonts w:ascii="Arial" w:cs="Arial" w:eastAsia="Arial" w:hAnsi="Arial"/>
          <w:sz w:val="18"/>
          <w:szCs w:val="18"/>
          <w:color w:val="auto"/>
        </w:rPr>
        <w:t xml:space="preserve">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firstLine="1304"/>
        <w:spacing w:after="0" w:line="273" w:lineRule="auto"/>
        <w:tabs>
          <w:tab w:leader="none" w:pos="1556"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CMLS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or any of its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619"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cease for any reason to constitute at least a majority of the members of the Board;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1304"/>
        <w:spacing w:after="0" w:line="268" w:lineRule="auto"/>
        <w:tabs>
          <w:tab w:leader="none" w:pos="1669"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6" w:lineRule="exact"/>
        <w:rPr>
          <w:rFonts w:ascii="Arial" w:cs="Arial" w:eastAsia="Arial" w:hAnsi="Arial"/>
          <w:sz w:val="17"/>
          <w:szCs w:val="17"/>
          <w:color w:val="auto"/>
        </w:rPr>
      </w:pPr>
    </w:p>
    <w:p>
      <w:pPr>
        <w:jc w:val="both"/>
        <w:ind w:firstLine="1304"/>
        <w:spacing w:after="0" w:line="259" w:lineRule="auto"/>
        <w:tabs>
          <w:tab w:leader="none" w:pos="164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609"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i w:val="1"/>
          <w:iCs w:val="1"/>
          <w:color w:val="auto"/>
        </w:rPr>
        <w:t>”</w:t>
      </w:r>
      <w:r>
        <w:rPr>
          <w:rFonts w:ascii="Arial" w:cs="Arial" w:eastAsia="Arial" w:hAnsi="Arial"/>
          <w:sz w:val="18"/>
          <w:szCs w:val="18"/>
          <w:color w:val="auto"/>
        </w:rPr>
        <w:t xml:space="preserve">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xml:space="preserve"> shall mean the Court of Chancery of the State of Delaware.</w:t>
      </w:r>
    </w:p>
    <w:p>
      <w:pPr>
        <w:spacing w:after="0" w:line="225"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xml:space="preserve">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fiduciary, employee or agent.</w:t>
      </w:r>
    </w:p>
    <w:p>
      <w:pPr>
        <w:spacing w:after="0" w:line="186" w:lineRule="exact"/>
        <w:rPr>
          <w:rFonts w:ascii="Arial" w:cs="Arial" w:eastAsia="Arial" w:hAnsi="Arial"/>
          <w:sz w:val="18"/>
          <w:szCs w:val="18"/>
          <w:color w:val="auto"/>
        </w:rPr>
      </w:pPr>
    </w:p>
    <w:p>
      <w:pPr>
        <w:ind w:left="960" w:hanging="304"/>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Securities Exchange Act of 1934, as amended.</w:t>
      </w:r>
    </w:p>
    <w:p>
      <w:pPr>
        <w:spacing w:after="0" w:line="225" w:lineRule="exact"/>
        <w:rPr>
          <w:rFonts w:ascii="Arial" w:cs="Arial" w:eastAsia="Arial" w:hAnsi="Arial"/>
          <w:sz w:val="18"/>
          <w:szCs w:val="18"/>
          <w:color w:val="auto"/>
        </w:rPr>
      </w:pPr>
    </w:p>
    <w:p>
      <w:pPr>
        <w:jc w:val="both"/>
        <w:ind w:firstLine="656"/>
        <w:spacing w:after="0" w:line="289" w:lineRule="auto"/>
        <w:tabs>
          <w:tab w:leader="none" w:pos="935"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left="920" w:hanging="264"/>
        <w:spacing w:after="0"/>
        <w:tabs>
          <w:tab w:leader="none" w:pos="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fines</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excise tax assessed on Indemnitee with respect to any employee benefit plan.</w:t>
      </w:r>
    </w:p>
    <w:p>
      <w:pPr>
        <w:spacing w:after="0" w:line="225" w:lineRule="exact"/>
        <w:rPr>
          <w:rFonts w:ascii="Arial" w:cs="Arial" w:eastAsia="Arial" w:hAnsi="Arial"/>
          <w:sz w:val="18"/>
          <w:szCs w:val="18"/>
          <w:color w:val="auto"/>
        </w:rPr>
      </w:pPr>
    </w:p>
    <w:p>
      <w:pPr>
        <w:jc w:val="both"/>
        <w:ind w:firstLine="656"/>
        <w:spacing w:after="0" w:line="293" w:lineRule="auto"/>
        <w:tabs>
          <w:tab w:leader="none" w:pos="975"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i w:val="1"/>
          <w:iCs w:val="1"/>
          <w:color w:val="auto"/>
        </w:rPr>
        <w:t>”</w:t>
      </w:r>
      <w:r>
        <w:rPr>
          <w:rFonts w:ascii="Arial" w:cs="Arial" w:eastAsia="Arial" w:hAnsi="Arial"/>
          <w:sz w:val="16"/>
          <w:szCs w:val="16"/>
          <w:color w:val="auto"/>
        </w:rPr>
        <w:t xml:space="preserve">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jc w:val="both"/>
        <w:ind w:firstLine="656"/>
        <w:spacing w:after="0" w:line="273" w:lineRule="auto"/>
        <w:tabs>
          <w:tab w:leader="none" w:pos="948" w:val="left"/>
        </w:tabs>
        <w:numPr>
          <w:ilvl w:val="0"/>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77" w:lineRule="exact"/>
        <w:rPr>
          <w:rFonts w:ascii="Arial" w:cs="Arial" w:eastAsia="Arial" w:hAnsi="Arial"/>
          <w:sz w:val="17"/>
          <w:szCs w:val="17"/>
          <w:color w:val="auto"/>
        </w:rPr>
      </w:pPr>
    </w:p>
    <w:p>
      <w:pPr>
        <w:jc w:val="both"/>
        <w:ind w:firstLine="656"/>
        <w:spacing w:after="0" w:line="290" w:lineRule="auto"/>
        <w:tabs>
          <w:tab w:leader="none" w:pos="998"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65" w:lineRule="exact"/>
        <w:rPr>
          <w:rFonts w:ascii="Arial" w:cs="Arial" w:eastAsia="Arial" w:hAnsi="Arial"/>
          <w:sz w:val="16"/>
          <w:szCs w:val="16"/>
          <w:color w:val="auto"/>
        </w:rPr>
      </w:pPr>
    </w:p>
    <w:p>
      <w:pPr>
        <w:jc w:val="both"/>
        <w:ind w:firstLine="656"/>
        <w:spacing w:after="0" w:line="257" w:lineRule="auto"/>
        <w:tabs>
          <w:tab w:leader="none" w:pos="9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ind w:firstLine="656"/>
        <w:spacing w:after="0" w:line="308" w:lineRule="auto"/>
        <w:tabs>
          <w:tab w:leader="none" w:pos="948" w:val="left"/>
        </w:tabs>
        <w:numPr>
          <w:ilvl w:val="0"/>
          <w:numId w:val="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sz w:val="20"/>
          <w:szCs w:val="20"/>
          <w:color w:val="auto"/>
        </w:rPr>
      </w:pPr>
    </w:p>
    <w:p>
      <w:pPr>
        <w:jc w:val="both"/>
        <w:ind w:firstLine="656"/>
        <w:spacing w:after="0" w:line="271" w:lineRule="auto"/>
        <w:tabs>
          <w:tab w:leader="none" w:pos="886"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harmless and exonerate Indemnitee in accordance with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3" w:lineRule="exact"/>
        <w:rPr>
          <w:rFonts w:ascii="Arial" w:cs="Arial" w:eastAsia="Arial" w:hAnsi="Arial"/>
          <w:sz w:val="17"/>
          <w:szCs w:val="17"/>
          <w:b w:val="1"/>
          <w:bCs w:val="1"/>
          <w:color w:val="auto"/>
        </w:rPr>
      </w:pPr>
    </w:p>
    <w:p>
      <w:pPr>
        <w:jc w:val="both"/>
        <w:ind w:firstLine="656"/>
        <w:spacing w:after="0" w:line="289" w:lineRule="auto"/>
        <w:tabs>
          <w:tab w:leader="none" w:pos="886"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indemnify, hold harmless and exonerate Indemnitee in accordance with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60" w:lineRule="exact"/>
        <w:rPr>
          <w:rFonts w:ascii="Arial" w:cs="Arial" w:eastAsia="Arial" w:hAnsi="Arial"/>
          <w:sz w:val="16"/>
          <w:szCs w:val="16"/>
          <w:b w:val="1"/>
          <w:bCs w:val="1"/>
          <w:color w:val="auto"/>
        </w:rPr>
      </w:pPr>
    </w:p>
    <w:p>
      <w:pPr>
        <w:jc w:val="both"/>
        <w:ind w:firstLine="656"/>
        <w:spacing w:after="0" w:line="269" w:lineRule="auto"/>
        <w:tabs>
          <w:tab w:leader="none" w:pos="90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this Agreement except for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ind w:firstLine="656"/>
        <w:spacing w:after="0" w:line="281" w:lineRule="auto"/>
        <w:tabs>
          <w:tab w:leader="none" w:pos="886"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except for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Indemnitee is, by reason of Indemnitee’s Corporate Status, a witness or deponent in any Proceeding to which Indemnitee was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64" w:lineRule="exact"/>
        <w:rPr>
          <w:rFonts w:ascii="Arial" w:cs="Arial" w:eastAsia="Arial" w:hAnsi="Arial"/>
          <w:sz w:val="17"/>
          <w:szCs w:val="17"/>
          <w:b w:val="1"/>
          <w:bCs w:val="1"/>
          <w:color w:val="auto"/>
        </w:rPr>
      </w:pPr>
    </w:p>
    <w:p>
      <w:pPr>
        <w:jc w:val="both"/>
        <w:ind w:firstLine="656"/>
        <w:spacing w:after="0" w:line="291" w:lineRule="auto"/>
        <w:tabs>
          <w:tab w:leader="none" w:pos="873"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INDEMNIFICATION, HOLD HARMLESS AND EXONERATION RIGHTS</w:t>
      </w:r>
      <w:r>
        <w:rPr>
          <w:rFonts w:ascii="Arial" w:cs="Arial" w:eastAsia="Arial" w:hAnsi="Arial"/>
          <w:sz w:val="16"/>
          <w:szCs w:val="16"/>
          <w:color w:val="auto"/>
        </w:rPr>
        <w:t>. Notwithstanding any limitation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hereof and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in connection with the Proceeding. No indemnification, hold harmless or exoneration rights shall be available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59" w:lineRule="exact"/>
        <w:rPr>
          <w:rFonts w:ascii="Arial" w:cs="Arial" w:eastAsia="Arial" w:hAnsi="Arial"/>
          <w:sz w:val="16"/>
          <w:szCs w:val="16"/>
          <w:b w:val="1"/>
          <w:bCs w:val="1"/>
          <w:color w:val="auto"/>
        </w:rPr>
      </w:pPr>
    </w:p>
    <w:p>
      <w:pPr>
        <w:ind w:left="880" w:hanging="224"/>
        <w:spacing w:after="0"/>
        <w:tabs>
          <w:tab w:leader="none" w:pos="8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5" w:lineRule="auto"/>
        <w:tabs>
          <w:tab w:leader="none" w:pos="97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76" w:lineRule="exact"/>
        <w:rPr>
          <w:rFonts w:ascii="Arial" w:cs="Arial" w:eastAsia="Arial" w:hAnsi="Arial"/>
          <w:sz w:val="17"/>
          <w:szCs w:val="17"/>
          <w:color w:val="auto"/>
        </w:rPr>
      </w:pPr>
    </w:p>
    <w:p>
      <w:pPr>
        <w:ind w:firstLine="656"/>
        <w:spacing w:after="0" w:line="277" w:lineRule="auto"/>
        <w:tabs>
          <w:tab w:leader="none" w:pos="96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right="20" w:firstLine="656"/>
        <w:spacing w:after="0" w:line="277" w:lineRule="auto"/>
        <w:tabs>
          <w:tab w:leader="none" w:pos="9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sz w:val="20"/>
          <w:szCs w:val="20"/>
          <w:color w:val="auto"/>
        </w:rPr>
      </w:pPr>
    </w:p>
    <w:p>
      <w:pPr>
        <w:ind w:firstLine="656"/>
        <w:spacing w:after="0" w:line="282" w:lineRule="auto"/>
        <w:tabs>
          <w:tab w:leader="none" w:pos="9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advance expenses, hold harmless or exoneration payment in connection with any claim made against Indemnitee:</w:t>
      </w:r>
    </w:p>
    <w:p>
      <w:pPr>
        <w:spacing w:after="0" w:line="166" w:lineRule="exact"/>
        <w:rPr>
          <w:sz w:val="20"/>
          <w:szCs w:val="20"/>
          <w:color w:val="auto"/>
        </w:rPr>
      </w:pPr>
    </w:p>
    <w:p>
      <w:pPr>
        <w:jc w:val="both"/>
        <w:ind w:firstLine="656"/>
        <w:spacing w:after="0" w:line="263" w:lineRule="auto"/>
        <w:tabs>
          <w:tab w:leader="none" w:pos="951"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firstLine="656"/>
        <w:spacing w:after="0" w:line="277" w:lineRule="auto"/>
        <w:tabs>
          <w:tab w:leader="none" w:pos="961"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37"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Sections 14(f)-(g)</w:t>
      </w:r>
      <w:r>
        <w:rPr>
          <w:rFonts w:ascii="Arial" w:cs="Arial" w:eastAsia="Arial" w:hAnsi="Arial"/>
          <w:sz w:val="18"/>
          <w:szCs w:val="18"/>
          <w:color w:val="auto"/>
        </w:rPr>
        <w:t xml:space="preserv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ADVANCES OF EXPENSES; DEFENSE OF CLAIM</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51"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the Bylaws, applicable law or otherwise. This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shall not apply to any claim made by Indemnitee for which an indemnification, hold harmless or exoneration payment is excluded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w:t>
      </w:r>
    </w:p>
    <w:p>
      <w:pPr>
        <w:spacing w:after="0" w:line="167" w:lineRule="exact"/>
        <w:rPr>
          <w:rFonts w:ascii="Arial" w:cs="Arial" w:eastAsia="Arial" w:hAnsi="Arial"/>
          <w:sz w:val="16"/>
          <w:szCs w:val="16"/>
          <w:color w:val="auto"/>
        </w:rPr>
      </w:pPr>
    </w:p>
    <w:p>
      <w:pPr>
        <w:ind w:left="960" w:hanging="30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right="20" w:firstLine="656"/>
        <w:spacing w:after="0" w:line="277" w:lineRule="auto"/>
        <w:tabs>
          <w:tab w:leader="none" w:pos="93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PROCEDURE FOR NOTIFICATION AND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10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656"/>
        <w:spacing w:after="0" w:line="259" w:lineRule="auto"/>
        <w:tabs>
          <w:tab w:leader="none" w:pos="9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PROCEDURE UPON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6" w:lineRule="auto"/>
        <w:tabs>
          <w:tab w:leader="none" w:pos="951"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Disinterested Directors so direct, by Independent Counsel in a written opinion to the Board, a copy of which shall be delivered to Indemnitee; or (ii) if a Change in Control has occurred,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73" w:lineRule="exact"/>
        <w:rPr>
          <w:rFonts w:ascii="Arial" w:cs="Arial" w:eastAsia="Arial" w:hAnsi="Arial"/>
          <w:sz w:val="16"/>
          <w:szCs w:val="16"/>
          <w:color w:val="auto"/>
        </w:rPr>
      </w:pPr>
    </w:p>
    <w:p>
      <w:pPr>
        <w:jc w:val="both"/>
        <w:ind w:firstLine="656"/>
        <w:spacing w:after="0" w:line="285" w:lineRule="auto"/>
        <w:tabs>
          <w:tab w:leader="none" w:pos="961"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Upon the due commencement of any judicial proceeding or arbitration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656"/>
        <w:spacing w:after="0" w:line="263" w:lineRule="auto"/>
        <w:tabs>
          <w:tab w:leader="none" w:pos="99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PRESUMPTIONS AND EFFECT OF CERTAIN PROCEEDINGS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1" w:lineRule="auto"/>
        <w:tabs>
          <w:tab w:leader="none" w:pos="951"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firstLine="656"/>
        <w:spacing w:after="0" w:line="271" w:lineRule="auto"/>
        <w:tabs>
          <w:tab w:leader="none" w:pos="975"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If the person, persons or entity empowered or selected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firstLine="656"/>
        <w:spacing w:after="0" w:line="257" w:lineRule="auto"/>
        <w:tabs>
          <w:tab w:leader="none" w:pos="96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jc w:val="both"/>
        <w:ind w:firstLine="656"/>
        <w:spacing w:after="0" w:line="253" w:lineRule="auto"/>
        <w:tabs>
          <w:tab w:leader="none" w:pos="9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trustees, general partners, managers or managing members of the Enterprise in the course of their duties, or on the advice of legal counsel for the Enterprise, its Board, any committee of the Board or any director, trustee, general partner, manager or managing member of the Enterprise, or on information or records given or reports made to the Enterprise, its Board, any committee of the Board or any director, trustee, general partner, manager or managing member of the Enterprise, by an independent certified public accountant or by an appraiser or other expert selected by the Enterprise, its Board, any committee of the Board or any director, trustee, general partner, manager or managing member. The provisions of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right="20" w:firstLine="656"/>
        <w:spacing w:after="0" w:line="308" w:lineRule="auto"/>
        <w:tabs>
          <w:tab w:leader="none" w:pos="937"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REMEDIES OF INDEMNITEE</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37"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In the event that (i) a determination is made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that Indemnitee is not entitled to indemnification under this Agreement, (ii) advancement of Expenses, to the fullest extent permitted by applicable law, is not timely made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(iii) no determination of entitlement to indemnification shall have been made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thirty (30) days after receipt by the Company of the request for indemnification, (iv) payment of indemnification is not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the last sentence of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ten (10) days after receipt by the Company of a written request therefor, (v) a contribution payment is not made in a timely manner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(vi) payment of indemnification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and Mediation Procedures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67" w:lineRule="exact"/>
        <w:rPr>
          <w:rFonts w:ascii="Arial" w:cs="Arial" w:eastAsia="Arial" w:hAnsi="Arial"/>
          <w:sz w:val="16"/>
          <w:szCs w:val="16"/>
          <w:color w:val="auto"/>
        </w:rPr>
      </w:pPr>
    </w:p>
    <w:p>
      <w:pPr>
        <w:jc w:val="both"/>
        <w:ind w:firstLine="656"/>
        <w:spacing w:after="0" w:line="263" w:lineRule="auto"/>
        <w:tabs>
          <w:tab w:leader="none" w:pos="1002"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 that Indemnitee is not entitled to indemnification,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018"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be presumed to be entitled to be indemnified, held harmless, and exonerated and to receive advancement of Expenses under this Agreement and the Company shall have the burden of proving Indemnitee is not entitled to be indemnified, held harmless, and exonerated and to receive advancement of Expenses, as the case may be, and the Company may not refer to or introduce into evidence any determination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adverse to Indemnitee for any purpose. If Indemnitee commences a judicial proceeding or arbitration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not be required to reimburse the Company for any advances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Agreement until a final determination is made with respect to Indemnitee’s entitlement to indemnification (as to which all rights of appeal have been exhausted or lapsed).</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002"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firstLine="656"/>
        <w:spacing w:after="0" w:line="263" w:lineRule="auto"/>
        <w:tabs>
          <w:tab w:leader="none" w:pos="97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Company shall be precluded from asserting in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firstLine="656"/>
        <w:spacing w:after="0" w:line="271" w:lineRule="auto"/>
        <w:tabs>
          <w:tab w:leader="none" w:pos="93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83" w:lineRule="exact"/>
        <w:rPr>
          <w:sz w:val="20"/>
          <w:szCs w:val="20"/>
          <w:color w:val="auto"/>
        </w:rPr>
      </w:pPr>
    </w:p>
    <w:p>
      <w:pPr>
        <w:jc w:val="both"/>
        <w:ind w:firstLine="656"/>
        <w:spacing w:after="0" w:line="261" w:lineRule="auto"/>
        <w:tabs>
          <w:tab w:leader="none" w:pos="1017"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except 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requested by Indemnitee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9" w:lineRule="exact"/>
        <w:rPr>
          <w:rFonts w:ascii="Arial" w:cs="Arial" w:eastAsia="Arial" w:hAnsi="Arial"/>
          <w:sz w:val="18"/>
          <w:szCs w:val="18"/>
          <w:b w:val="1"/>
          <w:bCs w:val="1"/>
          <w:color w:val="auto"/>
        </w:rPr>
      </w:pPr>
    </w:p>
    <w:p>
      <w:pPr>
        <w:ind w:left="980" w:hanging="324"/>
        <w:spacing w:after="0"/>
        <w:tabs>
          <w:tab w:leader="none" w:pos="9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95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656"/>
        <w:spacing w:after="0" w:line="290" w:lineRule="auto"/>
        <w:tabs>
          <w:tab w:leader="none" w:pos="96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DGCL, the Charter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i w:val="1"/>
          <w:iCs w:val="1"/>
          <w:color w:val="auto"/>
        </w:rPr>
        <w:t>”</w:t>
      </w:r>
      <w:r>
        <w:rPr>
          <w:rFonts w:ascii="Arial" w:cs="Arial" w:eastAsia="Arial" w:hAnsi="Arial"/>
          <w:sz w:val="16"/>
          <w:szCs w:val="16"/>
          <w:color w:val="auto"/>
        </w:rPr>
        <w:t xml:space="preserve">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firstLine="656"/>
        <w:spacing w:after="0" w:line="290" w:lineRule="auto"/>
        <w:tabs>
          <w:tab w:leader="none" w:pos="93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firstLine="656"/>
        <w:spacing w:after="0" w:line="263" w:lineRule="auto"/>
        <w:tabs>
          <w:tab w:leader="none" w:pos="96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3" w:lineRule="exact"/>
        <w:rPr>
          <w:rFonts w:ascii="Arial" w:cs="Arial" w:eastAsia="Arial" w:hAnsi="Arial"/>
          <w:sz w:val="18"/>
          <w:szCs w:val="18"/>
          <w:color w:val="auto"/>
        </w:rPr>
      </w:pPr>
    </w:p>
    <w:p>
      <w:pPr>
        <w:jc w:val="both"/>
        <w:ind w:firstLine="656"/>
        <w:spacing w:after="0" w:line="268" w:lineRule="auto"/>
        <w:tabs>
          <w:tab w:leader="none" w:pos="97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Company acknowledges that to the extent Indemnitee is serving as a director on the Company’s board of directors at the request or direction of a private equity or venture capital fund or other entity and/or certain of its affiliates (collectively, the “</w:t>
      </w:r>
      <w:r>
        <w:rPr>
          <w:rFonts w:ascii="Arial" w:cs="Arial" w:eastAsia="Arial" w:hAnsi="Arial"/>
          <w:sz w:val="17"/>
          <w:szCs w:val="17"/>
          <w:b w:val="1"/>
          <w:bCs w:val="1"/>
          <w:i w:val="1"/>
          <w:iCs w:val="1"/>
          <w:color w:val="auto"/>
        </w:rPr>
        <w:t>Secondary Indemnitors</w:t>
      </w:r>
      <w:r>
        <w:rPr>
          <w:rFonts w:ascii="Arial" w:cs="Arial" w:eastAsia="Arial" w:hAnsi="Arial"/>
          <w:sz w:val="17"/>
          <w:szCs w:val="17"/>
          <w:color w:val="auto"/>
        </w:rPr>
        <w:t xml:space="preserve">”),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w:t>
      </w:r>
      <w:r>
        <w:rPr>
          <w:rFonts w:ascii="Arial" w:cs="Arial" w:eastAsia="Arial" w:hAnsi="Arial"/>
          <w:sz w:val="17"/>
          <w:szCs w:val="17"/>
          <w:u w:val="single" w:color="auto"/>
          <w:color w:val="auto"/>
        </w:rPr>
        <w:t>Section 9(e)</w:t>
      </w:r>
      <w:r>
        <w:rPr>
          <w:rFonts w:ascii="Arial" w:cs="Arial" w:eastAsia="Arial" w:hAnsi="Arial"/>
          <w:sz w:val="17"/>
          <w:szCs w:val="17"/>
          <w:color w:val="auto"/>
        </w:rPr>
        <w:t xml:space="preserve">.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w:t>
      </w:r>
      <w:r>
        <w:rPr>
          <w:rFonts w:ascii="Arial" w:cs="Arial" w:eastAsia="Arial" w:hAnsi="Arial"/>
          <w:sz w:val="17"/>
          <w:szCs w:val="17"/>
          <w:u w:val="single" w:color="auto"/>
          <w:color w:val="auto"/>
        </w:rPr>
        <w:t>Section 9(e)</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both"/>
        <w:ind w:firstLine="656"/>
        <w:spacing w:after="0" w:line="284" w:lineRule="auto"/>
        <w:tabs>
          <w:tab w:leader="none" w:pos="91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firstLine="8"/>
        <w:spacing w:after="0" w:line="323" w:lineRule="auto"/>
        <w:tabs>
          <w:tab w:leader="none" w:pos="28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4" w:lineRule="exact"/>
        <w:rPr>
          <w:sz w:val="20"/>
          <w:szCs w:val="20"/>
          <w:color w:val="auto"/>
        </w:rPr>
      </w:pPr>
    </w:p>
    <w:p>
      <w:pPr>
        <w:jc w:val="both"/>
        <w:ind w:firstLine="656"/>
        <w:spacing w:after="0" w:line="255" w:lineRule="auto"/>
        <w:tabs>
          <w:tab w:leader="none" w:pos="103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this Agreement) by reason of Indemnitee’s Corporate Status, whether or not Indemnitee is acting in any such capacity at the time any liability or expense is incurred for which indemnification or advancement can be provided under this Agreement.</w:t>
      </w:r>
    </w:p>
    <w:p>
      <w:pPr>
        <w:spacing w:after="0" w:line="188" w:lineRule="exact"/>
        <w:rPr>
          <w:rFonts w:ascii="Arial" w:cs="Arial" w:eastAsia="Arial" w:hAnsi="Arial"/>
          <w:sz w:val="18"/>
          <w:szCs w:val="18"/>
          <w:b w:val="1"/>
          <w:bCs w:val="1"/>
          <w:color w:val="auto"/>
        </w:rPr>
      </w:pPr>
    </w:p>
    <w:p>
      <w:pPr>
        <w:ind w:left="1020" w:hanging="364"/>
        <w:spacing w:after="0"/>
        <w:tabs>
          <w:tab w:leader="none" w:pos="102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w:t>
      </w:r>
    </w:p>
    <w:p>
      <w:pPr>
        <w:spacing w:after="0" w:line="38" w:lineRule="exact"/>
        <w:rPr>
          <w:rFonts w:ascii="Arial" w:cs="Arial" w:eastAsia="Arial" w:hAnsi="Arial"/>
          <w:sz w:val="17"/>
          <w:szCs w:val="17"/>
          <w:b w:val="1"/>
          <w:bCs w:val="1"/>
          <w:color w:val="auto"/>
        </w:rPr>
      </w:pPr>
    </w:p>
    <w:p>
      <w:pPr>
        <w:jc w:val="both"/>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b w:val="1"/>
          <w:bCs w:val="1"/>
          <w:color w:val="auto"/>
        </w:rPr>
      </w:pPr>
    </w:p>
    <w:p>
      <w:pPr>
        <w:ind w:left="980" w:hanging="324"/>
        <w:spacing w:after="0"/>
        <w:tabs>
          <w:tab w:leader="none" w:pos="9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93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ind w:firstLine="656"/>
        <w:spacing w:after="0" w:line="273" w:lineRule="auto"/>
        <w:tabs>
          <w:tab w:leader="none" w:pos="93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00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firstLine="656"/>
        <w:spacing w:after="0" w:line="289" w:lineRule="auto"/>
        <w:tabs>
          <w:tab w:leader="none" w:pos="9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spacing w:after="0" w:line="162" w:lineRule="exact"/>
        <w:rPr>
          <w:sz w:val="20"/>
          <w:szCs w:val="20"/>
          <w:color w:val="auto"/>
        </w:rPr>
      </w:pPr>
    </w:p>
    <w:p>
      <w:pPr>
        <w:jc w:val="both"/>
        <w:ind w:firstLine="656"/>
        <w:spacing w:after="0" w:line="266" w:lineRule="auto"/>
        <w:tabs>
          <w:tab w:leader="none" w:pos="1003"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b w:val="1"/>
          <w:bCs w:val="1"/>
          <w:color w:val="auto"/>
        </w:rPr>
      </w:pPr>
    </w:p>
    <w:p>
      <w:pPr>
        <w:jc w:val="both"/>
        <w:ind w:firstLine="656"/>
        <w:spacing w:after="0" w:line="289" w:lineRule="auto"/>
        <w:tabs>
          <w:tab w:leader="none" w:pos="976"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on such delivery, or (ii) mailed by certified or registered mail with postage prepaid, on the third (3rd) business day after the date on which it is so mailed:</w:t>
      </w:r>
    </w:p>
    <w:p>
      <w:pPr>
        <w:spacing w:after="0" w:line="162" w:lineRule="exact"/>
        <w:rPr>
          <w:sz w:val="20"/>
          <w:szCs w:val="20"/>
          <w:color w:val="auto"/>
        </w:rPr>
      </w:pPr>
    </w:p>
    <w:p>
      <w:pPr>
        <w:ind w:firstLine="656"/>
        <w:spacing w:after="0" w:line="277" w:lineRule="auto"/>
        <w:tabs>
          <w:tab w:leader="none" w:pos="9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Eli Casdin and Brian Emes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eli@casdincapital.com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bemes@corvexcap.com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354-8113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firstLine="1304"/>
        <w:spacing w:after="0" w:line="285" w:lineRule="auto"/>
        <w:tabs>
          <w:tab w:leader="none" w:pos="1624" w:val="left"/>
        </w:tabs>
        <w:numPr>
          <w:ilvl w:val="2"/>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governed 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w:t>
      </w:r>
    </w:p>
    <w:p>
      <w:pPr>
        <w:spacing w:after="0" w:line="3" w:lineRule="exact"/>
        <w:rPr>
          <w:rFonts w:ascii="Arial" w:cs="Arial" w:eastAsia="Arial" w:hAnsi="Arial"/>
          <w:sz w:val="16"/>
          <w:szCs w:val="16"/>
          <w:b w:val="1"/>
          <w:bCs w:val="1"/>
          <w:color w:val="auto"/>
        </w:rPr>
      </w:pPr>
    </w:p>
    <w:p>
      <w:pPr>
        <w:jc w:val="both"/>
        <w:ind w:firstLine="8"/>
        <w:spacing w:after="0" w:line="253" w:lineRule="auto"/>
        <w:tabs>
          <w:tab w:leader="none" w:pos="25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or in such other manner as may be permitted by law, shall be valid and sufficient service thereof.</w:t>
      </w:r>
    </w:p>
    <w:p>
      <w:pPr>
        <w:spacing w:after="0" w:line="186" w:lineRule="exact"/>
        <w:rPr>
          <w:rFonts w:ascii="Arial" w:cs="Arial" w:eastAsia="Arial" w:hAnsi="Arial"/>
          <w:sz w:val="18"/>
          <w:szCs w:val="18"/>
          <w:color w:val="auto"/>
        </w:rPr>
      </w:pPr>
    </w:p>
    <w:p>
      <w:pPr>
        <w:jc w:val="both"/>
        <w:ind w:firstLine="656"/>
        <w:spacing w:after="0" w:line="266" w:lineRule="auto"/>
        <w:tabs>
          <w:tab w:leader="none" w:pos="990" w:val="left"/>
        </w:tabs>
        <w:numPr>
          <w:ilvl w:val="1"/>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b w:val="1"/>
          <w:bCs w:val="1"/>
          <w:color w:val="auto"/>
        </w:rPr>
      </w:pPr>
    </w:p>
    <w:p>
      <w:pPr>
        <w:jc w:val="both"/>
        <w:ind w:firstLine="656"/>
        <w:spacing w:after="0" w:line="266" w:lineRule="auto"/>
        <w:tabs>
          <w:tab w:leader="none" w:pos="1003" w:val="left"/>
        </w:tabs>
        <w:numPr>
          <w:ilvl w:val="1"/>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the 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b w:val="1"/>
          <w:bCs w:val="1"/>
          <w:color w:val="auto"/>
        </w:rPr>
      </w:pPr>
    </w:p>
    <w:p>
      <w:pPr>
        <w:jc w:val="both"/>
        <w:ind w:firstLine="656"/>
        <w:spacing w:after="0" w:line="258" w:lineRule="auto"/>
        <w:tabs>
          <w:tab w:leader="none" w:pos="976" w:val="left"/>
        </w:tabs>
        <w:numPr>
          <w:ilvl w:val="1"/>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b w:val="1"/>
          <w:bCs w:val="1"/>
          <w:color w:val="auto"/>
        </w:rPr>
      </w:pPr>
    </w:p>
    <w:p>
      <w:pPr>
        <w:jc w:val="both"/>
        <w:ind w:firstLine="656"/>
        <w:spacing w:after="0" w:line="266" w:lineRule="auto"/>
        <w:tabs>
          <w:tab w:leader="none" w:pos="990" w:val="left"/>
        </w:tabs>
        <w:numPr>
          <w:ilvl w:val="1"/>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ind w:firstLine="656"/>
        <w:spacing w:after="0" w:line="258" w:lineRule="auto"/>
        <w:tabs>
          <w:tab w:leader="none" w:pos="963"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contained herein to the contrary, Indemnitee hereby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83" w:lineRule="exact"/>
        <w:rPr>
          <w:rFonts w:ascii="Arial" w:cs="Arial" w:eastAsia="Arial" w:hAnsi="Arial"/>
          <w:sz w:val="18"/>
          <w:szCs w:val="18"/>
          <w:b w:val="1"/>
          <w:bCs w:val="1"/>
          <w:color w:val="auto"/>
        </w:rPr>
      </w:pPr>
    </w:p>
    <w:p>
      <w:pPr>
        <w:jc w:val="both"/>
        <w:ind w:firstLine="656"/>
        <w:spacing w:after="0" w:line="273" w:lineRule="auto"/>
        <w:tabs>
          <w:tab w:leader="none" w:pos="99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INSURANCE</w:t>
      </w:r>
      <w:r>
        <w:rPr>
          <w:rFonts w:ascii="Arial" w:cs="Arial" w:eastAsia="Arial" w:hAnsi="Arial"/>
          <w:sz w:val="17"/>
          <w:szCs w:val="17"/>
          <w:color w:val="auto"/>
        </w:rPr>
        <w:t>. The Company shall use commercially reasonable efforts to obtain and maintain in effect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IN WITNESS WHEREOF, the parties hereto have caused this Indemnity Agreement to be signed as of the day and year first above written.</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23495</wp:posOffset>
            </wp:positionV>
            <wp:extent cx="25628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Keith Meister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908" w:right="87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September 1, 2020, by and between CM Life 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Brian Emes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directors, officers and other persons in service to corporations or business enterprises are being increasingly subjected to expensive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time-consuming litigation relating to, among other things, matters that traditionally would have been brought only against the Company or business enterprise itself;</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and any resolutions adopted pursuant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substitute therefor, nor to diminish or abrogate any rights of Indemnitee thereunder;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desires Indemnitee to serve in such capacity. Indemnitee is willing to serve, continue to serve and to take on additional service for or on behalf of the Company on the condition that Indemnitee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firstLine="656"/>
        <w:spacing w:after="0" w:line="274" w:lineRule="auto"/>
        <w:tabs>
          <w:tab w:leader="none" w:pos="90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will serve or continue to serve as an officer, director, advisor, key employee or in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capacity of the Company,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in each case as provided in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This Agreement, however, shall not impose any obligation on Indemnitee or the Company to continue Indemnitee’s service to the Company beyond any period otherwise required by law or by other agreements or commitments of the parties, if any.</w:t>
      </w:r>
    </w:p>
    <w:p>
      <w:pPr>
        <w:spacing w:after="0" w:line="173" w:lineRule="exact"/>
        <w:rPr>
          <w:rFonts w:ascii="Arial" w:cs="Arial" w:eastAsia="Arial" w:hAnsi="Arial"/>
          <w:sz w:val="17"/>
          <w:szCs w:val="17"/>
          <w:b w:val="1"/>
          <w:bCs w:val="1"/>
          <w:color w:val="auto"/>
        </w:rPr>
      </w:pPr>
    </w:p>
    <w:p>
      <w:pPr>
        <w:ind w:left="880" w:hanging="224"/>
        <w:spacing w:after="0"/>
        <w:tabs>
          <w:tab w:leader="none" w:pos="8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sz w:val="20"/>
          <w:szCs w:val="20"/>
          <w:color w:val="auto"/>
        </w:rPr>
      </w:pPr>
    </w:p>
    <w:p>
      <w:pPr>
        <w:jc w:val="both"/>
        <w:ind w:firstLine="656"/>
        <w:spacing w:after="0" w:line="259" w:lineRule="auto"/>
        <w:tabs>
          <w:tab w:leader="none" w:pos="93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firstLine="656"/>
        <w:spacing w:after="0" w:line="277" w:lineRule="auto"/>
        <w:tabs>
          <w:tab w:leader="none" w:pos="96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Beneficial Ownership</w:t>
      </w:r>
      <w:r>
        <w:rPr>
          <w:rFonts w:ascii="Arial" w:cs="Arial" w:eastAsia="Arial" w:hAnsi="Arial"/>
          <w:sz w:val="18"/>
          <w:szCs w:val="18"/>
          <w:i w:val="1"/>
          <w:iCs w:val="1"/>
          <w:color w:val="auto"/>
        </w:rPr>
        <w:t>”</w:t>
      </w:r>
      <w:r>
        <w:rPr>
          <w:rFonts w:ascii="Arial" w:cs="Arial" w:eastAsia="Arial" w:hAnsi="Arial"/>
          <w:sz w:val="18"/>
          <w:szCs w:val="18"/>
          <w:color w:val="auto"/>
        </w:rPr>
        <w:t xml:space="preserve">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firstLine="1304"/>
        <w:spacing w:after="0" w:line="273" w:lineRule="auto"/>
        <w:tabs>
          <w:tab w:leader="none" w:pos="1601"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CMLS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or any of its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619"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cease for any reason to constitute at least a majority of the members of the Board;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1304"/>
        <w:spacing w:after="0" w:line="268" w:lineRule="auto"/>
        <w:tabs>
          <w:tab w:leader="none" w:pos="1759"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6" w:lineRule="exact"/>
        <w:rPr>
          <w:rFonts w:ascii="Arial" w:cs="Arial" w:eastAsia="Arial" w:hAnsi="Arial"/>
          <w:sz w:val="17"/>
          <w:szCs w:val="17"/>
          <w:color w:val="auto"/>
        </w:rPr>
      </w:pPr>
    </w:p>
    <w:p>
      <w:pPr>
        <w:jc w:val="both"/>
        <w:ind w:firstLine="1304"/>
        <w:spacing w:after="0" w:line="259" w:lineRule="auto"/>
        <w:tabs>
          <w:tab w:leader="none" w:pos="1781"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609"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i w:val="1"/>
          <w:iCs w:val="1"/>
          <w:color w:val="auto"/>
        </w:rPr>
        <w:t>”</w:t>
      </w:r>
      <w:r>
        <w:rPr>
          <w:rFonts w:ascii="Arial" w:cs="Arial" w:eastAsia="Arial" w:hAnsi="Arial"/>
          <w:sz w:val="18"/>
          <w:szCs w:val="18"/>
          <w:color w:val="auto"/>
        </w:rPr>
        <w:t xml:space="preserve">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xml:space="preserve"> shall mean the Court of Chancery of the State of Delaware.</w:t>
      </w:r>
    </w:p>
    <w:p>
      <w:pPr>
        <w:spacing w:after="0" w:line="225" w:lineRule="exact"/>
        <w:rPr>
          <w:rFonts w:ascii="Arial" w:cs="Arial" w:eastAsia="Arial" w:hAnsi="Arial"/>
          <w:sz w:val="18"/>
          <w:szCs w:val="18"/>
          <w:color w:val="auto"/>
        </w:rPr>
      </w:pPr>
    </w:p>
    <w:p>
      <w:pPr>
        <w:ind w:firstLine="656"/>
        <w:spacing w:after="0" w:line="277" w:lineRule="auto"/>
        <w:tabs>
          <w:tab w:leader="none" w:pos="96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xml:space="preserve">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fiduciary, employee or agent.</w:t>
      </w:r>
    </w:p>
    <w:p>
      <w:pPr>
        <w:spacing w:after="0" w:line="186" w:lineRule="exact"/>
        <w:rPr>
          <w:rFonts w:ascii="Arial" w:cs="Arial" w:eastAsia="Arial" w:hAnsi="Arial"/>
          <w:sz w:val="18"/>
          <w:szCs w:val="18"/>
          <w:color w:val="auto"/>
        </w:rPr>
      </w:pPr>
    </w:p>
    <w:p>
      <w:pPr>
        <w:ind w:left="960" w:hanging="304"/>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Securities Exchange Act of 1934, as amended.</w:t>
      </w:r>
    </w:p>
    <w:p>
      <w:pPr>
        <w:spacing w:after="0" w:line="225" w:lineRule="exact"/>
        <w:rPr>
          <w:rFonts w:ascii="Arial" w:cs="Arial" w:eastAsia="Arial" w:hAnsi="Arial"/>
          <w:sz w:val="18"/>
          <w:szCs w:val="18"/>
          <w:color w:val="auto"/>
        </w:rPr>
      </w:pPr>
    </w:p>
    <w:p>
      <w:pPr>
        <w:jc w:val="both"/>
        <w:ind w:firstLine="656"/>
        <w:spacing w:after="0" w:line="289" w:lineRule="auto"/>
        <w:tabs>
          <w:tab w:leader="none" w:pos="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ind w:left="960" w:hanging="304"/>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fines</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excise tax assessed on Indemnitee with respect to any employee benefit plan.</w:t>
      </w:r>
    </w:p>
    <w:p>
      <w:pPr>
        <w:spacing w:after="0" w:line="225" w:lineRule="exact"/>
        <w:rPr>
          <w:rFonts w:ascii="Arial" w:cs="Arial" w:eastAsia="Arial" w:hAnsi="Arial"/>
          <w:sz w:val="18"/>
          <w:szCs w:val="18"/>
          <w:color w:val="auto"/>
        </w:rPr>
      </w:pPr>
    </w:p>
    <w:p>
      <w:pPr>
        <w:jc w:val="both"/>
        <w:ind w:firstLine="656"/>
        <w:spacing w:after="0" w:line="293" w:lineRule="auto"/>
        <w:tabs>
          <w:tab w:leader="none" w:pos="97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i w:val="1"/>
          <w:iCs w:val="1"/>
          <w:color w:val="auto"/>
        </w:rPr>
        <w:t>”</w:t>
      </w:r>
      <w:r>
        <w:rPr>
          <w:rFonts w:ascii="Arial" w:cs="Arial" w:eastAsia="Arial" w:hAnsi="Arial"/>
          <w:sz w:val="16"/>
          <w:szCs w:val="16"/>
          <w:color w:val="auto"/>
        </w:rPr>
        <w:t xml:space="preserve">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jc w:val="both"/>
        <w:ind w:firstLine="656"/>
        <w:spacing w:after="0" w:line="273" w:lineRule="auto"/>
        <w:tabs>
          <w:tab w:leader="none" w:pos="10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77" w:lineRule="exact"/>
        <w:rPr>
          <w:rFonts w:ascii="Arial" w:cs="Arial" w:eastAsia="Arial" w:hAnsi="Arial"/>
          <w:sz w:val="17"/>
          <w:szCs w:val="17"/>
          <w:color w:val="auto"/>
        </w:rPr>
      </w:pPr>
    </w:p>
    <w:p>
      <w:pPr>
        <w:jc w:val="both"/>
        <w:ind w:firstLine="656"/>
        <w:spacing w:after="0" w:line="290" w:lineRule="auto"/>
        <w:tabs>
          <w:tab w:leader="none" w:pos="134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65" w:lineRule="exact"/>
        <w:rPr>
          <w:rFonts w:ascii="Arial" w:cs="Arial" w:eastAsia="Arial" w:hAnsi="Arial"/>
          <w:sz w:val="16"/>
          <w:szCs w:val="16"/>
          <w:color w:val="auto"/>
        </w:rPr>
      </w:pPr>
    </w:p>
    <w:p>
      <w:pPr>
        <w:jc w:val="both"/>
        <w:ind w:firstLine="656"/>
        <w:spacing w:after="0" w:line="257" w:lineRule="auto"/>
        <w:tabs>
          <w:tab w:leader="none" w:pos="9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firstLine="656"/>
        <w:spacing w:after="0" w:line="308" w:lineRule="auto"/>
        <w:tabs>
          <w:tab w:leader="none" w:pos="94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sz w:val="20"/>
          <w:szCs w:val="20"/>
          <w:color w:val="auto"/>
        </w:rPr>
      </w:pPr>
    </w:p>
    <w:p>
      <w:pPr>
        <w:jc w:val="both"/>
        <w:ind w:firstLine="656"/>
        <w:spacing w:after="0" w:line="271" w:lineRule="auto"/>
        <w:tabs>
          <w:tab w:leader="none" w:pos="895"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harmless and exonerate Indemnitee in accordance with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3" w:lineRule="exact"/>
        <w:rPr>
          <w:rFonts w:ascii="Arial" w:cs="Arial" w:eastAsia="Arial" w:hAnsi="Arial"/>
          <w:sz w:val="17"/>
          <w:szCs w:val="17"/>
          <w:b w:val="1"/>
          <w:bCs w:val="1"/>
          <w:color w:val="auto"/>
        </w:rPr>
      </w:pPr>
    </w:p>
    <w:p>
      <w:pPr>
        <w:jc w:val="both"/>
        <w:ind w:firstLine="656"/>
        <w:spacing w:after="0" w:line="289" w:lineRule="auto"/>
        <w:tabs>
          <w:tab w:leader="none" w:pos="891"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indemnify, hold harmless and exonerate Indemnitee in accordance with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60" w:lineRule="exact"/>
        <w:rPr>
          <w:rFonts w:ascii="Arial" w:cs="Arial" w:eastAsia="Arial" w:hAnsi="Arial"/>
          <w:sz w:val="16"/>
          <w:szCs w:val="16"/>
          <w:b w:val="1"/>
          <w:bCs w:val="1"/>
          <w:color w:val="auto"/>
        </w:rPr>
      </w:pPr>
    </w:p>
    <w:p>
      <w:pPr>
        <w:jc w:val="both"/>
        <w:ind w:firstLine="656"/>
        <w:spacing w:after="0" w:line="269" w:lineRule="auto"/>
        <w:tabs>
          <w:tab w:leader="none" w:pos="906"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this Agreement except for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firstLine="656"/>
        <w:spacing w:after="0" w:line="281" w:lineRule="auto"/>
        <w:tabs>
          <w:tab w:leader="none" w:pos="888"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except for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Indemnitee is, by reason of Indemnitee’s Corporate Status, a witness or deponent in any Proceeding to which Indemnitee was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64" w:lineRule="exact"/>
        <w:rPr>
          <w:rFonts w:ascii="Arial" w:cs="Arial" w:eastAsia="Arial" w:hAnsi="Arial"/>
          <w:sz w:val="17"/>
          <w:szCs w:val="17"/>
          <w:b w:val="1"/>
          <w:bCs w:val="1"/>
          <w:color w:val="auto"/>
        </w:rPr>
      </w:pPr>
    </w:p>
    <w:p>
      <w:pPr>
        <w:jc w:val="both"/>
        <w:ind w:firstLine="656"/>
        <w:spacing w:after="0" w:line="291" w:lineRule="auto"/>
        <w:tabs>
          <w:tab w:leader="none" w:pos="866"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INDEMNIFICATION, HOLD HARMLESS AND EXONERATION RIGHTS</w:t>
      </w:r>
      <w:r>
        <w:rPr>
          <w:rFonts w:ascii="Arial" w:cs="Arial" w:eastAsia="Arial" w:hAnsi="Arial"/>
          <w:sz w:val="16"/>
          <w:szCs w:val="16"/>
          <w:color w:val="auto"/>
        </w:rPr>
        <w:t>. Notwithstanding any limitation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hereof and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in connection with the Proceeding. No indemnification, hold harmless or exoneration rights shall be available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59" w:lineRule="exact"/>
        <w:rPr>
          <w:rFonts w:ascii="Arial" w:cs="Arial" w:eastAsia="Arial" w:hAnsi="Arial"/>
          <w:sz w:val="16"/>
          <w:szCs w:val="16"/>
          <w:b w:val="1"/>
          <w:bCs w:val="1"/>
          <w:color w:val="auto"/>
        </w:rPr>
      </w:pPr>
    </w:p>
    <w:p>
      <w:pPr>
        <w:ind w:left="880" w:hanging="224"/>
        <w:spacing w:after="0"/>
        <w:tabs>
          <w:tab w:leader="none" w:pos="8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5" w:lineRule="auto"/>
        <w:tabs>
          <w:tab w:leader="none" w:pos="97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76" w:lineRule="exact"/>
        <w:rPr>
          <w:rFonts w:ascii="Arial" w:cs="Arial" w:eastAsia="Arial" w:hAnsi="Arial"/>
          <w:sz w:val="17"/>
          <w:szCs w:val="17"/>
          <w:color w:val="auto"/>
        </w:rPr>
      </w:pPr>
    </w:p>
    <w:p>
      <w:pPr>
        <w:ind w:firstLine="656"/>
        <w:spacing w:after="0" w:line="277" w:lineRule="auto"/>
        <w:tabs>
          <w:tab w:leader="none" w:pos="96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firstLine="656"/>
        <w:spacing w:after="0" w:line="277" w:lineRule="auto"/>
        <w:tabs>
          <w:tab w:leader="none" w:pos="97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sz w:val="20"/>
          <w:szCs w:val="20"/>
          <w:color w:val="auto"/>
        </w:rPr>
      </w:pPr>
    </w:p>
    <w:p>
      <w:pPr>
        <w:ind w:firstLine="656"/>
        <w:spacing w:after="0" w:line="282" w:lineRule="auto"/>
        <w:tabs>
          <w:tab w:leader="none" w:pos="9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advance expenses, hold harmless or exoneration payment in connection with any claim made against Indemnitee:</w:t>
      </w:r>
    </w:p>
    <w:p>
      <w:pPr>
        <w:spacing w:after="0" w:line="166" w:lineRule="exact"/>
        <w:rPr>
          <w:sz w:val="20"/>
          <w:szCs w:val="20"/>
          <w:color w:val="auto"/>
        </w:rPr>
      </w:pPr>
    </w:p>
    <w:p>
      <w:pPr>
        <w:jc w:val="both"/>
        <w:ind w:firstLine="656"/>
        <w:spacing w:after="0" w:line="263" w:lineRule="auto"/>
        <w:tabs>
          <w:tab w:leader="none" w:pos="95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ind w:firstLine="656"/>
        <w:spacing w:after="0" w:line="277" w:lineRule="auto"/>
        <w:tabs>
          <w:tab w:leader="none" w:pos="96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4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Sections 14(f)-(g)</w:t>
      </w:r>
      <w:r>
        <w:rPr>
          <w:rFonts w:ascii="Arial" w:cs="Arial" w:eastAsia="Arial" w:hAnsi="Arial"/>
          <w:sz w:val="18"/>
          <w:szCs w:val="18"/>
          <w:color w:val="auto"/>
        </w:rPr>
        <w:t xml:space="preserv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ADVANCES OF EXPENSES; DEFENSE OF CLAIM</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5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the Bylaws, applicable law or otherwise. This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shall not apply to any claim made by Indemnitee for which an indemnification, hold harmless or exoneration payment is excluded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w:t>
      </w:r>
    </w:p>
    <w:p>
      <w:pPr>
        <w:spacing w:after="0" w:line="167" w:lineRule="exact"/>
        <w:rPr>
          <w:rFonts w:ascii="Arial" w:cs="Arial" w:eastAsia="Arial" w:hAnsi="Arial"/>
          <w:sz w:val="16"/>
          <w:szCs w:val="16"/>
          <w:color w:val="auto"/>
        </w:rPr>
      </w:pPr>
    </w:p>
    <w:p>
      <w:pPr>
        <w:ind w:left="960" w:hanging="304"/>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firstLine="656"/>
        <w:spacing w:after="0" w:line="277" w:lineRule="auto"/>
        <w:tabs>
          <w:tab w:leader="none" w:pos="93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PROCEDURE FOR NOTIFICATION AND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102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7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8"/>
          <w:szCs w:val="18"/>
          <w:b w:val="1"/>
          <w:bCs w:val="1"/>
          <w:color w:val="auto"/>
        </w:rPr>
        <w:t>12. PROCEDURE UPON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6" w:lineRule="auto"/>
        <w:tabs>
          <w:tab w:leader="none" w:pos="94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Disinterested Directors so direct, by Independent Counsel in a written opinion to the Board, a copy of which shall be delivered to Indemnitee; or (ii) if a Change in Control has occurred,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73" w:lineRule="exact"/>
        <w:rPr>
          <w:rFonts w:ascii="Arial" w:cs="Arial" w:eastAsia="Arial" w:hAnsi="Arial"/>
          <w:sz w:val="16"/>
          <w:szCs w:val="16"/>
          <w:color w:val="auto"/>
        </w:rPr>
      </w:pPr>
    </w:p>
    <w:p>
      <w:pPr>
        <w:jc w:val="both"/>
        <w:ind w:firstLine="656"/>
        <w:spacing w:after="0" w:line="285" w:lineRule="auto"/>
        <w:tabs>
          <w:tab w:leader="none" w:pos="96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Upon the due commencement of any judicial proceeding or arbitration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w:t>
      </w:r>
    </w:p>
    <w:p>
      <w:pPr>
        <w:spacing w:after="0" w:line="168" w:lineRule="exact"/>
        <w:rPr>
          <w:rFonts w:ascii="Arial" w:cs="Arial" w:eastAsia="Arial" w:hAnsi="Arial"/>
          <w:sz w:val="16"/>
          <w:szCs w:val="16"/>
          <w:color w:val="auto"/>
        </w:rPr>
      </w:pPr>
    </w:p>
    <w:p>
      <w:pPr>
        <w:jc w:val="both"/>
        <w:ind w:firstLine="656"/>
        <w:spacing w:after="0" w:line="263" w:lineRule="auto"/>
        <w:tabs>
          <w:tab w:leader="none" w:pos="9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b w:val="1"/>
          <w:bCs w:val="1"/>
          <w:color w:val="auto"/>
        </w:rPr>
        <w:t>13. PRESUMPTIONS AND EFFECT OF CERTAIN PROCEEDINGS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1" w:lineRule="auto"/>
        <w:tabs>
          <w:tab w:leader="none" w:pos="95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firstLine="656"/>
        <w:spacing w:after="0" w:line="271" w:lineRule="auto"/>
        <w:tabs>
          <w:tab w:leader="none" w:pos="982"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If the person, persons or entity empowered or selected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firstLine="656"/>
        <w:spacing w:after="0" w:line="257" w:lineRule="auto"/>
        <w:tabs>
          <w:tab w:leader="none" w:pos="96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jc w:val="both"/>
        <w:ind w:firstLine="656"/>
        <w:spacing w:after="0" w:line="253" w:lineRule="auto"/>
        <w:tabs>
          <w:tab w:leader="none" w:pos="95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trustees, general partners, managers or managing members of the Enterprise in the course of their duties, or on the advice of legal counsel for the Enterprise, its Board, any committee of the Board or any director, trustee, general partner, manager or managing member of the Enterprise, or on information or records given or reports made to the Enterprise, its Board, any committee of the Board or any director, trustee, general partner, manager or managing member of the Enterprise, by an independent certified public accountant or by an appraiser or other expert selected by the Enterprise, its Board, any committee of the Board or any director, trustee, general partner, manager or managing member. The provisions of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196" w:lineRule="exact"/>
        <w:rPr>
          <w:rFonts w:ascii="Arial" w:cs="Arial" w:eastAsia="Arial" w:hAnsi="Arial"/>
          <w:sz w:val="18"/>
          <w:szCs w:val="18"/>
          <w:color w:val="auto"/>
        </w:rPr>
      </w:pPr>
    </w:p>
    <w:p>
      <w:pPr>
        <w:ind w:firstLine="656"/>
        <w:spacing w:after="0" w:line="308" w:lineRule="auto"/>
        <w:tabs>
          <w:tab w:leader="none" w:pos="94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b w:val="1"/>
          <w:bCs w:val="1"/>
          <w:color w:val="auto"/>
        </w:rPr>
        <w:t>14. REMEDIES OF INDEMNITEE</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In the event that (i) a determination is made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that Indemnitee is not entitled to indemnification under this Agreement, (ii) advancement of Expenses, to the fullest extent permitted by applicable law, is not timely made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(iii) no determination of entitlement to indemnification shall have been made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thirty (30) days after receipt by the Company of the request for indemnification, (iv) payment of indemnification is not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the last sentence of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ten (10) days after receipt by the Company of a written request therefor, (v) a contribution payment is not made in a timely manner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(vi) payment of indemnification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and Mediation Procedures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67" w:lineRule="exact"/>
        <w:rPr>
          <w:rFonts w:ascii="Arial" w:cs="Arial" w:eastAsia="Arial" w:hAnsi="Arial"/>
          <w:sz w:val="16"/>
          <w:szCs w:val="16"/>
          <w:color w:val="auto"/>
        </w:rPr>
      </w:pPr>
    </w:p>
    <w:p>
      <w:pPr>
        <w:jc w:val="both"/>
        <w:ind w:firstLine="656"/>
        <w:spacing w:after="0" w:line="263" w:lineRule="auto"/>
        <w:tabs>
          <w:tab w:leader="none" w:pos="10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 that Indemnitee is not entitled to indemnification,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02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be presumed to be entitled to be indemnified, held harmless, and exonerated and to receive advancement of Expenses under this Agreement and the Company shall have the burden of proving Indemnitee is not entitled to be indemnified, held harmless, and exonerated and to receive advancement of Expenses, as the case may be, and the Company may not refer to or introduce into evidence any determination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adverse to Indemnitee for any purpose. If Indemnitee commences a judicial proceeding or arbitration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not be required to reimburse the Company for any advances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Agreement until a final determination is made with respect to Indemnitee’s entitlement to indemnification (as to which all rights of appeal have been exhausted or lapsed).</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00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656"/>
        <w:spacing w:after="0" w:line="263" w:lineRule="auto"/>
        <w:tabs>
          <w:tab w:leader="none" w:pos="97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Company shall be precluded from asserting in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firstLine="656"/>
        <w:spacing w:after="0" w:line="271" w:lineRule="auto"/>
        <w:tabs>
          <w:tab w:leader="none" w:pos="98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5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83" w:lineRule="exact"/>
        <w:rPr>
          <w:sz w:val="20"/>
          <w:szCs w:val="20"/>
          <w:color w:val="auto"/>
        </w:rPr>
      </w:pPr>
    </w:p>
    <w:p>
      <w:pPr>
        <w:jc w:val="both"/>
        <w:ind w:firstLine="656"/>
        <w:spacing w:after="0" w:line="261" w:lineRule="auto"/>
        <w:tabs>
          <w:tab w:leader="none" w:pos="1017"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except 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requested by Indemnitee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9" w:lineRule="exact"/>
        <w:rPr>
          <w:rFonts w:ascii="Arial" w:cs="Arial" w:eastAsia="Arial" w:hAnsi="Arial"/>
          <w:sz w:val="18"/>
          <w:szCs w:val="18"/>
          <w:b w:val="1"/>
          <w:bCs w:val="1"/>
          <w:color w:val="auto"/>
        </w:rPr>
      </w:pPr>
    </w:p>
    <w:p>
      <w:pPr>
        <w:ind w:left="980" w:hanging="324"/>
        <w:spacing w:after="0"/>
        <w:tabs>
          <w:tab w:leader="none" w:pos="9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9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656"/>
        <w:spacing w:after="0" w:line="290" w:lineRule="auto"/>
        <w:tabs>
          <w:tab w:leader="none" w:pos="96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DGCL, the Charter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i w:val="1"/>
          <w:iCs w:val="1"/>
          <w:color w:val="auto"/>
        </w:rPr>
        <w:t>”</w:t>
      </w:r>
      <w:r>
        <w:rPr>
          <w:rFonts w:ascii="Arial" w:cs="Arial" w:eastAsia="Arial" w:hAnsi="Arial"/>
          <w:sz w:val="16"/>
          <w:szCs w:val="16"/>
          <w:color w:val="auto"/>
        </w:rPr>
        <w:t xml:space="preserve">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firstLine="656"/>
        <w:spacing w:after="0" w:line="290" w:lineRule="auto"/>
        <w:tabs>
          <w:tab w:leader="none" w:pos="93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firstLine="656"/>
        <w:spacing w:after="0" w:line="263" w:lineRule="auto"/>
        <w:tabs>
          <w:tab w:leader="none" w:pos="97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3" w:lineRule="exact"/>
        <w:rPr>
          <w:rFonts w:ascii="Arial" w:cs="Arial" w:eastAsia="Arial" w:hAnsi="Arial"/>
          <w:sz w:val="18"/>
          <w:szCs w:val="18"/>
          <w:color w:val="auto"/>
        </w:rPr>
      </w:pPr>
    </w:p>
    <w:p>
      <w:pPr>
        <w:jc w:val="both"/>
        <w:ind w:firstLine="656"/>
        <w:spacing w:after="0" w:line="268" w:lineRule="auto"/>
        <w:tabs>
          <w:tab w:leader="none" w:pos="98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Company acknowledges that to the extent Indemnitee is serving as a director on the Company’s board of directors at the request or direction of a private equity or venture capital fund or other entity and/or certain of its affiliates (collectively, the “</w:t>
      </w:r>
      <w:r>
        <w:rPr>
          <w:rFonts w:ascii="Arial" w:cs="Arial" w:eastAsia="Arial" w:hAnsi="Arial"/>
          <w:sz w:val="17"/>
          <w:szCs w:val="17"/>
          <w:b w:val="1"/>
          <w:bCs w:val="1"/>
          <w:i w:val="1"/>
          <w:iCs w:val="1"/>
          <w:color w:val="auto"/>
        </w:rPr>
        <w:t>Secondary Indemnitors</w:t>
      </w:r>
      <w:r>
        <w:rPr>
          <w:rFonts w:ascii="Arial" w:cs="Arial" w:eastAsia="Arial" w:hAnsi="Arial"/>
          <w:sz w:val="17"/>
          <w:szCs w:val="17"/>
          <w:color w:val="auto"/>
        </w:rPr>
        <w:t xml:space="preserve">”),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w:t>
      </w:r>
      <w:r>
        <w:rPr>
          <w:rFonts w:ascii="Arial" w:cs="Arial" w:eastAsia="Arial" w:hAnsi="Arial"/>
          <w:sz w:val="17"/>
          <w:szCs w:val="17"/>
          <w:u w:val="single" w:color="auto"/>
          <w:color w:val="auto"/>
        </w:rPr>
        <w:t>Section 9(e)</w:t>
      </w:r>
      <w:r>
        <w:rPr>
          <w:rFonts w:ascii="Arial" w:cs="Arial" w:eastAsia="Arial" w:hAnsi="Arial"/>
          <w:sz w:val="17"/>
          <w:szCs w:val="17"/>
          <w:color w:val="auto"/>
        </w:rPr>
        <w:t xml:space="preserve">.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w:t>
      </w:r>
      <w:r>
        <w:rPr>
          <w:rFonts w:ascii="Arial" w:cs="Arial" w:eastAsia="Arial" w:hAnsi="Arial"/>
          <w:sz w:val="17"/>
          <w:szCs w:val="17"/>
          <w:u w:val="single" w:color="auto"/>
          <w:color w:val="auto"/>
        </w:rPr>
        <w:t>Section 9(e)</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firstLine="656"/>
        <w:spacing w:after="0" w:line="284" w:lineRule="auto"/>
        <w:tabs>
          <w:tab w:leader="none" w:pos="963"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firstLine="8"/>
        <w:spacing w:after="0" w:line="323" w:lineRule="auto"/>
        <w:tabs>
          <w:tab w:leader="none" w:pos="28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4" w:lineRule="exact"/>
        <w:rPr>
          <w:sz w:val="20"/>
          <w:szCs w:val="20"/>
          <w:color w:val="auto"/>
        </w:rPr>
      </w:pPr>
    </w:p>
    <w:p>
      <w:pPr>
        <w:jc w:val="both"/>
        <w:ind w:firstLine="656"/>
        <w:spacing w:after="0" w:line="255" w:lineRule="auto"/>
        <w:tabs>
          <w:tab w:leader="none" w:pos="1037"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this Agreement) by reason of Indemnitee’s Corporate Status, whether or not Indemnitee is acting in any such capacity at the time any liability or expense is incurred for which indemnification or advancement can be provided under this Agreement.</w:t>
      </w:r>
    </w:p>
    <w:p>
      <w:pPr>
        <w:spacing w:after="0" w:line="188" w:lineRule="exact"/>
        <w:rPr>
          <w:rFonts w:ascii="Arial" w:cs="Arial" w:eastAsia="Arial" w:hAnsi="Arial"/>
          <w:sz w:val="18"/>
          <w:szCs w:val="18"/>
          <w:b w:val="1"/>
          <w:bCs w:val="1"/>
          <w:color w:val="auto"/>
        </w:rPr>
      </w:pPr>
    </w:p>
    <w:p>
      <w:pPr>
        <w:ind w:left="1020" w:hanging="364"/>
        <w:spacing w:after="0"/>
        <w:tabs>
          <w:tab w:leader="none" w:pos="102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w:t>
      </w:r>
    </w:p>
    <w:p>
      <w:pPr>
        <w:spacing w:after="0" w:line="38" w:lineRule="exact"/>
        <w:rPr>
          <w:rFonts w:ascii="Arial" w:cs="Arial" w:eastAsia="Arial" w:hAnsi="Arial"/>
          <w:sz w:val="17"/>
          <w:szCs w:val="17"/>
          <w:b w:val="1"/>
          <w:bCs w:val="1"/>
          <w:color w:val="auto"/>
        </w:rPr>
      </w:pPr>
    </w:p>
    <w:p>
      <w:pPr>
        <w:jc w:val="both"/>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b w:val="1"/>
          <w:bCs w:val="1"/>
          <w:color w:val="auto"/>
        </w:rPr>
      </w:pPr>
    </w:p>
    <w:p>
      <w:pPr>
        <w:ind w:left="980" w:hanging="324"/>
        <w:spacing w:after="0"/>
        <w:tabs>
          <w:tab w:leader="none" w:pos="9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9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firstLine="656"/>
        <w:spacing w:after="0" w:line="273" w:lineRule="auto"/>
        <w:tabs>
          <w:tab w:leader="none" w:pos="94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00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firstLine="656"/>
        <w:spacing w:after="0" w:line="289" w:lineRule="auto"/>
        <w:tabs>
          <w:tab w:leader="none" w:pos="97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spacing w:after="0" w:line="162" w:lineRule="exact"/>
        <w:rPr>
          <w:sz w:val="20"/>
          <w:szCs w:val="20"/>
          <w:color w:val="auto"/>
        </w:rPr>
      </w:pPr>
    </w:p>
    <w:p>
      <w:pPr>
        <w:jc w:val="both"/>
        <w:ind w:firstLine="656"/>
        <w:spacing w:after="0" w:line="266" w:lineRule="auto"/>
        <w:tabs>
          <w:tab w:leader="none" w:pos="101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b w:val="1"/>
          <w:bCs w:val="1"/>
          <w:color w:val="auto"/>
        </w:rPr>
      </w:pPr>
    </w:p>
    <w:p>
      <w:pPr>
        <w:jc w:val="both"/>
        <w:ind w:firstLine="656"/>
        <w:spacing w:after="0" w:line="289" w:lineRule="auto"/>
        <w:tabs>
          <w:tab w:leader="none" w:pos="976"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on such delivery, or (ii) mailed by certified or registered mail with postage prepaid, on the third (3rd) business day after the date on which it is so mailed:</w:t>
      </w:r>
    </w:p>
    <w:p>
      <w:pPr>
        <w:spacing w:after="0" w:line="162" w:lineRule="exact"/>
        <w:rPr>
          <w:sz w:val="20"/>
          <w:szCs w:val="20"/>
          <w:color w:val="auto"/>
        </w:rPr>
      </w:pPr>
    </w:p>
    <w:p>
      <w:pPr>
        <w:ind w:firstLine="656"/>
        <w:spacing w:after="0" w:line="277" w:lineRule="auto"/>
        <w:tabs>
          <w:tab w:leader="none" w:pos="94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CM Life Sciences, Inc.</w:t>
      </w:r>
    </w:p>
    <w:p>
      <w:pPr>
        <w:spacing w:after="0" w:line="23" w:lineRule="exact"/>
        <w:rPr>
          <w:rFonts w:ascii="Arial" w:cs="Arial" w:eastAsia="Arial" w:hAnsi="Arial"/>
          <w:sz w:val="18"/>
          <w:szCs w:val="18"/>
          <w:color w:val="auto"/>
        </w:rPr>
      </w:pPr>
    </w:p>
    <w:p>
      <w:pPr>
        <w:ind w:left="1020" w:right="8160" w:hanging="45"/>
        <w:spacing w:after="0" w:line="281" w:lineRule="auto"/>
        <w:rPr>
          <w:rFonts w:ascii="Arial" w:cs="Arial" w:eastAsia="Arial" w:hAnsi="Arial"/>
          <w:sz w:val="18"/>
          <w:szCs w:val="18"/>
          <w:color w:val="auto"/>
        </w:rPr>
      </w:pPr>
      <w:r>
        <w:rPr>
          <w:rFonts w:ascii="Arial" w:cs="Arial" w:eastAsia="Arial" w:hAnsi="Arial"/>
          <w:sz w:val="16"/>
          <w:szCs w:val="16"/>
          <w:color w:val="auto"/>
        </w:rPr>
        <w:t>c/o Corvex Management LP 667 Madison Avenue New York, New York 10065</w:t>
      </w:r>
    </w:p>
    <w:p>
      <w:pPr>
        <w:spacing w:after="0" w:line="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Attn: Eli Casdin and Brian Emes</w:t>
      </w:r>
    </w:p>
    <w:p>
      <w:pPr>
        <w:spacing w:after="0" w:line="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Email: eli@casdincapital.com</w:t>
      </w:r>
    </w:p>
    <w:p>
      <w:pPr>
        <w:spacing w:after="0" w:line="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Email: bemes@corvexcap.com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ind w:left="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Attn: Joel Rubinstein, Esq.</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Fax No.: (212) 354-8113</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20" w:firstLine="656"/>
        <w:spacing w:after="0" w:line="289" w:lineRule="auto"/>
        <w:tabs>
          <w:tab w:leader="none" w:pos="945"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or in such other manner as may be permitted by law, shall be valid and sufficient service thereof.</w:t>
      </w:r>
    </w:p>
    <w:p>
      <w:pPr>
        <w:spacing w:after="0" w:line="160" w:lineRule="exact"/>
        <w:rPr>
          <w:rFonts w:ascii="Arial" w:cs="Arial" w:eastAsia="Arial" w:hAnsi="Arial"/>
          <w:sz w:val="16"/>
          <w:szCs w:val="16"/>
          <w:b w:val="1"/>
          <w:bCs w:val="1"/>
          <w:color w:val="auto"/>
        </w:rPr>
      </w:pPr>
    </w:p>
    <w:p>
      <w:pPr>
        <w:jc w:val="both"/>
        <w:ind w:left="-20" w:firstLine="656"/>
        <w:spacing w:after="0" w:line="266" w:lineRule="auto"/>
        <w:tabs>
          <w:tab w:leader="none" w:pos="97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b w:val="1"/>
          <w:bCs w:val="1"/>
          <w:color w:val="auto"/>
        </w:rPr>
      </w:pPr>
    </w:p>
    <w:p>
      <w:pPr>
        <w:jc w:val="both"/>
        <w:ind w:left="-20" w:firstLine="656"/>
        <w:spacing w:after="0" w:line="266" w:lineRule="auto"/>
        <w:tabs>
          <w:tab w:leader="none" w:pos="983"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the 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b w:val="1"/>
          <w:bCs w:val="1"/>
          <w:color w:val="auto"/>
        </w:rPr>
      </w:pPr>
    </w:p>
    <w:p>
      <w:pPr>
        <w:jc w:val="both"/>
        <w:ind w:left="-20" w:firstLine="656"/>
        <w:spacing w:after="0" w:line="258" w:lineRule="auto"/>
        <w:tabs>
          <w:tab w:leader="none" w:pos="963"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b w:val="1"/>
          <w:bCs w:val="1"/>
          <w:color w:val="auto"/>
        </w:rPr>
      </w:pPr>
    </w:p>
    <w:p>
      <w:pPr>
        <w:jc w:val="both"/>
        <w:ind w:left="-20" w:right="20" w:firstLine="656"/>
        <w:spacing w:after="0" w:line="266" w:lineRule="auto"/>
        <w:tabs>
          <w:tab w:leader="none" w:pos="9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42" w:name="page143"/>
    <w:bookmarkEnd w:id="142"/>
    <w:p>
      <w:pPr>
        <w:jc w:val="both"/>
        <w:ind w:firstLine="656"/>
        <w:spacing w:after="0" w:line="258" w:lineRule="auto"/>
        <w:tabs>
          <w:tab w:leader="none" w:pos="963"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contained herein to the contrary, Indemnitee hereby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83" w:lineRule="exact"/>
        <w:rPr>
          <w:rFonts w:ascii="Arial" w:cs="Arial" w:eastAsia="Arial" w:hAnsi="Arial"/>
          <w:sz w:val="18"/>
          <w:szCs w:val="18"/>
          <w:b w:val="1"/>
          <w:bCs w:val="1"/>
          <w:color w:val="auto"/>
        </w:rPr>
      </w:pPr>
    </w:p>
    <w:p>
      <w:pPr>
        <w:jc w:val="both"/>
        <w:ind w:firstLine="656"/>
        <w:spacing w:after="0" w:line="273" w:lineRule="auto"/>
        <w:tabs>
          <w:tab w:leader="none" w:pos="990"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INSURANCE</w:t>
      </w:r>
      <w:r>
        <w:rPr>
          <w:rFonts w:ascii="Arial" w:cs="Arial" w:eastAsia="Arial" w:hAnsi="Arial"/>
          <w:sz w:val="17"/>
          <w:szCs w:val="17"/>
          <w:color w:val="auto"/>
        </w:rPr>
        <w:t>. The Company shall use commercially reasonable efforts to obtain and maintain in effect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color w:val="auto"/>
        </w:rPr>
        <w:t>IN WITNESS WHEREOF, the parties hereto have caused this Indemnity Agreement to be signed as of the day and year first above written.</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Eli Casdin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908" w:right="87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September 1, 2020, by and between CM Life 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Shaun Rodriguez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directors, officers and other persons in service to corporations or business enterprises are being increasingly subjected to expensive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time-consuming litigation relating to, among other things, matters that traditionally would have been brought only against the Company or business enterprise itself;</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and any resolutions adopted pursuant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substitute therefor, nor to diminish or abrogate any rights of Indemnitee thereunder;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desires Indemnitee to serve in such capacity. Indemnitee is willing to serve, continue to serve and to take on additional service for or on behalf of the Company on the condition that Indemnitee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firstLine="656"/>
        <w:spacing w:after="0" w:line="274" w:lineRule="auto"/>
        <w:tabs>
          <w:tab w:leader="none" w:pos="90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will serve or continue to serve as an officer, director, advisor, key employee or in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capacity of the Company,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in each case as provided in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This Agreement, however, shall not impose any obligation on Indemnitee or the Company to continue Indemnitee’s service to the Company beyond any period otherwise required by law or by other agreements or commitments of the parties, if any.</w:t>
      </w:r>
    </w:p>
    <w:p>
      <w:pPr>
        <w:spacing w:after="0" w:line="173" w:lineRule="exact"/>
        <w:rPr>
          <w:rFonts w:ascii="Arial" w:cs="Arial" w:eastAsia="Arial" w:hAnsi="Arial"/>
          <w:sz w:val="17"/>
          <w:szCs w:val="17"/>
          <w:b w:val="1"/>
          <w:bCs w:val="1"/>
          <w:color w:val="auto"/>
        </w:rPr>
      </w:pPr>
    </w:p>
    <w:p>
      <w:pPr>
        <w:ind w:left="880" w:hanging="224"/>
        <w:spacing w:after="0"/>
        <w:tabs>
          <w:tab w:leader="none" w:pos="8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sz w:val="20"/>
          <w:szCs w:val="20"/>
          <w:color w:val="auto"/>
        </w:rPr>
      </w:pPr>
    </w:p>
    <w:p>
      <w:pPr>
        <w:jc w:val="both"/>
        <w:ind w:firstLine="656"/>
        <w:spacing w:after="0" w:line="259" w:lineRule="auto"/>
        <w:tabs>
          <w:tab w:leader="none" w:pos="93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right="20" w:firstLine="656"/>
        <w:spacing w:after="0" w:line="277" w:lineRule="auto"/>
        <w:tabs>
          <w:tab w:leader="none" w:pos="96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Beneficial Ownership</w:t>
      </w:r>
      <w:r>
        <w:rPr>
          <w:rFonts w:ascii="Arial" w:cs="Arial" w:eastAsia="Arial" w:hAnsi="Arial"/>
          <w:sz w:val="18"/>
          <w:szCs w:val="18"/>
          <w:i w:val="1"/>
          <w:iCs w:val="1"/>
          <w:color w:val="auto"/>
        </w:rPr>
        <w:t>”</w:t>
      </w:r>
      <w:r>
        <w:rPr>
          <w:rFonts w:ascii="Arial" w:cs="Arial" w:eastAsia="Arial" w:hAnsi="Arial"/>
          <w:sz w:val="18"/>
          <w:szCs w:val="18"/>
          <w:color w:val="auto"/>
        </w:rPr>
        <w:t xml:space="preserve">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firstLine="1304"/>
        <w:spacing w:after="0" w:line="273" w:lineRule="auto"/>
        <w:tabs>
          <w:tab w:leader="none" w:pos="1556"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CMLS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or any of its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619"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cease for any reason to constitute at least a majority of the members of the Board;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1304"/>
        <w:spacing w:after="0" w:line="268" w:lineRule="auto"/>
        <w:tabs>
          <w:tab w:leader="none" w:pos="1669" w:val="left"/>
        </w:tabs>
        <w:numPr>
          <w:ilvl w:val="1"/>
          <w:numId w:val="146"/>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6" w:lineRule="exact"/>
        <w:rPr>
          <w:rFonts w:ascii="Arial" w:cs="Arial" w:eastAsia="Arial" w:hAnsi="Arial"/>
          <w:sz w:val="17"/>
          <w:szCs w:val="17"/>
          <w:color w:val="auto"/>
        </w:rPr>
      </w:pPr>
    </w:p>
    <w:p>
      <w:pPr>
        <w:jc w:val="both"/>
        <w:ind w:firstLine="1304"/>
        <w:spacing w:after="0" w:line="259" w:lineRule="auto"/>
        <w:tabs>
          <w:tab w:leader="none" w:pos="1646"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609"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i w:val="1"/>
          <w:iCs w:val="1"/>
          <w:color w:val="auto"/>
        </w:rPr>
        <w:t>”</w:t>
      </w:r>
      <w:r>
        <w:rPr>
          <w:rFonts w:ascii="Arial" w:cs="Arial" w:eastAsia="Arial" w:hAnsi="Arial"/>
          <w:sz w:val="18"/>
          <w:szCs w:val="18"/>
          <w:color w:val="auto"/>
        </w:rPr>
        <w:t xml:space="preserve">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xml:space="preserve"> shall mean the Court of Chancery of the State of Delaware.</w:t>
      </w:r>
    </w:p>
    <w:p>
      <w:pPr>
        <w:spacing w:after="0" w:line="225"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xml:space="preserve">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4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fiduciary, employee or agent.</w:t>
      </w:r>
    </w:p>
    <w:p>
      <w:pPr>
        <w:spacing w:after="0" w:line="186" w:lineRule="exact"/>
        <w:rPr>
          <w:rFonts w:ascii="Arial" w:cs="Arial" w:eastAsia="Arial" w:hAnsi="Arial"/>
          <w:sz w:val="18"/>
          <w:szCs w:val="18"/>
          <w:color w:val="auto"/>
        </w:rPr>
      </w:pPr>
    </w:p>
    <w:p>
      <w:pPr>
        <w:ind w:left="960" w:hanging="304"/>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Securities Exchange Act of 1934, as amended.</w:t>
      </w:r>
    </w:p>
    <w:p>
      <w:pPr>
        <w:spacing w:after="0" w:line="225" w:lineRule="exact"/>
        <w:rPr>
          <w:rFonts w:ascii="Arial" w:cs="Arial" w:eastAsia="Arial" w:hAnsi="Arial"/>
          <w:sz w:val="18"/>
          <w:szCs w:val="18"/>
          <w:color w:val="auto"/>
        </w:rPr>
      </w:pPr>
    </w:p>
    <w:p>
      <w:pPr>
        <w:jc w:val="both"/>
        <w:ind w:firstLine="656"/>
        <w:spacing w:after="0" w:line="289" w:lineRule="auto"/>
        <w:tabs>
          <w:tab w:leader="none" w:pos="93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ind w:left="920" w:hanging="264"/>
        <w:spacing w:after="0"/>
        <w:tabs>
          <w:tab w:leader="none" w:pos="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fines</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excise tax assessed on Indemnitee with respect to any employee benefit plan.</w:t>
      </w:r>
    </w:p>
    <w:p>
      <w:pPr>
        <w:spacing w:after="0" w:line="225" w:lineRule="exact"/>
        <w:rPr>
          <w:rFonts w:ascii="Arial" w:cs="Arial" w:eastAsia="Arial" w:hAnsi="Arial"/>
          <w:sz w:val="18"/>
          <w:szCs w:val="18"/>
          <w:color w:val="auto"/>
        </w:rPr>
      </w:pPr>
    </w:p>
    <w:p>
      <w:pPr>
        <w:jc w:val="both"/>
        <w:ind w:firstLine="656"/>
        <w:spacing w:after="0" w:line="293" w:lineRule="auto"/>
        <w:tabs>
          <w:tab w:leader="none" w:pos="97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i w:val="1"/>
          <w:iCs w:val="1"/>
          <w:color w:val="auto"/>
        </w:rPr>
        <w:t>”</w:t>
      </w:r>
      <w:r>
        <w:rPr>
          <w:rFonts w:ascii="Arial" w:cs="Arial" w:eastAsia="Arial" w:hAnsi="Arial"/>
          <w:sz w:val="16"/>
          <w:szCs w:val="16"/>
          <w:color w:val="auto"/>
        </w:rPr>
        <w:t xml:space="preserve">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jc w:val="both"/>
        <w:ind w:firstLine="656"/>
        <w:spacing w:after="0" w:line="273" w:lineRule="auto"/>
        <w:tabs>
          <w:tab w:leader="none" w:pos="94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77" w:lineRule="exact"/>
        <w:rPr>
          <w:rFonts w:ascii="Arial" w:cs="Arial" w:eastAsia="Arial" w:hAnsi="Arial"/>
          <w:sz w:val="17"/>
          <w:szCs w:val="17"/>
          <w:color w:val="auto"/>
        </w:rPr>
      </w:pPr>
    </w:p>
    <w:p>
      <w:pPr>
        <w:jc w:val="both"/>
        <w:ind w:firstLine="656"/>
        <w:spacing w:after="0" w:line="290" w:lineRule="auto"/>
        <w:tabs>
          <w:tab w:leader="none" w:pos="99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65" w:lineRule="exact"/>
        <w:rPr>
          <w:rFonts w:ascii="Arial" w:cs="Arial" w:eastAsia="Arial" w:hAnsi="Arial"/>
          <w:sz w:val="16"/>
          <w:szCs w:val="16"/>
          <w:color w:val="auto"/>
        </w:rPr>
      </w:pPr>
    </w:p>
    <w:p>
      <w:pPr>
        <w:jc w:val="both"/>
        <w:ind w:firstLine="656"/>
        <w:spacing w:after="0" w:line="257" w:lineRule="auto"/>
        <w:tabs>
          <w:tab w:leader="none" w:pos="94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ind w:firstLine="656"/>
        <w:spacing w:after="0" w:line="308" w:lineRule="auto"/>
        <w:tabs>
          <w:tab w:leader="none" w:pos="94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sz w:val="20"/>
          <w:szCs w:val="20"/>
          <w:color w:val="auto"/>
        </w:rPr>
      </w:pPr>
    </w:p>
    <w:p>
      <w:pPr>
        <w:jc w:val="both"/>
        <w:ind w:firstLine="656"/>
        <w:spacing w:after="0" w:line="271" w:lineRule="auto"/>
        <w:tabs>
          <w:tab w:leader="none" w:pos="886"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harmless and exonerate Indemnitee in accordance with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3" w:lineRule="exact"/>
        <w:rPr>
          <w:rFonts w:ascii="Arial" w:cs="Arial" w:eastAsia="Arial" w:hAnsi="Arial"/>
          <w:sz w:val="17"/>
          <w:szCs w:val="17"/>
          <w:b w:val="1"/>
          <w:bCs w:val="1"/>
          <w:color w:val="auto"/>
        </w:rPr>
      </w:pPr>
    </w:p>
    <w:p>
      <w:pPr>
        <w:jc w:val="both"/>
        <w:ind w:firstLine="656"/>
        <w:spacing w:after="0" w:line="289" w:lineRule="auto"/>
        <w:tabs>
          <w:tab w:leader="none" w:pos="886"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indemnify, hold harmless and exonerate Indemnitee in accordance with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60" w:lineRule="exact"/>
        <w:rPr>
          <w:rFonts w:ascii="Arial" w:cs="Arial" w:eastAsia="Arial" w:hAnsi="Arial"/>
          <w:sz w:val="16"/>
          <w:szCs w:val="16"/>
          <w:b w:val="1"/>
          <w:bCs w:val="1"/>
          <w:color w:val="auto"/>
        </w:rPr>
      </w:pPr>
    </w:p>
    <w:p>
      <w:pPr>
        <w:jc w:val="both"/>
        <w:ind w:firstLine="656"/>
        <w:spacing w:after="0" w:line="269" w:lineRule="auto"/>
        <w:tabs>
          <w:tab w:leader="none" w:pos="900"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this Agreement except for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jc w:val="both"/>
        <w:ind w:firstLine="656"/>
        <w:spacing w:after="0" w:line="281" w:lineRule="auto"/>
        <w:tabs>
          <w:tab w:leader="none" w:pos="886"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except for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Indemnitee is, by reason of Indemnitee’s Corporate Status, a witness or deponent in any Proceeding to which Indemnitee was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64" w:lineRule="exact"/>
        <w:rPr>
          <w:rFonts w:ascii="Arial" w:cs="Arial" w:eastAsia="Arial" w:hAnsi="Arial"/>
          <w:sz w:val="17"/>
          <w:szCs w:val="17"/>
          <w:b w:val="1"/>
          <w:bCs w:val="1"/>
          <w:color w:val="auto"/>
        </w:rPr>
      </w:pPr>
    </w:p>
    <w:p>
      <w:pPr>
        <w:jc w:val="both"/>
        <w:ind w:firstLine="656"/>
        <w:spacing w:after="0" w:line="291" w:lineRule="auto"/>
        <w:tabs>
          <w:tab w:leader="none" w:pos="873"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INDEMNIFICATION, HOLD HARMLESS AND EXONERATION RIGHTS</w:t>
      </w:r>
      <w:r>
        <w:rPr>
          <w:rFonts w:ascii="Arial" w:cs="Arial" w:eastAsia="Arial" w:hAnsi="Arial"/>
          <w:sz w:val="16"/>
          <w:szCs w:val="16"/>
          <w:color w:val="auto"/>
        </w:rPr>
        <w:t>. Notwithstanding any limitation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hereof and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in connection with the Proceeding. No indemnification, hold harmless or exoneration rights shall be available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59" w:lineRule="exact"/>
        <w:rPr>
          <w:rFonts w:ascii="Arial" w:cs="Arial" w:eastAsia="Arial" w:hAnsi="Arial"/>
          <w:sz w:val="16"/>
          <w:szCs w:val="16"/>
          <w:b w:val="1"/>
          <w:bCs w:val="1"/>
          <w:color w:val="auto"/>
        </w:rPr>
      </w:pPr>
    </w:p>
    <w:p>
      <w:pPr>
        <w:ind w:left="880" w:hanging="224"/>
        <w:spacing w:after="0"/>
        <w:tabs>
          <w:tab w:leader="none" w:pos="88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5" w:lineRule="auto"/>
        <w:tabs>
          <w:tab w:leader="none" w:pos="97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76" w:lineRule="exact"/>
        <w:rPr>
          <w:rFonts w:ascii="Arial" w:cs="Arial" w:eastAsia="Arial" w:hAnsi="Arial"/>
          <w:sz w:val="17"/>
          <w:szCs w:val="17"/>
          <w:color w:val="auto"/>
        </w:rPr>
      </w:pPr>
    </w:p>
    <w:p>
      <w:pPr>
        <w:ind w:firstLine="656"/>
        <w:spacing w:after="0" w:line="277" w:lineRule="auto"/>
        <w:tabs>
          <w:tab w:leader="none" w:pos="96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right="20" w:firstLine="656"/>
        <w:spacing w:after="0" w:line="277" w:lineRule="auto"/>
        <w:tabs>
          <w:tab w:leader="none" w:pos="97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sz w:val="20"/>
          <w:szCs w:val="20"/>
          <w:color w:val="auto"/>
        </w:rPr>
      </w:pPr>
    </w:p>
    <w:p>
      <w:pPr>
        <w:ind w:firstLine="656"/>
        <w:spacing w:after="0" w:line="282" w:lineRule="auto"/>
        <w:tabs>
          <w:tab w:leader="none" w:pos="9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advance expenses, hold harmless or exoneration payment in connection with any claim made against Indemnitee:</w:t>
      </w:r>
    </w:p>
    <w:p>
      <w:pPr>
        <w:spacing w:after="0" w:line="166" w:lineRule="exact"/>
        <w:rPr>
          <w:sz w:val="20"/>
          <w:szCs w:val="20"/>
          <w:color w:val="auto"/>
        </w:rPr>
      </w:pPr>
    </w:p>
    <w:p>
      <w:pPr>
        <w:jc w:val="both"/>
        <w:ind w:firstLine="656"/>
        <w:spacing w:after="0" w:line="263" w:lineRule="auto"/>
        <w:tabs>
          <w:tab w:leader="none" w:pos="95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firstLine="656"/>
        <w:spacing w:after="0" w:line="277" w:lineRule="auto"/>
        <w:tabs>
          <w:tab w:leader="none" w:pos="96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3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Sections 14(f)-(g)</w:t>
      </w:r>
      <w:r>
        <w:rPr>
          <w:rFonts w:ascii="Arial" w:cs="Arial" w:eastAsia="Arial" w:hAnsi="Arial"/>
          <w:sz w:val="18"/>
          <w:szCs w:val="18"/>
          <w:color w:val="auto"/>
        </w:rPr>
        <w:t xml:space="preserv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ADVANCES OF EXPENSES; DEFENSE OF CLAIM</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5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the Bylaws, applicable law or otherwise. This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shall not apply to any claim made by Indemnitee for which an indemnification, hold harmless or exoneration payment is excluded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w:t>
      </w:r>
    </w:p>
    <w:p>
      <w:pPr>
        <w:spacing w:after="0" w:line="167" w:lineRule="exact"/>
        <w:rPr>
          <w:rFonts w:ascii="Arial" w:cs="Arial" w:eastAsia="Arial" w:hAnsi="Arial"/>
          <w:sz w:val="16"/>
          <w:szCs w:val="16"/>
          <w:color w:val="auto"/>
        </w:rPr>
      </w:pPr>
    </w:p>
    <w:p>
      <w:pPr>
        <w:ind w:left="960" w:hanging="304"/>
        <w:spacing w:after="0"/>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right="20" w:firstLine="656"/>
        <w:spacing w:after="0" w:line="277" w:lineRule="auto"/>
        <w:tabs>
          <w:tab w:leader="none" w:pos="93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PROCEDURE FOR NOTIFICATION AND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101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jc w:val="both"/>
        <w:ind w:firstLine="656"/>
        <w:spacing w:after="0" w:line="259" w:lineRule="auto"/>
        <w:tabs>
          <w:tab w:leader="none" w:pos="97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PROCEDURE UPON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6" w:lineRule="auto"/>
        <w:tabs>
          <w:tab w:leader="none" w:pos="95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Disinterested Directors so direct, by Independent Counsel in a written opinion to the Board, a copy of which shall be delivered to Indemnitee; or (ii) if a Change in Control has occurred,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73" w:lineRule="exact"/>
        <w:rPr>
          <w:rFonts w:ascii="Arial" w:cs="Arial" w:eastAsia="Arial" w:hAnsi="Arial"/>
          <w:sz w:val="16"/>
          <w:szCs w:val="16"/>
          <w:color w:val="auto"/>
        </w:rPr>
      </w:pPr>
    </w:p>
    <w:p>
      <w:pPr>
        <w:jc w:val="both"/>
        <w:ind w:firstLine="656"/>
        <w:spacing w:after="0" w:line="285" w:lineRule="auto"/>
        <w:tabs>
          <w:tab w:leader="none" w:pos="96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Upon the due commencement of any judicial proceeding or arbitration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jc w:val="both"/>
        <w:ind w:firstLine="656"/>
        <w:spacing w:after="0" w:line="263" w:lineRule="auto"/>
        <w:tabs>
          <w:tab w:leader="none" w:pos="99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PRESUMPTIONS AND EFFECT OF CERTAIN PROCEEDINGS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1" w:lineRule="auto"/>
        <w:tabs>
          <w:tab w:leader="none" w:pos="95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firstLine="656"/>
        <w:spacing w:after="0" w:line="271" w:lineRule="auto"/>
        <w:tabs>
          <w:tab w:leader="none" w:pos="97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If the person, persons or entity empowered or selected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firstLine="656"/>
        <w:spacing w:after="0" w:line="257" w:lineRule="auto"/>
        <w:tabs>
          <w:tab w:leader="none" w:pos="96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jc w:val="both"/>
        <w:ind w:firstLine="656"/>
        <w:spacing w:after="0" w:line="253" w:lineRule="auto"/>
        <w:tabs>
          <w:tab w:leader="none" w:pos="9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trustees, general partners, managers or managing members of the Enterprise in the course of their duties, or on the advice of legal counsel for the Enterprise, its Board, any committee of the Board or any director, trustee, general partner, manager or managing member of the Enterprise, or on information or records given or reports made to the Enterprise, its Board, any committee of the Board or any director, trustee, general partner, manager or managing member of the Enterprise, by an independent certified public accountant or by an appraiser or other expert selected by the Enterprise, its Board, any committee of the Board or any director, trustee, general partner, manager or managing member. The provisions of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ind w:right="20" w:firstLine="656"/>
        <w:spacing w:after="0" w:line="308" w:lineRule="auto"/>
        <w:tabs>
          <w:tab w:leader="none" w:pos="93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REMEDIES OF INDEMNITEE</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3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In the event that (i) a determination is made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that Indemnitee is not entitled to indemnification under this Agreement, (ii) advancement of Expenses, to the fullest extent permitted by applicable law, is not timely made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(iii) no determination of entitlement to indemnification shall have been made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thirty (30) days after receipt by the Company of the request for indemnification, (iv) payment of indemnification is not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the last sentence of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ten (10) days after receipt by the Company of a written request therefor, (v) a contribution payment is not made in a timely manner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(vi) payment of indemnification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and Mediation Procedures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67" w:lineRule="exact"/>
        <w:rPr>
          <w:rFonts w:ascii="Arial" w:cs="Arial" w:eastAsia="Arial" w:hAnsi="Arial"/>
          <w:sz w:val="16"/>
          <w:szCs w:val="16"/>
          <w:color w:val="auto"/>
        </w:rPr>
      </w:pPr>
    </w:p>
    <w:p>
      <w:pPr>
        <w:jc w:val="both"/>
        <w:ind w:firstLine="656"/>
        <w:spacing w:after="0" w:line="263" w:lineRule="auto"/>
        <w:tabs>
          <w:tab w:leader="none" w:pos="100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 that Indemnitee is not entitled to indemnification,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01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be presumed to be entitled to be indemnified, held harmless, and exonerated and to receive advancement of Expenses under this Agreement and the Company shall have the burden of proving Indemnitee is not entitled to be indemnified, held harmless, and exonerated and to receive advancement of Expenses, as the case may be, and the Company may not refer to or introduce into evidence any determination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adverse to Indemnitee for any purpose. If Indemnitee commences a judicial proceeding or arbitration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not be required to reimburse the Company for any advances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Agreement until a final determination is made with respect to Indemnitee’s entitlement to indemnification (as to which all rights of appeal have been exhausted or lapsed).</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002"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jc w:val="both"/>
        <w:ind w:firstLine="656"/>
        <w:spacing w:after="0" w:line="263" w:lineRule="auto"/>
        <w:tabs>
          <w:tab w:leader="none" w:pos="97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Company shall be precluded from asserting in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firstLine="656"/>
        <w:spacing w:after="0" w:line="271" w:lineRule="auto"/>
        <w:tabs>
          <w:tab w:leader="none" w:pos="93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4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83" w:lineRule="exact"/>
        <w:rPr>
          <w:sz w:val="20"/>
          <w:szCs w:val="20"/>
          <w:color w:val="auto"/>
        </w:rPr>
      </w:pPr>
    </w:p>
    <w:p>
      <w:pPr>
        <w:jc w:val="both"/>
        <w:ind w:firstLine="656"/>
        <w:spacing w:after="0" w:line="261" w:lineRule="auto"/>
        <w:tabs>
          <w:tab w:leader="none" w:pos="1017"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except 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requested by Indemnitee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9" w:lineRule="exact"/>
        <w:rPr>
          <w:rFonts w:ascii="Arial" w:cs="Arial" w:eastAsia="Arial" w:hAnsi="Arial"/>
          <w:sz w:val="18"/>
          <w:szCs w:val="18"/>
          <w:b w:val="1"/>
          <w:bCs w:val="1"/>
          <w:color w:val="auto"/>
        </w:rPr>
      </w:pPr>
    </w:p>
    <w:p>
      <w:pPr>
        <w:ind w:left="980" w:hanging="324"/>
        <w:spacing w:after="0"/>
        <w:tabs>
          <w:tab w:leader="none" w:pos="9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951"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jc w:val="both"/>
        <w:ind w:firstLine="656"/>
        <w:spacing w:after="0" w:line="290" w:lineRule="auto"/>
        <w:tabs>
          <w:tab w:leader="none" w:pos="96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DGCL, the Charter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i w:val="1"/>
          <w:iCs w:val="1"/>
          <w:color w:val="auto"/>
        </w:rPr>
        <w:t>”</w:t>
      </w:r>
      <w:r>
        <w:rPr>
          <w:rFonts w:ascii="Arial" w:cs="Arial" w:eastAsia="Arial" w:hAnsi="Arial"/>
          <w:sz w:val="16"/>
          <w:szCs w:val="16"/>
          <w:color w:val="auto"/>
        </w:rPr>
        <w:t xml:space="preserve">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firstLine="656"/>
        <w:spacing w:after="0" w:line="290" w:lineRule="auto"/>
        <w:tabs>
          <w:tab w:leader="none" w:pos="93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firstLine="656"/>
        <w:spacing w:after="0" w:line="263" w:lineRule="auto"/>
        <w:tabs>
          <w:tab w:leader="none" w:pos="96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3" w:lineRule="exact"/>
        <w:rPr>
          <w:rFonts w:ascii="Arial" w:cs="Arial" w:eastAsia="Arial" w:hAnsi="Arial"/>
          <w:sz w:val="18"/>
          <w:szCs w:val="18"/>
          <w:color w:val="auto"/>
        </w:rPr>
      </w:pPr>
    </w:p>
    <w:p>
      <w:pPr>
        <w:jc w:val="both"/>
        <w:ind w:firstLine="656"/>
        <w:spacing w:after="0" w:line="268" w:lineRule="auto"/>
        <w:tabs>
          <w:tab w:leader="none" w:pos="97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Company acknowledges that to the extent Indemnitee is serving as a director on the Company’s board of directors at the request or direction of a private equity or venture capital fund or other entity and/or certain of its affiliates (collectively, the “</w:t>
      </w:r>
      <w:r>
        <w:rPr>
          <w:rFonts w:ascii="Arial" w:cs="Arial" w:eastAsia="Arial" w:hAnsi="Arial"/>
          <w:sz w:val="17"/>
          <w:szCs w:val="17"/>
          <w:b w:val="1"/>
          <w:bCs w:val="1"/>
          <w:i w:val="1"/>
          <w:iCs w:val="1"/>
          <w:color w:val="auto"/>
        </w:rPr>
        <w:t>Secondary Indemnitors</w:t>
      </w:r>
      <w:r>
        <w:rPr>
          <w:rFonts w:ascii="Arial" w:cs="Arial" w:eastAsia="Arial" w:hAnsi="Arial"/>
          <w:sz w:val="17"/>
          <w:szCs w:val="17"/>
          <w:color w:val="auto"/>
        </w:rPr>
        <w:t xml:space="preserve">”),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w:t>
      </w:r>
      <w:r>
        <w:rPr>
          <w:rFonts w:ascii="Arial" w:cs="Arial" w:eastAsia="Arial" w:hAnsi="Arial"/>
          <w:sz w:val="17"/>
          <w:szCs w:val="17"/>
          <w:u w:val="single" w:color="auto"/>
          <w:color w:val="auto"/>
        </w:rPr>
        <w:t>Section 9(e)</w:t>
      </w:r>
      <w:r>
        <w:rPr>
          <w:rFonts w:ascii="Arial" w:cs="Arial" w:eastAsia="Arial" w:hAnsi="Arial"/>
          <w:sz w:val="17"/>
          <w:szCs w:val="17"/>
          <w:color w:val="auto"/>
        </w:rPr>
        <w:t xml:space="preserve">.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w:t>
      </w:r>
      <w:r>
        <w:rPr>
          <w:rFonts w:ascii="Arial" w:cs="Arial" w:eastAsia="Arial" w:hAnsi="Arial"/>
          <w:sz w:val="17"/>
          <w:szCs w:val="17"/>
          <w:u w:val="single" w:color="auto"/>
          <w:color w:val="auto"/>
        </w:rPr>
        <w:t>Section 9(e)</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both"/>
        <w:ind w:firstLine="656"/>
        <w:spacing w:after="0" w:line="284" w:lineRule="auto"/>
        <w:tabs>
          <w:tab w:leader="none" w:pos="918"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firstLine="8"/>
        <w:spacing w:after="0" w:line="323" w:lineRule="auto"/>
        <w:tabs>
          <w:tab w:leader="none" w:pos="28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4" w:lineRule="exact"/>
        <w:rPr>
          <w:sz w:val="20"/>
          <w:szCs w:val="20"/>
          <w:color w:val="auto"/>
        </w:rPr>
      </w:pPr>
    </w:p>
    <w:p>
      <w:pPr>
        <w:jc w:val="both"/>
        <w:ind w:firstLine="656"/>
        <w:spacing w:after="0" w:line="255" w:lineRule="auto"/>
        <w:tabs>
          <w:tab w:leader="none" w:pos="103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this Agreement) by reason of Indemnitee’s Corporate Status, whether or not Indemnitee is acting in any such capacity at the time any liability or expense is incurred for which indemnification or advancement can be provided under this Agreement.</w:t>
      </w:r>
    </w:p>
    <w:p>
      <w:pPr>
        <w:spacing w:after="0" w:line="188" w:lineRule="exact"/>
        <w:rPr>
          <w:rFonts w:ascii="Arial" w:cs="Arial" w:eastAsia="Arial" w:hAnsi="Arial"/>
          <w:sz w:val="18"/>
          <w:szCs w:val="18"/>
          <w:b w:val="1"/>
          <w:bCs w:val="1"/>
          <w:color w:val="auto"/>
        </w:rPr>
      </w:pPr>
    </w:p>
    <w:p>
      <w:pPr>
        <w:ind w:left="1020" w:hanging="364"/>
        <w:spacing w:after="0"/>
        <w:tabs>
          <w:tab w:leader="none" w:pos="1020"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w:t>
      </w:r>
    </w:p>
    <w:p>
      <w:pPr>
        <w:spacing w:after="0" w:line="38" w:lineRule="exact"/>
        <w:rPr>
          <w:rFonts w:ascii="Arial" w:cs="Arial" w:eastAsia="Arial" w:hAnsi="Arial"/>
          <w:sz w:val="17"/>
          <w:szCs w:val="17"/>
          <w:b w:val="1"/>
          <w:bCs w:val="1"/>
          <w:color w:val="auto"/>
        </w:rPr>
      </w:pPr>
    </w:p>
    <w:p>
      <w:pPr>
        <w:jc w:val="both"/>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b w:val="1"/>
          <w:bCs w:val="1"/>
          <w:color w:val="auto"/>
        </w:rPr>
      </w:pPr>
    </w:p>
    <w:p>
      <w:pPr>
        <w:ind w:left="980" w:hanging="324"/>
        <w:spacing w:after="0"/>
        <w:tabs>
          <w:tab w:leader="none" w:pos="9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93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656"/>
        <w:spacing w:after="0" w:line="273" w:lineRule="auto"/>
        <w:tabs>
          <w:tab w:leader="none" w:pos="93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00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firstLine="656"/>
        <w:spacing w:after="0" w:line="289" w:lineRule="auto"/>
        <w:tabs>
          <w:tab w:leader="none" w:pos="97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spacing w:after="0" w:line="162" w:lineRule="exact"/>
        <w:rPr>
          <w:sz w:val="20"/>
          <w:szCs w:val="20"/>
          <w:color w:val="auto"/>
        </w:rPr>
      </w:pPr>
    </w:p>
    <w:p>
      <w:pPr>
        <w:jc w:val="both"/>
        <w:ind w:firstLine="656"/>
        <w:spacing w:after="0" w:line="266" w:lineRule="auto"/>
        <w:tabs>
          <w:tab w:leader="none" w:pos="1003"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b w:val="1"/>
          <w:bCs w:val="1"/>
          <w:color w:val="auto"/>
        </w:rPr>
      </w:pPr>
    </w:p>
    <w:p>
      <w:pPr>
        <w:jc w:val="both"/>
        <w:ind w:firstLine="656"/>
        <w:spacing w:after="0" w:line="289" w:lineRule="auto"/>
        <w:tabs>
          <w:tab w:leader="none" w:pos="976"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on such delivery, or (ii) mailed by certified or registered mail with postage prepaid, on the third (3rd) business day after the date on which it is so mailed:</w:t>
      </w:r>
    </w:p>
    <w:p>
      <w:pPr>
        <w:spacing w:after="0" w:line="162" w:lineRule="exact"/>
        <w:rPr>
          <w:sz w:val="20"/>
          <w:szCs w:val="20"/>
          <w:color w:val="auto"/>
        </w:rPr>
      </w:pPr>
    </w:p>
    <w:p>
      <w:pPr>
        <w:ind w:firstLine="656"/>
        <w:spacing w:after="0" w:line="277" w:lineRule="auto"/>
        <w:tabs>
          <w:tab w:leader="none" w:pos="93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Eli Casdin and Brian Emes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eli@casdincapital.com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bemes@corvexcap.com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354-8113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firstLine="1304"/>
        <w:spacing w:after="0" w:line="285" w:lineRule="auto"/>
        <w:tabs>
          <w:tab w:leader="none" w:pos="1624" w:val="left"/>
        </w:tabs>
        <w:numPr>
          <w:ilvl w:val="2"/>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governed 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w:t>
      </w:r>
    </w:p>
    <w:p>
      <w:pPr>
        <w:spacing w:after="0" w:line="3" w:lineRule="exact"/>
        <w:rPr>
          <w:rFonts w:ascii="Arial" w:cs="Arial" w:eastAsia="Arial" w:hAnsi="Arial"/>
          <w:sz w:val="16"/>
          <w:szCs w:val="16"/>
          <w:b w:val="1"/>
          <w:bCs w:val="1"/>
          <w:color w:val="auto"/>
        </w:rPr>
      </w:pPr>
    </w:p>
    <w:p>
      <w:pPr>
        <w:jc w:val="both"/>
        <w:ind w:firstLine="8"/>
        <w:spacing w:after="0" w:line="253" w:lineRule="auto"/>
        <w:tabs>
          <w:tab w:leader="none" w:pos="25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or in such other manner as may be permitted by law, shall be valid and sufficient service thereof.</w:t>
      </w:r>
    </w:p>
    <w:p>
      <w:pPr>
        <w:spacing w:after="0" w:line="186" w:lineRule="exact"/>
        <w:rPr>
          <w:rFonts w:ascii="Arial" w:cs="Arial" w:eastAsia="Arial" w:hAnsi="Arial"/>
          <w:sz w:val="18"/>
          <w:szCs w:val="18"/>
          <w:color w:val="auto"/>
        </w:rPr>
      </w:pPr>
    </w:p>
    <w:p>
      <w:pPr>
        <w:jc w:val="both"/>
        <w:ind w:firstLine="656"/>
        <w:spacing w:after="0" w:line="266" w:lineRule="auto"/>
        <w:tabs>
          <w:tab w:leader="none" w:pos="990" w:val="left"/>
        </w:tabs>
        <w:numPr>
          <w:ilvl w:val="1"/>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b w:val="1"/>
          <w:bCs w:val="1"/>
          <w:color w:val="auto"/>
        </w:rPr>
      </w:pPr>
    </w:p>
    <w:p>
      <w:pPr>
        <w:jc w:val="both"/>
        <w:ind w:firstLine="656"/>
        <w:spacing w:after="0" w:line="266" w:lineRule="auto"/>
        <w:tabs>
          <w:tab w:leader="none" w:pos="1003" w:val="left"/>
        </w:tabs>
        <w:numPr>
          <w:ilvl w:val="1"/>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the 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b w:val="1"/>
          <w:bCs w:val="1"/>
          <w:color w:val="auto"/>
        </w:rPr>
      </w:pPr>
    </w:p>
    <w:p>
      <w:pPr>
        <w:jc w:val="both"/>
        <w:ind w:firstLine="656"/>
        <w:spacing w:after="0" w:line="258" w:lineRule="auto"/>
        <w:tabs>
          <w:tab w:leader="none" w:pos="976" w:val="left"/>
        </w:tabs>
        <w:numPr>
          <w:ilvl w:val="1"/>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b w:val="1"/>
          <w:bCs w:val="1"/>
          <w:color w:val="auto"/>
        </w:rPr>
      </w:pPr>
    </w:p>
    <w:p>
      <w:pPr>
        <w:jc w:val="both"/>
        <w:ind w:firstLine="656"/>
        <w:spacing w:after="0" w:line="266" w:lineRule="auto"/>
        <w:tabs>
          <w:tab w:leader="none" w:pos="990" w:val="left"/>
        </w:tabs>
        <w:numPr>
          <w:ilvl w:val="1"/>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firstLine="656"/>
        <w:spacing w:after="0" w:line="258" w:lineRule="auto"/>
        <w:tabs>
          <w:tab w:leader="none" w:pos="963"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contained herein to the contrary, Indemnitee hereby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83" w:lineRule="exact"/>
        <w:rPr>
          <w:rFonts w:ascii="Arial" w:cs="Arial" w:eastAsia="Arial" w:hAnsi="Arial"/>
          <w:sz w:val="18"/>
          <w:szCs w:val="18"/>
          <w:b w:val="1"/>
          <w:bCs w:val="1"/>
          <w:color w:val="auto"/>
        </w:rPr>
      </w:pPr>
    </w:p>
    <w:p>
      <w:pPr>
        <w:jc w:val="both"/>
        <w:ind w:firstLine="656"/>
        <w:spacing w:after="0" w:line="273" w:lineRule="auto"/>
        <w:tabs>
          <w:tab w:leader="none" w:pos="990"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INSURANCE</w:t>
      </w:r>
      <w:r>
        <w:rPr>
          <w:rFonts w:ascii="Arial" w:cs="Arial" w:eastAsia="Arial" w:hAnsi="Arial"/>
          <w:sz w:val="17"/>
          <w:szCs w:val="17"/>
          <w:color w:val="auto"/>
        </w:rPr>
        <w:t>. The Company shall use commercially reasonable efforts to obtain and maintain in effect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color w:val="auto"/>
        </w:rPr>
        <w:t>IN WITNESS WHEREOF, the parties hereto have caused this Indemnity Agreement to be signed as of the day and year first above written.</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23495</wp:posOffset>
            </wp:positionV>
            <wp:extent cx="25628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Shaun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Shaun Rodriguez</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908" w:right="87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September 1, 2020, by and between CM Life 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Sean George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directors, officers and other persons in service to corporations or business enterprises are being increasingly subjected to expensive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time-consuming litigation relating to, among other things, matters that traditionally would have been brought only against the Company or business enterprise itself;</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and any resolutions adopted pursuant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substitute therefor, nor to diminish or abrogate any rights of Indemnitee thereunder;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desires Indemnitee to serve in such capacity. Indemnitee is willing to serve, continue to serve and to take on additional service for or on behalf of the Company on the condition that Indemnitee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firstLine="656"/>
        <w:spacing w:after="0" w:line="274" w:lineRule="auto"/>
        <w:tabs>
          <w:tab w:leader="none" w:pos="900"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will serve or continue to serve as an officer, director, advisor, key employee or in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capacity of the Company,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in each case as provided in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This Agreement, however, shall not impose any obligation on Indemnitee or the Company to continue Indemnitee’s service to the Company beyond any period otherwise required by law or by other agreements or commitments of the parties, if any.</w:t>
      </w:r>
    </w:p>
    <w:p>
      <w:pPr>
        <w:spacing w:after="0" w:line="173" w:lineRule="exact"/>
        <w:rPr>
          <w:rFonts w:ascii="Arial" w:cs="Arial" w:eastAsia="Arial" w:hAnsi="Arial"/>
          <w:sz w:val="17"/>
          <w:szCs w:val="17"/>
          <w:b w:val="1"/>
          <w:bCs w:val="1"/>
          <w:color w:val="auto"/>
        </w:rPr>
      </w:pPr>
    </w:p>
    <w:p>
      <w:pPr>
        <w:ind w:left="880" w:hanging="224"/>
        <w:spacing w:after="0"/>
        <w:tabs>
          <w:tab w:leader="none" w:pos="8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sz w:val="20"/>
          <w:szCs w:val="20"/>
          <w:color w:val="auto"/>
        </w:rPr>
      </w:pPr>
    </w:p>
    <w:p>
      <w:pPr>
        <w:jc w:val="both"/>
        <w:ind w:firstLine="656"/>
        <w:spacing w:after="0" w:line="259" w:lineRule="auto"/>
        <w:tabs>
          <w:tab w:leader="none" w:pos="93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right="20" w:firstLine="656"/>
        <w:spacing w:after="0" w:line="277" w:lineRule="auto"/>
        <w:tabs>
          <w:tab w:leader="none" w:pos="96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Beneficial Ownership</w:t>
      </w:r>
      <w:r>
        <w:rPr>
          <w:rFonts w:ascii="Arial" w:cs="Arial" w:eastAsia="Arial" w:hAnsi="Arial"/>
          <w:sz w:val="18"/>
          <w:szCs w:val="18"/>
          <w:i w:val="1"/>
          <w:iCs w:val="1"/>
          <w:color w:val="auto"/>
        </w:rPr>
        <w:t>”</w:t>
      </w:r>
      <w:r>
        <w:rPr>
          <w:rFonts w:ascii="Arial" w:cs="Arial" w:eastAsia="Arial" w:hAnsi="Arial"/>
          <w:sz w:val="18"/>
          <w:szCs w:val="18"/>
          <w:color w:val="auto"/>
        </w:rPr>
        <w:t xml:space="preserve">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firstLine="1304"/>
        <w:spacing w:after="0" w:line="273" w:lineRule="auto"/>
        <w:tabs>
          <w:tab w:leader="none" w:pos="1556" w:val="left"/>
        </w:tabs>
        <w:numPr>
          <w:ilvl w:val="1"/>
          <w:numId w:val="179"/>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CMLS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or any of its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619"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cease for any reason to constitute at least a majority of the members of the Board;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ind w:firstLine="1304"/>
        <w:spacing w:after="0" w:line="268" w:lineRule="auto"/>
        <w:tabs>
          <w:tab w:leader="none" w:pos="1669"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6" w:lineRule="exact"/>
        <w:rPr>
          <w:rFonts w:ascii="Arial" w:cs="Arial" w:eastAsia="Arial" w:hAnsi="Arial"/>
          <w:sz w:val="17"/>
          <w:szCs w:val="17"/>
          <w:color w:val="auto"/>
        </w:rPr>
      </w:pPr>
    </w:p>
    <w:p>
      <w:pPr>
        <w:jc w:val="both"/>
        <w:ind w:firstLine="1304"/>
        <w:spacing w:after="0" w:line="259" w:lineRule="auto"/>
        <w:tabs>
          <w:tab w:leader="none" w:pos="1646"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609"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i w:val="1"/>
          <w:iCs w:val="1"/>
          <w:color w:val="auto"/>
        </w:rPr>
        <w:t>”</w:t>
      </w:r>
      <w:r>
        <w:rPr>
          <w:rFonts w:ascii="Arial" w:cs="Arial" w:eastAsia="Arial" w:hAnsi="Arial"/>
          <w:sz w:val="18"/>
          <w:szCs w:val="18"/>
          <w:color w:val="auto"/>
        </w:rPr>
        <w:t xml:space="preserve">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xml:space="preserve"> shall mean the Court of Chancery of the State of Delaware.</w:t>
      </w:r>
    </w:p>
    <w:p>
      <w:pPr>
        <w:spacing w:after="0" w:line="225"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xml:space="preserve">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fiduciary, employee or agent.</w:t>
      </w:r>
    </w:p>
    <w:p>
      <w:pPr>
        <w:spacing w:after="0" w:line="186" w:lineRule="exact"/>
        <w:rPr>
          <w:rFonts w:ascii="Arial" w:cs="Arial" w:eastAsia="Arial" w:hAnsi="Arial"/>
          <w:sz w:val="18"/>
          <w:szCs w:val="18"/>
          <w:color w:val="auto"/>
        </w:rPr>
      </w:pPr>
    </w:p>
    <w:p>
      <w:pPr>
        <w:ind w:left="960" w:hanging="304"/>
        <w:spacing w:after="0"/>
        <w:tabs>
          <w:tab w:leader="none" w:pos="9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Securities Exchange Act of 1934, as amended.</w:t>
      </w:r>
    </w:p>
    <w:p>
      <w:pPr>
        <w:spacing w:after="0" w:line="225" w:lineRule="exact"/>
        <w:rPr>
          <w:rFonts w:ascii="Arial" w:cs="Arial" w:eastAsia="Arial" w:hAnsi="Arial"/>
          <w:sz w:val="18"/>
          <w:szCs w:val="18"/>
          <w:color w:val="auto"/>
        </w:rPr>
      </w:pPr>
    </w:p>
    <w:p>
      <w:pPr>
        <w:jc w:val="both"/>
        <w:ind w:firstLine="656"/>
        <w:spacing w:after="0" w:line="289" w:lineRule="auto"/>
        <w:tabs>
          <w:tab w:leader="none" w:pos="93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ind w:left="920" w:hanging="264"/>
        <w:spacing w:after="0"/>
        <w:tabs>
          <w:tab w:leader="none" w:pos="9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fines</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excise tax assessed on Indemnitee with respect to any employee benefit plan.</w:t>
      </w:r>
    </w:p>
    <w:p>
      <w:pPr>
        <w:spacing w:after="0" w:line="225" w:lineRule="exact"/>
        <w:rPr>
          <w:rFonts w:ascii="Arial" w:cs="Arial" w:eastAsia="Arial" w:hAnsi="Arial"/>
          <w:sz w:val="18"/>
          <w:szCs w:val="18"/>
          <w:color w:val="auto"/>
        </w:rPr>
      </w:pPr>
    </w:p>
    <w:p>
      <w:pPr>
        <w:jc w:val="both"/>
        <w:ind w:firstLine="656"/>
        <w:spacing w:after="0" w:line="293" w:lineRule="auto"/>
        <w:tabs>
          <w:tab w:leader="none" w:pos="97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i w:val="1"/>
          <w:iCs w:val="1"/>
          <w:color w:val="auto"/>
        </w:rPr>
        <w:t>”</w:t>
      </w:r>
      <w:r>
        <w:rPr>
          <w:rFonts w:ascii="Arial" w:cs="Arial" w:eastAsia="Arial" w:hAnsi="Arial"/>
          <w:sz w:val="16"/>
          <w:szCs w:val="16"/>
          <w:color w:val="auto"/>
        </w:rPr>
        <w:t xml:space="preserve">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jc w:val="both"/>
        <w:ind w:firstLine="656"/>
        <w:spacing w:after="0" w:line="273" w:lineRule="auto"/>
        <w:tabs>
          <w:tab w:leader="none" w:pos="94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77" w:lineRule="exact"/>
        <w:rPr>
          <w:rFonts w:ascii="Arial" w:cs="Arial" w:eastAsia="Arial" w:hAnsi="Arial"/>
          <w:sz w:val="17"/>
          <w:szCs w:val="17"/>
          <w:color w:val="auto"/>
        </w:rPr>
      </w:pPr>
    </w:p>
    <w:p>
      <w:pPr>
        <w:jc w:val="both"/>
        <w:ind w:firstLine="656"/>
        <w:spacing w:after="0" w:line="290" w:lineRule="auto"/>
        <w:tabs>
          <w:tab w:leader="none" w:pos="99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65" w:lineRule="exact"/>
        <w:rPr>
          <w:rFonts w:ascii="Arial" w:cs="Arial" w:eastAsia="Arial" w:hAnsi="Arial"/>
          <w:sz w:val="16"/>
          <w:szCs w:val="16"/>
          <w:color w:val="auto"/>
        </w:rPr>
      </w:pPr>
    </w:p>
    <w:p>
      <w:pPr>
        <w:jc w:val="both"/>
        <w:ind w:firstLine="656"/>
        <w:spacing w:after="0" w:line="257" w:lineRule="auto"/>
        <w:tabs>
          <w:tab w:leader="none" w:pos="94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ind w:firstLine="656"/>
        <w:spacing w:after="0" w:line="308" w:lineRule="auto"/>
        <w:tabs>
          <w:tab w:leader="none" w:pos="94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sz w:val="20"/>
          <w:szCs w:val="20"/>
          <w:color w:val="auto"/>
        </w:rPr>
      </w:pPr>
    </w:p>
    <w:p>
      <w:pPr>
        <w:jc w:val="both"/>
        <w:ind w:firstLine="656"/>
        <w:spacing w:after="0" w:line="271" w:lineRule="auto"/>
        <w:tabs>
          <w:tab w:leader="none" w:pos="886"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harmless and exonerate Indemnitee in accordance with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3" w:lineRule="exact"/>
        <w:rPr>
          <w:rFonts w:ascii="Arial" w:cs="Arial" w:eastAsia="Arial" w:hAnsi="Arial"/>
          <w:sz w:val="17"/>
          <w:szCs w:val="17"/>
          <w:b w:val="1"/>
          <w:bCs w:val="1"/>
          <w:color w:val="auto"/>
        </w:rPr>
      </w:pPr>
    </w:p>
    <w:p>
      <w:pPr>
        <w:jc w:val="both"/>
        <w:ind w:firstLine="656"/>
        <w:spacing w:after="0" w:line="289" w:lineRule="auto"/>
        <w:tabs>
          <w:tab w:leader="none" w:pos="886"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indemnify, hold harmless and exonerate Indemnitee in accordance with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60" w:lineRule="exact"/>
        <w:rPr>
          <w:rFonts w:ascii="Arial" w:cs="Arial" w:eastAsia="Arial" w:hAnsi="Arial"/>
          <w:sz w:val="16"/>
          <w:szCs w:val="16"/>
          <w:b w:val="1"/>
          <w:bCs w:val="1"/>
          <w:color w:val="auto"/>
        </w:rPr>
      </w:pPr>
    </w:p>
    <w:p>
      <w:pPr>
        <w:jc w:val="both"/>
        <w:ind w:firstLine="656"/>
        <w:spacing w:after="0" w:line="269" w:lineRule="auto"/>
        <w:tabs>
          <w:tab w:leader="none" w:pos="900"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this Agreement except for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both"/>
        <w:ind w:firstLine="656"/>
        <w:spacing w:after="0" w:line="281" w:lineRule="auto"/>
        <w:tabs>
          <w:tab w:leader="none" w:pos="886"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except for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Indemnitee is, by reason of Indemnitee’s Corporate Status, a witness or deponent in any Proceeding to which Indemnitee was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64" w:lineRule="exact"/>
        <w:rPr>
          <w:rFonts w:ascii="Arial" w:cs="Arial" w:eastAsia="Arial" w:hAnsi="Arial"/>
          <w:sz w:val="17"/>
          <w:szCs w:val="17"/>
          <w:b w:val="1"/>
          <w:bCs w:val="1"/>
          <w:color w:val="auto"/>
        </w:rPr>
      </w:pPr>
    </w:p>
    <w:p>
      <w:pPr>
        <w:jc w:val="both"/>
        <w:ind w:firstLine="656"/>
        <w:spacing w:after="0" w:line="291" w:lineRule="auto"/>
        <w:tabs>
          <w:tab w:leader="none" w:pos="873"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INDEMNIFICATION, HOLD HARMLESS AND EXONERATION RIGHTS</w:t>
      </w:r>
      <w:r>
        <w:rPr>
          <w:rFonts w:ascii="Arial" w:cs="Arial" w:eastAsia="Arial" w:hAnsi="Arial"/>
          <w:sz w:val="16"/>
          <w:szCs w:val="16"/>
          <w:color w:val="auto"/>
        </w:rPr>
        <w:t>. Notwithstanding any limitation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hereof and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in connection with the Proceeding. No indemnification, hold harmless or exoneration rights shall be available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59" w:lineRule="exact"/>
        <w:rPr>
          <w:rFonts w:ascii="Arial" w:cs="Arial" w:eastAsia="Arial" w:hAnsi="Arial"/>
          <w:sz w:val="16"/>
          <w:szCs w:val="16"/>
          <w:b w:val="1"/>
          <w:bCs w:val="1"/>
          <w:color w:val="auto"/>
        </w:rPr>
      </w:pPr>
    </w:p>
    <w:p>
      <w:pPr>
        <w:ind w:left="880" w:hanging="224"/>
        <w:spacing w:after="0"/>
        <w:tabs>
          <w:tab w:leader="none" w:pos="88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5" w:lineRule="auto"/>
        <w:tabs>
          <w:tab w:leader="none" w:pos="97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76" w:lineRule="exact"/>
        <w:rPr>
          <w:rFonts w:ascii="Arial" w:cs="Arial" w:eastAsia="Arial" w:hAnsi="Arial"/>
          <w:sz w:val="17"/>
          <w:szCs w:val="17"/>
          <w:color w:val="auto"/>
        </w:rPr>
      </w:pPr>
    </w:p>
    <w:p>
      <w:pPr>
        <w:ind w:firstLine="656"/>
        <w:spacing w:after="0" w:line="277" w:lineRule="auto"/>
        <w:tabs>
          <w:tab w:leader="none" w:pos="96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right="20" w:firstLine="656"/>
        <w:spacing w:after="0" w:line="277" w:lineRule="auto"/>
        <w:tabs>
          <w:tab w:leader="none" w:pos="97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sz w:val="20"/>
          <w:szCs w:val="20"/>
          <w:color w:val="auto"/>
        </w:rPr>
      </w:pPr>
    </w:p>
    <w:p>
      <w:pPr>
        <w:ind w:firstLine="656"/>
        <w:spacing w:after="0" w:line="282" w:lineRule="auto"/>
        <w:tabs>
          <w:tab w:leader="none" w:pos="9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advance expenses, hold harmless or exoneration payment in connection with any claim made against Indemnitee:</w:t>
      </w:r>
    </w:p>
    <w:p>
      <w:pPr>
        <w:spacing w:after="0" w:line="166" w:lineRule="exact"/>
        <w:rPr>
          <w:sz w:val="20"/>
          <w:szCs w:val="20"/>
          <w:color w:val="auto"/>
        </w:rPr>
      </w:pPr>
    </w:p>
    <w:p>
      <w:pPr>
        <w:jc w:val="both"/>
        <w:ind w:firstLine="656"/>
        <w:spacing w:after="0" w:line="263" w:lineRule="auto"/>
        <w:tabs>
          <w:tab w:leader="none" w:pos="95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ind w:firstLine="656"/>
        <w:spacing w:after="0" w:line="277" w:lineRule="auto"/>
        <w:tabs>
          <w:tab w:leader="none" w:pos="96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3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Sections 14(f)-(g)</w:t>
      </w:r>
      <w:r>
        <w:rPr>
          <w:rFonts w:ascii="Arial" w:cs="Arial" w:eastAsia="Arial" w:hAnsi="Arial"/>
          <w:sz w:val="18"/>
          <w:szCs w:val="18"/>
          <w:color w:val="auto"/>
        </w:rPr>
        <w:t xml:space="preserv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ADVANCES OF EXPENSES; DEFENSE OF CLAIM</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51"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the Bylaws, applicable law or otherwise. This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shall not apply to any claim made by Indemnitee for which an indemnification, hold harmless or exoneration payment is excluded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w:t>
      </w:r>
    </w:p>
    <w:p>
      <w:pPr>
        <w:spacing w:after="0" w:line="167" w:lineRule="exact"/>
        <w:rPr>
          <w:rFonts w:ascii="Arial" w:cs="Arial" w:eastAsia="Arial" w:hAnsi="Arial"/>
          <w:sz w:val="16"/>
          <w:szCs w:val="16"/>
          <w:color w:val="auto"/>
        </w:rPr>
      </w:pPr>
    </w:p>
    <w:p>
      <w:pPr>
        <w:ind w:left="960" w:hanging="304"/>
        <w:spacing w:after="0"/>
        <w:tabs>
          <w:tab w:leader="none" w:pos="9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right="20" w:firstLine="656"/>
        <w:spacing w:after="0" w:line="277" w:lineRule="auto"/>
        <w:tabs>
          <w:tab w:leader="none" w:pos="93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PROCEDURE FOR NOTIFICATION AND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101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jc w:val="both"/>
        <w:ind w:firstLine="656"/>
        <w:spacing w:after="0" w:line="259" w:lineRule="auto"/>
        <w:tabs>
          <w:tab w:leader="none" w:pos="97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PROCEDURE UPON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6" w:lineRule="auto"/>
        <w:tabs>
          <w:tab w:leader="none" w:pos="95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Disinterested Directors so direct, by Independent Counsel in a written opinion to the Board, a copy of which shall be delivered to Indemnitee; or (ii) if a Change in Control has occurred,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73" w:lineRule="exact"/>
        <w:rPr>
          <w:rFonts w:ascii="Arial" w:cs="Arial" w:eastAsia="Arial" w:hAnsi="Arial"/>
          <w:sz w:val="16"/>
          <w:szCs w:val="16"/>
          <w:color w:val="auto"/>
        </w:rPr>
      </w:pPr>
    </w:p>
    <w:p>
      <w:pPr>
        <w:jc w:val="both"/>
        <w:ind w:firstLine="656"/>
        <w:spacing w:after="0" w:line="285" w:lineRule="auto"/>
        <w:tabs>
          <w:tab w:leader="none" w:pos="96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Upon the due commencement of any judicial proceeding or arbitration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jc w:val="both"/>
        <w:ind w:firstLine="656"/>
        <w:spacing w:after="0" w:line="263" w:lineRule="auto"/>
        <w:tabs>
          <w:tab w:leader="none" w:pos="99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PRESUMPTIONS AND EFFECT OF CERTAIN PROCEEDINGS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1" w:lineRule="auto"/>
        <w:tabs>
          <w:tab w:leader="none" w:pos="951"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firstLine="656"/>
        <w:spacing w:after="0" w:line="271" w:lineRule="auto"/>
        <w:tabs>
          <w:tab w:leader="none" w:pos="97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If the person, persons or entity empowered or selected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firstLine="656"/>
        <w:spacing w:after="0" w:line="257" w:lineRule="auto"/>
        <w:tabs>
          <w:tab w:leader="none" w:pos="96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jc w:val="both"/>
        <w:ind w:firstLine="656"/>
        <w:spacing w:after="0" w:line="253" w:lineRule="auto"/>
        <w:tabs>
          <w:tab w:leader="none" w:pos="94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trustees, general partners, managers or managing members of the Enterprise in the course of their duties, or on the advice of legal counsel for the Enterprise, its Board, any committee of the Board or any director, trustee, general partner, manager or managing member of the Enterprise, or on information or records given or reports made to the Enterprise, its Board, any committee of the Board or any director, trustee, general partner, manager or managing member of the Enterprise, by an independent certified public accountant or by an appraiser or other expert selected by the Enterprise, its Board, any committee of the Board or any director, trustee, general partner, manager or managing member. The provisions of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ind w:right="20" w:firstLine="656"/>
        <w:spacing w:after="0" w:line="308" w:lineRule="auto"/>
        <w:tabs>
          <w:tab w:leader="none" w:pos="93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REMEDIES OF INDEMNITEE</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3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In the event that (i) a determination is made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that Indemnitee is not entitled to indemnification under this Agreement, (ii) advancement of Expenses, to the fullest extent permitted by applicable law, is not timely made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(iii) no determination of entitlement to indemnification shall have been made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thirty (30) days after receipt by the Company of the request for indemnification, (iv) payment of indemnification is not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the last sentence of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ten (10) days after receipt by the Company of a written request therefor, (v) a contribution payment is not made in a timely manner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(vi) payment of indemnification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and Mediation Procedures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67" w:lineRule="exact"/>
        <w:rPr>
          <w:rFonts w:ascii="Arial" w:cs="Arial" w:eastAsia="Arial" w:hAnsi="Arial"/>
          <w:sz w:val="16"/>
          <w:szCs w:val="16"/>
          <w:color w:val="auto"/>
        </w:rPr>
      </w:pPr>
    </w:p>
    <w:p>
      <w:pPr>
        <w:jc w:val="both"/>
        <w:ind w:firstLine="656"/>
        <w:spacing w:after="0" w:line="263" w:lineRule="auto"/>
        <w:tabs>
          <w:tab w:leader="none" w:pos="100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 that Indemnitee is not entitled to indemnification,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01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be presumed to be entitled to be indemnified, held harmless, and exonerated and to receive advancement of Expenses under this Agreement and the Company shall have the burden of proving Indemnitee is not entitled to be indemnified, held harmless, and exonerated and to receive advancement of Expenses, as the case may be, and the Company may not refer to or introduce into evidence any determination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adverse to Indemnitee for any purpose. If Indemnitee commences a judicial proceeding or arbitration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not be required to reimburse the Company for any advances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Agreement until a final determination is made with respect to Indemnitee’s entitlement to indemnification (as to which all rights of appeal have been exhausted or lapsed).</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002"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jc w:val="both"/>
        <w:ind w:firstLine="656"/>
        <w:spacing w:after="0" w:line="263" w:lineRule="auto"/>
        <w:tabs>
          <w:tab w:leader="none" w:pos="97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Company shall be precluded from asserting in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firstLine="656"/>
        <w:spacing w:after="0" w:line="271" w:lineRule="auto"/>
        <w:tabs>
          <w:tab w:leader="none" w:pos="93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4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83" w:lineRule="exact"/>
        <w:rPr>
          <w:sz w:val="20"/>
          <w:szCs w:val="20"/>
          <w:color w:val="auto"/>
        </w:rPr>
      </w:pPr>
    </w:p>
    <w:p>
      <w:pPr>
        <w:jc w:val="both"/>
        <w:ind w:firstLine="656"/>
        <w:spacing w:after="0" w:line="261" w:lineRule="auto"/>
        <w:tabs>
          <w:tab w:leader="none" w:pos="1017"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except 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requested by Indemnitee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9" w:lineRule="exact"/>
        <w:rPr>
          <w:rFonts w:ascii="Arial" w:cs="Arial" w:eastAsia="Arial" w:hAnsi="Arial"/>
          <w:sz w:val="18"/>
          <w:szCs w:val="18"/>
          <w:b w:val="1"/>
          <w:bCs w:val="1"/>
          <w:color w:val="auto"/>
        </w:rPr>
      </w:pPr>
    </w:p>
    <w:p>
      <w:pPr>
        <w:ind w:left="980" w:hanging="324"/>
        <w:spacing w:after="0"/>
        <w:tabs>
          <w:tab w:leader="none" w:pos="98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951"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jc w:val="both"/>
        <w:ind w:firstLine="656"/>
        <w:spacing w:after="0" w:line="290" w:lineRule="auto"/>
        <w:tabs>
          <w:tab w:leader="none" w:pos="96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DGCL, the Charter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i w:val="1"/>
          <w:iCs w:val="1"/>
          <w:color w:val="auto"/>
        </w:rPr>
        <w:t>”</w:t>
      </w:r>
      <w:r>
        <w:rPr>
          <w:rFonts w:ascii="Arial" w:cs="Arial" w:eastAsia="Arial" w:hAnsi="Arial"/>
          <w:sz w:val="16"/>
          <w:szCs w:val="16"/>
          <w:color w:val="auto"/>
        </w:rPr>
        <w:t xml:space="preserve">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firstLine="656"/>
        <w:spacing w:after="0" w:line="290" w:lineRule="auto"/>
        <w:tabs>
          <w:tab w:leader="none" w:pos="93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firstLine="656"/>
        <w:spacing w:after="0" w:line="263" w:lineRule="auto"/>
        <w:tabs>
          <w:tab w:leader="none" w:pos="96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3" w:lineRule="exact"/>
        <w:rPr>
          <w:rFonts w:ascii="Arial" w:cs="Arial" w:eastAsia="Arial" w:hAnsi="Arial"/>
          <w:sz w:val="18"/>
          <w:szCs w:val="18"/>
          <w:color w:val="auto"/>
        </w:rPr>
      </w:pPr>
    </w:p>
    <w:p>
      <w:pPr>
        <w:jc w:val="both"/>
        <w:ind w:firstLine="656"/>
        <w:spacing w:after="0" w:line="268" w:lineRule="auto"/>
        <w:tabs>
          <w:tab w:leader="none" w:pos="97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Company acknowledges that to the extent Indemnitee is serving as a director on the Company’s board of directors at the request or direction of a private equity or venture capital fund or other entity and/or certain of its affiliates (collectively, the “</w:t>
      </w:r>
      <w:r>
        <w:rPr>
          <w:rFonts w:ascii="Arial" w:cs="Arial" w:eastAsia="Arial" w:hAnsi="Arial"/>
          <w:sz w:val="17"/>
          <w:szCs w:val="17"/>
          <w:b w:val="1"/>
          <w:bCs w:val="1"/>
          <w:i w:val="1"/>
          <w:iCs w:val="1"/>
          <w:color w:val="auto"/>
        </w:rPr>
        <w:t>Secondary Indemnitors</w:t>
      </w:r>
      <w:r>
        <w:rPr>
          <w:rFonts w:ascii="Arial" w:cs="Arial" w:eastAsia="Arial" w:hAnsi="Arial"/>
          <w:sz w:val="17"/>
          <w:szCs w:val="17"/>
          <w:color w:val="auto"/>
        </w:rPr>
        <w:t xml:space="preserve">”),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w:t>
      </w:r>
      <w:r>
        <w:rPr>
          <w:rFonts w:ascii="Arial" w:cs="Arial" w:eastAsia="Arial" w:hAnsi="Arial"/>
          <w:sz w:val="17"/>
          <w:szCs w:val="17"/>
          <w:u w:val="single" w:color="auto"/>
          <w:color w:val="auto"/>
        </w:rPr>
        <w:t>Section 9(e)</w:t>
      </w:r>
      <w:r>
        <w:rPr>
          <w:rFonts w:ascii="Arial" w:cs="Arial" w:eastAsia="Arial" w:hAnsi="Arial"/>
          <w:sz w:val="17"/>
          <w:szCs w:val="17"/>
          <w:color w:val="auto"/>
        </w:rPr>
        <w:t xml:space="preserve">.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w:t>
      </w:r>
      <w:r>
        <w:rPr>
          <w:rFonts w:ascii="Arial" w:cs="Arial" w:eastAsia="Arial" w:hAnsi="Arial"/>
          <w:sz w:val="17"/>
          <w:szCs w:val="17"/>
          <w:u w:val="single" w:color="auto"/>
          <w:color w:val="auto"/>
        </w:rPr>
        <w:t>Section 9(e)</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jc w:val="both"/>
        <w:ind w:firstLine="656"/>
        <w:spacing w:after="0" w:line="284" w:lineRule="auto"/>
        <w:tabs>
          <w:tab w:leader="none" w:pos="918"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firstLine="8"/>
        <w:spacing w:after="0" w:line="323" w:lineRule="auto"/>
        <w:tabs>
          <w:tab w:leader="none" w:pos="28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4" w:lineRule="exact"/>
        <w:rPr>
          <w:sz w:val="20"/>
          <w:szCs w:val="20"/>
          <w:color w:val="auto"/>
        </w:rPr>
      </w:pPr>
    </w:p>
    <w:p>
      <w:pPr>
        <w:jc w:val="both"/>
        <w:ind w:firstLine="656"/>
        <w:spacing w:after="0" w:line="255" w:lineRule="auto"/>
        <w:tabs>
          <w:tab w:leader="none" w:pos="103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this Agreement) by reason of Indemnitee’s Corporate Status, whether or not Indemnitee is acting in any such capacity at the time any liability or expense is incurred for which indemnification or advancement can be provided under this Agreement.</w:t>
      </w:r>
    </w:p>
    <w:p>
      <w:pPr>
        <w:spacing w:after="0" w:line="188" w:lineRule="exact"/>
        <w:rPr>
          <w:rFonts w:ascii="Arial" w:cs="Arial" w:eastAsia="Arial" w:hAnsi="Arial"/>
          <w:sz w:val="18"/>
          <w:szCs w:val="18"/>
          <w:b w:val="1"/>
          <w:bCs w:val="1"/>
          <w:color w:val="auto"/>
        </w:rPr>
      </w:pPr>
    </w:p>
    <w:p>
      <w:pPr>
        <w:ind w:left="1020" w:hanging="364"/>
        <w:spacing w:after="0"/>
        <w:tabs>
          <w:tab w:leader="none" w:pos="1020"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w:t>
      </w:r>
    </w:p>
    <w:p>
      <w:pPr>
        <w:spacing w:after="0" w:line="38" w:lineRule="exact"/>
        <w:rPr>
          <w:rFonts w:ascii="Arial" w:cs="Arial" w:eastAsia="Arial" w:hAnsi="Arial"/>
          <w:sz w:val="17"/>
          <w:szCs w:val="17"/>
          <w:b w:val="1"/>
          <w:bCs w:val="1"/>
          <w:color w:val="auto"/>
        </w:rPr>
      </w:pPr>
    </w:p>
    <w:p>
      <w:pPr>
        <w:jc w:val="both"/>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b w:val="1"/>
          <w:bCs w:val="1"/>
          <w:color w:val="auto"/>
        </w:rPr>
      </w:pPr>
    </w:p>
    <w:p>
      <w:pPr>
        <w:ind w:left="980" w:hanging="324"/>
        <w:spacing w:after="0"/>
        <w:tabs>
          <w:tab w:leader="none" w:pos="9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93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jc w:val="both"/>
        <w:ind w:firstLine="656"/>
        <w:spacing w:after="0" w:line="273" w:lineRule="auto"/>
        <w:tabs>
          <w:tab w:leader="none" w:pos="937"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00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firstLine="656"/>
        <w:spacing w:after="0" w:line="289" w:lineRule="auto"/>
        <w:tabs>
          <w:tab w:leader="none" w:pos="97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spacing w:after="0" w:line="162" w:lineRule="exact"/>
        <w:rPr>
          <w:sz w:val="20"/>
          <w:szCs w:val="20"/>
          <w:color w:val="auto"/>
        </w:rPr>
      </w:pPr>
    </w:p>
    <w:p>
      <w:pPr>
        <w:jc w:val="both"/>
        <w:ind w:firstLine="656"/>
        <w:spacing w:after="0" w:line="266" w:lineRule="auto"/>
        <w:tabs>
          <w:tab w:leader="none" w:pos="1003"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b w:val="1"/>
          <w:bCs w:val="1"/>
          <w:color w:val="auto"/>
        </w:rPr>
      </w:pPr>
    </w:p>
    <w:p>
      <w:pPr>
        <w:jc w:val="both"/>
        <w:ind w:firstLine="656"/>
        <w:spacing w:after="0" w:line="289" w:lineRule="auto"/>
        <w:tabs>
          <w:tab w:leader="none" w:pos="976"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on such delivery, or (ii) mailed by certified or registered mail with postage prepaid, on the third (3rd) business day after the date on which it is so mailed:</w:t>
      </w:r>
    </w:p>
    <w:p>
      <w:pPr>
        <w:spacing w:after="0" w:line="162" w:lineRule="exact"/>
        <w:rPr>
          <w:sz w:val="20"/>
          <w:szCs w:val="20"/>
          <w:color w:val="auto"/>
        </w:rPr>
      </w:pPr>
    </w:p>
    <w:p>
      <w:pPr>
        <w:ind w:firstLine="656"/>
        <w:spacing w:after="0" w:line="277" w:lineRule="auto"/>
        <w:tabs>
          <w:tab w:leader="none" w:pos="93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Eli Casdin and Brian Emes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eli@casdincapital.com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bemes@corvexcap.com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354-8113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firstLine="1304"/>
        <w:spacing w:after="0" w:line="285" w:lineRule="auto"/>
        <w:tabs>
          <w:tab w:leader="none" w:pos="1624" w:val="left"/>
        </w:tabs>
        <w:numPr>
          <w:ilvl w:val="2"/>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governed 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w:t>
      </w:r>
    </w:p>
    <w:p>
      <w:pPr>
        <w:spacing w:after="0" w:line="3" w:lineRule="exact"/>
        <w:rPr>
          <w:rFonts w:ascii="Arial" w:cs="Arial" w:eastAsia="Arial" w:hAnsi="Arial"/>
          <w:sz w:val="16"/>
          <w:szCs w:val="16"/>
          <w:b w:val="1"/>
          <w:bCs w:val="1"/>
          <w:color w:val="auto"/>
        </w:rPr>
      </w:pPr>
    </w:p>
    <w:p>
      <w:pPr>
        <w:jc w:val="both"/>
        <w:ind w:firstLine="8"/>
        <w:spacing w:after="0" w:line="253" w:lineRule="auto"/>
        <w:tabs>
          <w:tab w:leader="none" w:pos="25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or in such other manner as may be permitted by law, shall be valid and sufficient service thereof.</w:t>
      </w:r>
    </w:p>
    <w:p>
      <w:pPr>
        <w:spacing w:after="0" w:line="186" w:lineRule="exact"/>
        <w:rPr>
          <w:rFonts w:ascii="Arial" w:cs="Arial" w:eastAsia="Arial" w:hAnsi="Arial"/>
          <w:sz w:val="18"/>
          <w:szCs w:val="18"/>
          <w:color w:val="auto"/>
        </w:rPr>
      </w:pPr>
    </w:p>
    <w:p>
      <w:pPr>
        <w:jc w:val="both"/>
        <w:ind w:firstLine="656"/>
        <w:spacing w:after="0" w:line="266" w:lineRule="auto"/>
        <w:tabs>
          <w:tab w:leader="none" w:pos="990" w:val="left"/>
        </w:tabs>
        <w:numPr>
          <w:ilvl w:val="1"/>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b w:val="1"/>
          <w:bCs w:val="1"/>
          <w:color w:val="auto"/>
        </w:rPr>
      </w:pPr>
    </w:p>
    <w:p>
      <w:pPr>
        <w:jc w:val="both"/>
        <w:ind w:firstLine="656"/>
        <w:spacing w:after="0" w:line="266" w:lineRule="auto"/>
        <w:tabs>
          <w:tab w:leader="none" w:pos="1003" w:val="left"/>
        </w:tabs>
        <w:numPr>
          <w:ilvl w:val="1"/>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the 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b w:val="1"/>
          <w:bCs w:val="1"/>
          <w:color w:val="auto"/>
        </w:rPr>
      </w:pPr>
    </w:p>
    <w:p>
      <w:pPr>
        <w:jc w:val="both"/>
        <w:ind w:firstLine="656"/>
        <w:spacing w:after="0" w:line="258" w:lineRule="auto"/>
        <w:tabs>
          <w:tab w:leader="none" w:pos="976" w:val="left"/>
        </w:tabs>
        <w:numPr>
          <w:ilvl w:val="1"/>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b w:val="1"/>
          <w:bCs w:val="1"/>
          <w:color w:val="auto"/>
        </w:rPr>
      </w:pPr>
    </w:p>
    <w:p>
      <w:pPr>
        <w:jc w:val="both"/>
        <w:ind w:firstLine="656"/>
        <w:spacing w:after="0" w:line="266" w:lineRule="auto"/>
        <w:tabs>
          <w:tab w:leader="none" w:pos="990" w:val="left"/>
        </w:tabs>
        <w:numPr>
          <w:ilvl w:val="1"/>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both"/>
        <w:ind w:firstLine="656"/>
        <w:spacing w:after="0" w:line="258" w:lineRule="auto"/>
        <w:tabs>
          <w:tab w:leader="none" w:pos="963"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contained herein to the contrary, Indemnitee hereby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83" w:lineRule="exact"/>
        <w:rPr>
          <w:rFonts w:ascii="Arial" w:cs="Arial" w:eastAsia="Arial" w:hAnsi="Arial"/>
          <w:sz w:val="18"/>
          <w:szCs w:val="18"/>
          <w:b w:val="1"/>
          <w:bCs w:val="1"/>
          <w:color w:val="auto"/>
        </w:rPr>
      </w:pPr>
    </w:p>
    <w:p>
      <w:pPr>
        <w:jc w:val="both"/>
        <w:ind w:firstLine="656"/>
        <w:spacing w:after="0" w:line="273" w:lineRule="auto"/>
        <w:tabs>
          <w:tab w:leader="none" w:pos="990"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INSURANCE</w:t>
      </w:r>
      <w:r>
        <w:rPr>
          <w:rFonts w:ascii="Arial" w:cs="Arial" w:eastAsia="Arial" w:hAnsi="Arial"/>
          <w:sz w:val="17"/>
          <w:szCs w:val="17"/>
          <w:color w:val="auto"/>
        </w:rPr>
        <w:t>. The Company shall use commercially reasonable efforts to obtain and maintain in effect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spacing w:after="0"/>
        <w:rPr>
          <w:sz w:val="20"/>
          <w:szCs w:val="20"/>
          <w:color w:val="auto"/>
        </w:rPr>
      </w:pPr>
      <w:r>
        <w:rPr>
          <w:rFonts w:ascii="Arial" w:cs="Arial" w:eastAsia="Arial" w:hAnsi="Arial"/>
          <w:sz w:val="16"/>
          <w:szCs w:val="16"/>
          <w:color w:val="auto"/>
        </w:rPr>
        <w:t>IN WITNESS WHEREOF, the parties hereto have caused this Indemnity Agreement to be signed as of the day and year first above written.</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23495</wp:posOffset>
            </wp:positionV>
            <wp:extent cx="25628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Sean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Sean George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908" w:right="87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September 1, 2020, by and between CM Life 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Munib Islam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directors, officers and other persons in service to corporations or business enterprises are being increasingly subjected to expensive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time-consuming litigation relating to, among other things, matters that traditionally would have been brought only against the Company or business enterprise itself;</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and any resolutions adopted pursuant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substitute therefor, nor to diminish or abrogate any rights of Indemnitee thereunder;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desires Indemnitee to serve in such capacity. Indemnitee is willing to serve, continue to serve and to take on additional service for or on behalf of the Company on the condition that Indemnitee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firstLine="656"/>
        <w:spacing w:after="0" w:line="274" w:lineRule="auto"/>
        <w:tabs>
          <w:tab w:leader="none" w:pos="90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will serve or continue to serve as an officer, director, advisor, key employee or in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capacity of the Company,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in each case as provided in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This Agreement, however, shall not impose any obligation on Indemnitee or the Company to continue Indemnitee’s service to the Company beyond any period otherwise required by law or by other agreements or commitments of the parties, if any.</w:t>
      </w:r>
    </w:p>
    <w:p>
      <w:pPr>
        <w:spacing w:after="0" w:line="173" w:lineRule="exact"/>
        <w:rPr>
          <w:rFonts w:ascii="Arial" w:cs="Arial" w:eastAsia="Arial" w:hAnsi="Arial"/>
          <w:sz w:val="17"/>
          <w:szCs w:val="17"/>
          <w:b w:val="1"/>
          <w:bCs w:val="1"/>
          <w:color w:val="auto"/>
        </w:rPr>
      </w:pPr>
    </w:p>
    <w:p>
      <w:pPr>
        <w:ind w:left="880" w:hanging="224"/>
        <w:spacing w:after="0"/>
        <w:tabs>
          <w:tab w:leader="none" w:pos="8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sz w:val="20"/>
          <w:szCs w:val="20"/>
          <w:color w:val="auto"/>
        </w:rPr>
      </w:pPr>
    </w:p>
    <w:p>
      <w:pPr>
        <w:jc w:val="both"/>
        <w:ind w:firstLine="656"/>
        <w:spacing w:after="0" w:line="259" w:lineRule="auto"/>
        <w:tabs>
          <w:tab w:leader="none" w:pos="93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right="20" w:firstLine="656"/>
        <w:spacing w:after="0" w:line="277" w:lineRule="auto"/>
        <w:tabs>
          <w:tab w:leader="none" w:pos="96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Beneficial Ownership</w:t>
      </w:r>
      <w:r>
        <w:rPr>
          <w:rFonts w:ascii="Arial" w:cs="Arial" w:eastAsia="Arial" w:hAnsi="Arial"/>
          <w:sz w:val="18"/>
          <w:szCs w:val="18"/>
          <w:i w:val="1"/>
          <w:iCs w:val="1"/>
          <w:color w:val="auto"/>
        </w:rPr>
        <w:t>”</w:t>
      </w:r>
      <w:r>
        <w:rPr>
          <w:rFonts w:ascii="Arial" w:cs="Arial" w:eastAsia="Arial" w:hAnsi="Arial"/>
          <w:sz w:val="18"/>
          <w:szCs w:val="18"/>
          <w:color w:val="auto"/>
        </w:rPr>
        <w:t xml:space="preserve">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firstLine="1304"/>
        <w:spacing w:after="0" w:line="273" w:lineRule="auto"/>
        <w:tabs>
          <w:tab w:leader="none" w:pos="1556" w:val="left"/>
        </w:tabs>
        <w:numPr>
          <w:ilvl w:val="1"/>
          <w:numId w:val="213"/>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CMLS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or any of its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619"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cease for any reason to constitute at least a majority of the members of the Board;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1304"/>
        <w:spacing w:after="0" w:line="268" w:lineRule="auto"/>
        <w:tabs>
          <w:tab w:leader="none" w:pos="1669" w:val="left"/>
        </w:tabs>
        <w:numPr>
          <w:ilvl w:val="1"/>
          <w:numId w:val="214"/>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6" w:lineRule="exact"/>
        <w:rPr>
          <w:rFonts w:ascii="Arial" w:cs="Arial" w:eastAsia="Arial" w:hAnsi="Arial"/>
          <w:sz w:val="17"/>
          <w:szCs w:val="17"/>
          <w:color w:val="auto"/>
        </w:rPr>
      </w:pPr>
    </w:p>
    <w:p>
      <w:pPr>
        <w:jc w:val="both"/>
        <w:ind w:firstLine="1304"/>
        <w:spacing w:after="0" w:line="259" w:lineRule="auto"/>
        <w:tabs>
          <w:tab w:leader="none" w:pos="1646"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609"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i w:val="1"/>
          <w:iCs w:val="1"/>
          <w:color w:val="auto"/>
        </w:rPr>
        <w:t>”</w:t>
      </w:r>
      <w:r>
        <w:rPr>
          <w:rFonts w:ascii="Arial" w:cs="Arial" w:eastAsia="Arial" w:hAnsi="Arial"/>
          <w:sz w:val="18"/>
          <w:szCs w:val="18"/>
          <w:color w:val="auto"/>
        </w:rPr>
        <w:t xml:space="preserve">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xml:space="preserve"> shall mean the Court of Chancery of the State of Delaware.</w:t>
      </w:r>
    </w:p>
    <w:p>
      <w:pPr>
        <w:spacing w:after="0" w:line="225"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xml:space="preserve">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4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fiduciary, employee or agent.</w:t>
      </w:r>
    </w:p>
    <w:p>
      <w:pPr>
        <w:spacing w:after="0" w:line="186" w:lineRule="exact"/>
        <w:rPr>
          <w:rFonts w:ascii="Arial" w:cs="Arial" w:eastAsia="Arial" w:hAnsi="Arial"/>
          <w:sz w:val="18"/>
          <w:szCs w:val="18"/>
          <w:color w:val="auto"/>
        </w:rPr>
      </w:pPr>
    </w:p>
    <w:p>
      <w:pPr>
        <w:ind w:left="960" w:hanging="304"/>
        <w:spacing w:after="0"/>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Securities Exchange Act of 1934, as amended.</w:t>
      </w:r>
    </w:p>
    <w:p>
      <w:pPr>
        <w:spacing w:after="0" w:line="225" w:lineRule="exact"/>
        <w:rPr>
          <w:rFonts w:ascii="Arial" w:cs="Arial" w:eastAsia="Arial" w:hAnsi="Arial"/>
          <w:sz w:val="18"/>
          <w:szCs w:val="18"/>
          <w:color w:val="auto"/>
        </w:rPr>
      </w:pPr>
    </w:p>
    <w:p>
      <w:pPr>
        <w:jc w:val="both"/>
        <w:ind w:firstLine="656"/>
        <w:spacing w:after="0" w:line="289" w:lineRule="auto"/>
        <w:tabs>
          <w:tab w:leader="none" w:pos="93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ind w:left="920" w:hanging="264"/>
        <w:spacing w:after="0"/>
        <w:tabs>
          <w:tab w:leader="none" w:pos="9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fines</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excise tax assessed on Indemnitee with respect to any employee benefit plan.</w:t>
      </w:r>
    </w:p>
    <w:p>
      <w:pPr>
        <w:spacing w:after="0" w:line="225" w:lineRule="exact"/>
        <w:rPr>
          <w:rFonts w:ascii="Arial" w:cs="Arial" w:eastAsia="Arial" w:hAnsi="Arial"/>
          <w:sz w:val="18"/>
          <w:szCs w:val="18"/>
          <w:color w:val="auto"/>
        </w:rPr>
      </w:pPr>
    </w:p>
    <w:p>
      <w:pPr>
        <w:jc w:val="both"/>
        <w:ind w:firstLine="656"/>
        <w:spacing w:after="0" w:line="293" w:lineRule="auto"/>
        <w:tabs>
          <w:tab w:leader="none" w:pos="97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i w:val="1"/>
          <w:iCs w:val="1"/>
          <w:color w:val="auto"/>
        </w:rPr>
        <w:t>”</w:t>
      </w:r>
      <w:r>
        <w:rPr>
          <w:rFonts w:ascii="Arial" w:cs="Arial" w:eastAsia="Arial" w:hAnsi="Arial"/>
          <w:sz w:val="16"/>
          <w:szCs w:val="16"/>
          <w:color w:val="auto"/>
        </w:rPr>
        <w:t xml:space="preserve">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jc w:val="both"/>
        <w:ind w:firstLine="656"/>
        <w:spacing w:after="0" w:line="273" w:lineRule="auto"/>
        <w:tabs>
          <w:tab w:leader="none" w:pos="948"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77" w:lineRule="exact"/>
        <w:rPr>
          <w:rFonts w:ascii="Arial" w:cs="Arial" w:eastAsia="Arial" w:hAnsi="Arial"/>
          <w:sz w:val="17"/>
          <w:szCs w:val="17"/>
          <w:color w:val="auto"/>
        </w:rPr>
      </w:pPr>
    </w:p>
    <w:p>
      <w:pPr>
        <w:jc w:val="both"/>
        <w:ind w:firstLine="656"/>
        <w:spacing w:after="0" w:line="290" w:lineRule="auto"/>
        <w:tabs>
          <w:tab w:leader="none" w:pos="99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65" w:lineRule="exact"/>
        <w:rPr>
          <w:rFonts w:ascii="Arial" w:cs="Arial" w:eastAsia="Arial" w:hAnsi="Arial"/>
          <w:sz w:val="16"/>
          <w:szCs w:val="16"/>
          <w:color w:val="auto"/>
        </w:rPr>
      </w:pPr>
    </w:p>
    <w:p>
      <w:pPr>
        <w:jc w:val="both"/>
        <w:ind w:firstLine="656"/>
        <w:spacing w:after="0" w:line="257" w:lineRule="auto"/>
        <w:tabs>
          <w:tab w:leader="none" w:pos="94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ind w:firstLine="656"/>
        <w:spacing w:after="0" w:line="308" w:lineRule="auto"/>
        <w:tabs>
          <w:tab w:leader="none" w:pos="94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sz w:val="20"/>
          <w:szCs w:val="20"/>
          <w:color w:val="auto"/>
        </w:rPr>
      </w:pPr>
    </w:p>
    <w:p>
      <w:pPr>
        <w:jc w:val="both"/>
        <w:ind w:firstLine="656"/>
        <w:spacing w:after="0" w:line="271" w:lineRule="auto"/>
        <w:tabs>
          <w:tab w:leader="none" w:pos="886"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harmless and exonerate Indemnitee in accordance with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3" w:lineRule="exact"/>
        <w:rPr>
          <w:rFonts w:ascii="Arial" w:cs="Arial" w:eastAsia="Arial" w:hAnsi="Arial"/>
          <w:sz w:val="17"/>
          <w:szCs w:val="17"/>
          <w:b w:val="1"/>
          <w:bCs w:val="1"/>
          <w:color w:val="auto"/>
        </w:rPr>
      </w:pPr>
    </w:p>
    <w:p>
      <w:pPr>
        <w:jc w:val="both"/>
        <w:ind w:firstLine="656"/>
        <w:spacing w:after="0" w:line="289" w:lineRule="auto"/>
        <w:tabs>
          <w:tab w:leader="none" w:pos="886"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indemnify, hold harmless and exonerate Indemnitee in accordance with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60" w:lineRule="exact"/>
        <w:rPr>
          <w:rFonts w:ascii="Arial" w:cs="Arial" w:eastAsia="Arial" w:hAnsi="Arial"/>
          <w:sz w:val="16"/>
          <w:szCs w:val="16"/>
          <w:b w:val="1"/>
          <w:bCs w:val="1"/>
          <w:color w:val="auto"/>
        </w:rPr>
      </w:pPr>
    </w:p>
    <w:p>
      <w:pPr>
        <w:jc w:val="both"/>
        <w:ind w:firstLine="656"/>
        <w:spacing w:after="0" w:line="269" w:lineRule="auto"/>
        <w:tabs>
          <w:tab w:leader="none" w:pos="900"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this Agreement except for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both"/>
        <w:ind w:firstLine="656"/>
        <w:spacing w:after="0" w:line="281" w:lineRule="auto"/>
        <w:tabs>
          <w:tab w:leader="none" w:pos="886"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except for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Indemnitee is, by reason of Indemnitee’s Corporate Status, a witness or deponent in any Proceeding to which Indemnitee was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64" w:lineRule="exact"/>
        <w:rPr>
          <w:rFonts w:ascii="Arial" w:cs="Arial" w:eastAsia="Arial" w:hAnsi="Arial"/>
          <w:sz w:val="17"/>
          <w:szCs w:val="17"/>
          <w:b w:val="1"/>
          <w:bCs w:val="1"/>
          <w:color w:val="auto"/>
        </w:rPr>
      </w:pPr>
    </w:p>
    <w:p>
      <w:pPr>
        <w:jc w:val="both"/>
        <w:ind w:firstLine="656"/>
        <w:spacing w:after="0" w:line="291" w:lineRule="auto"/>
        <w:tabs>
          <w:tab w:leader="none" w:pos="873"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INDEMNIFICATION, HOLD HARMLESS AND EXONERATION RIGHTS</w:t>
      </w:r>
      <w:r>
        <w:rPr>
          <w:rFonts w:ascii="Arial" w:cs="Arial" w:eastAsia="Arial" w:hAnsi="Arial"/>
          <w:sz w:val="16"/>
          <w:szCs w:val="16"/>
          <w:color w:val="auto"/>
        </w:rPr>
        <w:t>. Notwithstanding any limitation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hereof and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in connection with the Proceeding. No indemnification, hold harmless or exoneration rights shall be available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59" w:lineRule="exact"/>
        <w:rPr>
          <w:rFonts w:ascii="Arial" w:cs="Arial" w:eastAsia="Arial" w:hAnsi="Arial"/>
          <w:sz w:val="16"/>
          <w:szCs w:val="16"/>
          <w:b w:val="1"/>
          <w:bCs w:val="1"/>
          <w:color w:val="auto"/>
        </w:rPr>
      </w:pPr>
    </w:p>
    <w:p>
      <w:pPr>
        <w:ind w:left="880" w:hanging="224"/>
        <w:spacing w:after="0"/>
        <w:tabs>
          <w:tab w:leader="none" w:pos="8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5" w:lineRule="auto"/>
        <w:tabs>
          <w:tab w:leader="none" w:pos="97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76" w:lineRule="exact"/>
        <w:rPr>
          <w:rFonts w:ascii="Arial" w:cs="Arial" w:eastAsia="Arial" w:hAnsi="Arial"/>
          <w:sz w:val="17"/>
          <w:szCs w:val="17"/>
          <w:color w:val="auto"/>
        </w:rPr>
      </w:pPr>
    </w:p>
    <w:p>
      <w:pPr>
        <w:ind w:firstLine="656"/>
        <w:spacing w:after="0" w:line="277" w:lineRule="auto"/>
        <w:tabs>
          <w:tab w:leader="none" w:pos="96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right="20" w:firstLine="656"/>
        <w:spacing w:after="0" w:line="277" w:lineRule="auto"/>
        <w:tabs>
          <w:tab w:leader="none" w:pos="97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sz w:val="20"/>
          <w:szCs w:val="20"/>
          <w:color w:val="auto"/>
        </w:rPr>
      </w:pPr>
    </w:p>
    <w:p>
      <w:pPr>
        <w:ind w:firstLine="656"/>
        <w:spacing w:after="0" w:line="282" w:lineRule="auto"/>
        <w:tabs>
          <w:tab w:leader="none" w:pos="90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advance expenses, hold harmless or exoneration payment in connection with any claim made against Indemnitee:</w:t>
      </w:r>
    </w:p>
    <w:p>
      <w:pPr>
        <w:spacing w:after="0" w:line="166" w:lineRule="exact"/>
        <w:rPr>
          <w:sz w:val="20"/>
          <w:szCs w:val="20"/>
          <w:color w:val="auto"/>
        </w:rPr>
      </w:pPr>
    </w:p>
    <w:p>
      <w:pPr>
        <w:jc w:val="both"/>
        <w:ind w:firstLine="656"/>
        <w:spacing w:after="0" w:line="263" w:lineRule="auto"/>
        <w:tabs>
          <w:tab w:leader="none" w:pos="95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ind w:firstLine="656"/>
        <w:spacing w:after="0" w:line="277" w:lineRule="auto"/>
        <w:tabs>
          <w:tab w:leader="none" w:pos="96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3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Sections 14(f)-(g)</w:t>
      </w:r>
      <w:r>
        <w:rPr>
          <w:rFonts w:ascii="Arial" w:cs="Arial" w:eastAsia="Arial" w:hAnsi="Arial"/>
          <w:sz w:val="18"/>
          <w:szCs w:val="18"/>
          <w:color w:val="auto"/>
        </w:rPr>
        <w:t xml:space="preserv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ADVANCES OF EXPENSES; DEFENSE OF CLAIM</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51"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the Bylaws, applicable law or otherwise. This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shall not apply to any claim made by Indemnitee for which an indemnification, hold harmless or exoneration payment is excluded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w:t>
      </w:r>
    </w:p>
    <w:p>
      <w:pPr>
        <w:spacing w:after="0" w:line="167" w:lineRule="exact"/>
        <w:rPr>
          <w:rFonts w:ascii="Arial" w:cs="Arial" w:eastAsia="Arial" w:hAnsi="Arial"/>
          <w:sz w:val="16"/>
          <w:szCs w:val="16"/>
          <w:color w:val="auto"/>
        </w:rPr>
      </w:pPr>
    </w:p>
    <w:p>
      <w:pPr>
        <w:ind w:left="960" w:hanging="304"/>
        <w:spacing w:after="0"/>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right="20" w:firstLine="656"/>
        <w:spacing w:after="0" w:line="277" w:lineRule="auto"/>
        <w:tabs>
          <w:tab w:leader="none" w:pos="93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PROCEDURE FOR NOTIFICATION AND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101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both"/>
        <w:ind w:firstLine="656"/>
        <w:spacing w:after="0" w:line="259" w:lineRule="auto"/>
        <w:tabs>
          <w:tab w:leader="none" w:pos="97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PROCEDURE UPON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6" w:lineRule="auto"/>
        <w:tabs>
          <w:tab w:leader="none" w:pos="95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Disinterested Directors so direct, by Independent Counsel in a written opinion to the Board, a copy of which shall be delivered to Indemnitee; or (ii) if a Change in Control has occurred,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73" w:lineRule="exact"/>
        <w:rPr>
          <w:rFonts w:ascii="Arial" w:cs="Arial" w:eastAsia="Arial" w:hAnsi="Arial"/>
          <w:sz w:val="16"/>
          <w:szCs w:val="16"/>
          <w:color w:val="auto"/>
        </w:rPr>
      </w:pPr>
    </w:p>
    <w:p>
      <w:pPr>
        <w:jc w:val="both"/>
        <w:ind w:firstLine="656"/>
        <w:spacing w:after="0" w:line="285" w:lineRule="auto"/>
        <w:tabs>
          <w:tab w:leader="none" w:pos="96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Upon the due commencement of any judicial proceeding or arbitration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firstLine="656"/>
        <w:spacing w:after="0" w:line="263" w:lineRule="auto"/>
        <w:tabs>
          <w:tab w:leader="none" w:pos="99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PRESUMPTIONS AND EFFECT OF CERTAIN PROCEEDINGS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1" w:lineRule="auto"/>
        <w:tabs>
          <w:tab w:leader="none" w:pos="951"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firstLine="656"/>
        <w:spacing w:after="0" w:line="271" w:lineRule="auto"/>
        <w:tabs>
          <w:tab w:leader="none" w:pos="97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If the person, persons or entity empowered or selected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firstLine="656"/>
        <w:spacing w:after="0" w:line="257" w:lineRule="auto"/>
        <w:tabs>
          <w:tab w:leader="none" w:pos="96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jc w:val="both"/>
        <w:ind w:firstLine="656"/>
        <w:spacing w:after="0" w:line="253" w:lineRule="auto"/>
        <w:tabs>
          <w:tab w:leader="none" w:pos="94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trustees, general partners, managers or managing members of the Enterprise in the course of their duties, or on the advice of legal counsel for the Enterprise, its Board, any committee of the Board or any director, trustee, general partner, manager or managing member of the Enterprise, or on information or records given or reports made to the Enterprise, its Board, any committee of the Board or any director, trustee, general partner, manager or managing member of the Enterprise, by an independent certified public accountant or by an appraiser or other expert selected by the Enterprise, its Board, any committee of the Board or any director, trustee, general partner, manager or managing member. The provisions of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ind w:right="20" w:firstLine="656"/>
        <w:spacing w:after="0" w:line="308" w:lineRule="auto"/>
        <w:tabs>
          <w:tab w:leader="none" w:pos="93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REMEDIES OF INDEMNITEE</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3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In the event that (i) a determination is made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that Indemnitee is not entitled to indemnification under this Agreement, (ii) advancement of Expenses, to the fullest extent permitted by applicable law, is not timely made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(iii) no determination of entitlement to indemnification shall have been made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thirty (30) days after receipt by the Company of the request for indemnification, (iv) payment of indemnification is not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the last sentence of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ten (10) days after receipt by the Company of a written request therefor, (v) a contribution payment is not made in a timely manner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(vi) payment of indemnification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and Mediation Procedures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67" w:lineRule="exact"/>
        <w:rPr>
          <w:rFonts w:ascii="Arial" w:cs="Arial" w:eastAsia="Arial" w:hAnsi="Arial"/>
          <w:sz w:val="16"/>
          <w:szCs w:val="16"/>
          <w:color w:val="auto"/>
        </w:rPr>
      </w:pPr>
    </w:p>
    <w:p>
      <w:pPr>
        <w:jc w:val="both"/>
        <w:ind w:firstLine="656"/>
        <w:spacing w:after="0" w:line="263" w:lineRule="auto"/>
        <w:tabs>
          <w:tab w:leader="none" w:pos="100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 that Indemnitee is not entitled to indemnification,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01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be presumed to be entitled to be indemnified, held harmless, and exonerated and to receive advancement of Expenses under this Agreement and the Company shall have the burden of proving Indemnitee is not entitled to be indemnified, held harmless, and exonerated and to receive advancement of Expenses, as the case may be, and the Company may not refer to or introduce into evidence any determination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adverse to Indemnitee for any purpose. If Indemnitee commences a judicial proceeding or arbitration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not be required to reimburse the Company for any advances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Agreement until a final determination is made with respect to Indemnitee’s entitlement to indemnification (as to which all rights of appeal have been exhausted or lapsed).</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00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firstLine="656"/>
        <w:spacing w:after="0" w:line="263" w:lineRule="auto"/>
        <w:tabs>
          <w:tab w:leader="none" w:pos="97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The Company shall be precluded from asserting in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firstLine="656"/>
        <w:spacing w:after="0" w:line="271" w:lineRule="auto"/>
        <w:tabs>
          <w:tab w:leader="none" w:pos="93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4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83" w:lineRule="exact"/>
        <w:rPr>
          <w:sz w:val="20"/>
          <w:szCs w:val="20"/>
          <w:color w:val="auto"/>
        </w:rPr>
      </w:pPr>
    </w:p>
    <w:p>
      <w:pPr>
        <w:jc w:val="both"/>
        <w:ind w:firstLine="656"/>
        <w:spacing w:after="0" w:line="261" w:lineRule="auto"/>
        <w:tabs>
          <w:tab w:leader="none" w:pos="1017"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except 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requested by Indemnitee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9" w:lineRule="exact"/>
        <w:rPr>
          <w:rFonts w:ascii="Arial" w:cs="Arial" w:eastAsia="Arial" w:hAnsi="Arial"/>
          <w:sz w:val="18"/>
          <w:szCs w:val="18"/>
          <w:b w:val="1"/>
          <w:bCs w:val="1"/>
          <w:color w:val="auto"/>
        </w:rPr>
      </w:pPr>
    </w:p>
    <w:p>
      <w:pPr>
        <w:ind w:left="980" w:hanging="324"/>
        <w:spacing w:after="0"/>
        <w:tabs>
          <w:tab w:leader="none" w:pos="98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95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jc w:val="both"/>
        <w:ind w:firstLine="656"/>
        <w:spacing w:after="0" w:line="290" w:lineRule="auto"/>
        <w:tabs>
          <w:tab w:leader="none" w:pos="96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DGCL, the Charter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i w:val="1"/>
          <w:iCs w:val="1"/>
          <w:color w:val="auto"/>
        </w:rPr>
        <w:t>”</w:t>
      </w:r>
      <w:r>
        <w:rPr>
          <w:rFonts w:ascii="Arial" w:cs="Arial" w:eastAsia="Arial" w:hAnsi="Arial"/>
          <w:sz w:val="16"/>
          <w:szCs w:val="16"/>
          <w:color w:val="auto"/>
        </w:rPr>
        <w:t xml:space="preserve">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firstLine="656"/>
        <w:spacing w:after="0" w:line="290" w:lineRule="auto"/>
        <w:tabs>
          <w:tab w:leader="none" w:pos="93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firstLine="656"/>
        <w:spacing w:after="0" w:line="263" w:lineRule="auto"/>
        <w:tabs>
          <w:tab w:leader="none" w:pos="96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3" w:lineRule="exact"/>
        <w:rPr>
          <w:rFonts w:ascii="Arial" w:cs="Arial" w:eastAsia="Arial" w:hAnsi="Arial"/>
          <w:sz w:val="18"/>
          <w:szCs w:val="18"/>
          <w:color w:val="auto"/>
        </w:rPr>
      </w:pPr>
    </w:p>
    <w:p>
      <w:pPr>
        <w:jc w:val="both"/>
        <w:ind w:firstLine="656"/>
        <w:spacing w:after="0" w:line="268" w:lineRule="auto"/>
        <w:tabs>
          <w:tab w:leader="none" w:pos="97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Company acknowledges that to the extent Indemnitee is serving as a director on the Company’s board of directors at the request or direction of a private equity or venture capital fund or other entity and/or certain of its affiliates (collectively, the “</w:t>
      </w:r>
      <w:r>
        <w:rPr>
          <w:rFonts w:ascii="Arial" w:cs="Arial" w:eastAsia="Arial" w:hAnsi="Arial"/>
          <w:sz w:val="17"/>
          <w:szCs w:val="17"/>
          <w:b w:val="1"/>
          <w:bCs w:val="1"/>
          <w:i w:val="1"/>
          <w:iCs w:val="1"/>
          <w:color w:val="auto"/>
        </w:rPr>
        <w:t>Secondary Indemnitors</w:t>
      </w:r>
      <w:r>
        <w:rPr>
          <w:rFonts w:ascii="Arial" w:cs="Arial" w:eastAsia="Arial" w:hAnsi="Arial"/>
          <w:sz w:val="17"/>
          <w:szCs w:val="17"/>
          <w:color w:val="auto"/>
        </w:rPr>
        <w:t xml:space="preserve">”),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w:t>
      </w:r>
      <w:r>
        <w:rPr>
          <w:rFonts w:ascii="Arial" w:cs="Arial" w:eastAsia="Arial" w:hAnsi="Arial"/>
          <w:sz w:val="17"/>
          <w:szCs w:val="17"/>
          <w:u w:val="single" w:color="auto"/>
          <w:color w:val="auto"/>
        </w:rPr>
        <w:t>Section 9(e)</w:t>
      </w:r>
      <w:r>
        <w:rPr>
          <w:rFonts w:ascii="Arial" w:cs="Arial" w:eastAsia="Arial" w:hAnsi="Arial"/>
          <w:sz w:val="17"/>
          <w:szCs w:val="17"/>
          <w:color w:val="auto"/>
        </w:rPr>
        <w:t xml:space="preserve">.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w:t>
      </w:r>
      <w:r>
        <w:rPr>
          <w:rFonts w:ascii="Arial" w:cs="Arial" w:eastAsia="Arial" w:hAnsi="Arial"/>
          <w:sz w:val="17"/>
          <w:szCs w:val="17"/>
          <w:u w:val="single" w:color="auto"/>
          <w:color w:val="auto"/>
        </w:rPr>
        <w:t>Section 9(e)</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jc w:val="both"/>
        <w:ind w:firstLine="656"/>
        <w:spacing w:after="0" w:line="284" w:lineRule="auto"/>
        <w:tabs>
          <w:tab w:leader="none" w:pos="918" w:val="left"/>
        </w:tabs>
        <w:numPr>
          <w:ilvl w:val="1"/>
          <w:numId w:val="236"/>
        </w:numPr>
        <w:rPr>
          <w:rFonts w:ascii="Arial" w:cs="Arial" w:eastAsia="Arial" w:hAnsi="Arial"/>
          <w:sz w:val="16"/>
          <w:szCs w:val="16"/>
          <w:color w:val="auto"/>
        </w:rPr>
      </w:pPr>
      <w:r>
        <w:rPr>
          <w:rFonts w:ascii="Arial" w:cs="Arial" w:eastAsia="Arial" w:hAnsi="Arial"/>
          <w:sz w:val="16"/>
          <w:szCs w:val="16"/>
          <w:color w:val="auto"/>
        </w:rPr>
        <w:t xml:space="preserve">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firstLine="8"/>
        <w:spacing w:after="0" w:line="323" w:lineRule="auto"/>
        <w:tabs>
          <w:tab w:leader="none" w:pos="28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4" w:lineRule="exact"/>
        <w:rPr>
          <w:sz w:val="20"/>
          <w:szCs w:val="20"/>
          <w:color w:val="auto"/>
        </w:rPr>
      </w:pPr>
    </w:p>
    <w:p>
      <w:pPr>
        <w:jc w:val="both"/>
        <w:ind w:firstLine="656"/>
        <w:spacing w:after="0" w:line="255" w:lineRule="auto"/>
        <w:tabs>
          <w:tab w:leader="none" w:pos="103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this Agreement) by reason of Indemnitee’s Corporate Status, whether or not Indemnitee is acting in any such capacity at the time any liability or expense is incurred for which indemnification or advancement can be provided under this Agreement.</w:t>
      </w:r>
    </w:p>
    <w:p>
      <w:pPr>
        <w:spacing w:after="0" w:line="188" w:lineRule="exact"/>
        <w:rPr>
          <w:rFonts w:ascii="Arial" w:cs="Arial" w:eastAsia="Arial" w:hAnsi="Arial"/>
          <w:sz w:val="18"/>
          <w:szCs w:val="18"/>
          <w:b w:val="1"/>
          <w:bCs w:val="1"/>
          <w:color w:val="auto"/>
        </w:rPr>
      </w:pPr>
    </w:p>
    <w:p>
      <w:pPr>
        <w:ind w:left="1020" w:hanging="364"/>
        <w:spacing w:after="0"/>
        <w:tabs>
          <w:tab w:leader="none" w:pos="102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w:t>
      </w:r>
    </w:p>
    <w:p>
      <w:pPr>
        <w:spacing w:after="0" w:line="38" w:lineRule="exact"/>
        <w:rPr>
          <w:rFonts w:ascii="Arial" w:cs="Arial" w:eastAsia="Arial" w:hAnsi="Arial"/>
          <w:sz w:val="17"/>
          <w:szCs w:val="17"/>
          <w:b w:val="1"/>
          <w:bCs w:val="1"/>
          <w:color w:val="auto"/>
        </w:rPr>
      </w:pPr>
    </w:p>
    <w:p>
      <w:pPr>
        <w:jc w:val="both"/>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b w:val="1"/>
          <w:bCs w:val="1"/>
          <w:color w:val="auto"/>
        </w:rPr>
      </w:pPr>
    </w:p>
    <w:p>
      <w:pPr>
        <w:ind w:left="980" w:hanging="324"/>
        <w:spacing w:after="0"/>
        <w:tabs>
          <w:tab w:leader="none" w:pos="9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93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jc w:val="both"/>
        <w:ind w:firstLine="656"/>
        <w:spacing w:after="0" w:line="273" w:lineRule="auto"/>
        <w:tabs>
          <w:tab w:leader="none" w:pos="937"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00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firstLine="656"/>
        <w:spacing w:after="0" w:line="289" w:lineRule="auto"/>
        <w:tabs>
          <w:tab w:leader="none" w:pos="97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spacing w:after="0" w:line="162" w:lineRule="exact"/>
        <w:rPr>
          <w:sz w:val="20"/>
          <w:szCs w:val="20"/>
          <w:color w:val="auto"/>
        </w:rPr>
      </w:pPr>
    </w:p>
    <w:p>
      <w:pPr>
        <w:jc w:val="both"/>
        <w:ind w:firstLine="656"/>
        <w:spacing w:after="0" w:line="266" w:lineRule="auto"/>
        <w:tabs>
          <w:tab w:leader="none" w:pos="1003"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b w:val="1"/>
          <w:bCs w:val="1"/>
          <w:color w:val="auto"/>
        </w:rPr>
      </w:pPr>
    </w:p>
    <w:p>
      <w:pPr>
        <w:jc w:val="both"/>
        <w:ind w:firstLine="656"/>
        <w:spacing w:after="0" w:line="289" w:lineRule="auto"/>
        <w:tabs>
          <w:tab w:leader="none" w:pos="976"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on such delivery, or (ii) mailed by certified or registered mail with postage prepaid, on the third (3rd) business day after the date on which it is so mailed:</w:t>
      </w:r>
    </w:p>
    <w:p>
      <w:pPr>
        <w:spacing w:after="0" w:line="162" w:lineRule="exact"/>
        <w:rPr>
          <w:sz w:val="20"/>
          <w:szCs w:val="20"/>
          <w:color w:val="auto"/>
        </w:rPr>
      </w:pPr>
    </w:p>
    <w:p>
      <w:pPr>
        <w:ind w:firstLine="656"/>
        <w:spacing w:after="0" w:line="277" w:lineRule="auto"/>
        <w:tabs>
          <w:tab w:leader="none" w:pos="93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Eli Casdin and Brian Emes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eli@casdincapital.com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bemes@corvexcap.com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354-8113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firstLine="1304"/>
        <w:spacing w:after="0" w:line="285" w:lineRule="auto"/>
        <w:tabs>
          <w:tab w:leader="none" w:pos="1624" w:val="left"/>
        </w:tabs>
        <w:numPr>
          <w:ilvl w:val="2"/>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governed 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w:t>
      </w:r>
    </w:p>
    <w:p>
      <w:pPr>
        <w:spacing w:after="0" w:line="3" w:lineRule="exact"/>
        <w:rPr>
          <w:rFonts w:ascii="Arial" w:cs="Arial" w:eastAsia="Arial" w:hAnsi="Arial"/>
          <w:sz w:val="16"/>
          <w:szCs w:val="16"/>
          <w:b w:val="1"/>
          <w:bCs w:val="1"/>
          <w:color w:val="auto"/>
        </w:rPr>
      </w:pPr>
    </w:p>
    <w:p>
      <w:pPr>
        <w:jc w:val="both"/>
        <w:ind w:firstLine="8"/>
        <w:spacing w:after="0" w:line="253" w:lineRule="auto"/>
        <w:tabs>
          <w:tab w:leader="none" w:pos="25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or in such other manner as may be permitted by law, shall be valid and sufficient service thereof.</w:t>
      </w:r>
    </w:p>
    <w:p>
      <w:pPr>
        <w:spacing w:after="0" w:line="186" w:lineRule="exact"/>
        <w:rPr>
          <w:rFonts w:ascii="Arial" w:cs="Arial" w:eastAsia="Arial" w:hAnsi="Arial"/>
          <w:sz w:val="18"/>
          <w:szCs w:val="18"/>
          <w:color w:val="auto"/>
        </w:rPr>
      </w:pPr>
    </w:p>
    <w:p>
      <w:pPr>
        <w:jc w:val="both"/>
        <w:ind w:firstLine="656"/>
        <w:spacing w:after="0" w:line="266" w:lineRule="auto"/>
        <w:tabs>
          <w:tab w:leader="none" w:pos="990"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b w:val="1"/>
          <w:bCs w:val="1"/>
          <w:color w:val="auto"/>
        </w:rPr>
      </w:pPr>
    </w:p>
    <w:p>
      <w:pPr>
        <w:jc w:val="both"/>
        <w:ind w:firstLine="656"/>
        <w:spacing w:after="0" w:line="266" w:lineRule="auto"/>
        <w:tabs>
          <w:tab w:leader="none" w:pos="1003"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the 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b w:val="1"/>
          <w:bCs w:val="1"/>
          <w:color w:val="auto"/>
        </w:rPr>
      </w:pPr>
    </w:p>
    <w:p>
      <w:pPr>
        <w:jc w:val="both"/>
        <w:ind w:firstLine="656"/>
        <w:spacing w:after="0" w:line="258" w:lineRule="auto"/>
        <w:tabs>
          <w:tab w:leader="none" w:pos="976"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b w:val="1"/>
          <w:bCs w:val="1"/>
          <w:color w:val="auto"/>
        </w:rPr>
      </w:pPr>
    </w:p>
    <w:p>
      <w:pPr>
        <w:jc w:val="both"/>
        <w:ind w:firstLine="656"/>
        <w:spacing w:after="0" w:line="266" w:lineRule="auto"/>
        <w:tabs>
          <w:tab w:leader="none" w:pos="990"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firstLine="656"/>
        <w:spacing w:after="0" w:line="258" w:lineRule="auto"/>
        <w:tabs>
          <w:tab w:leader="none" w:pos="963"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contained herein to the contrary, Indemnitee hereby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83" w:lineRule="exact"/>
        <w:rPr>
          <w:rFonts w:ascii="Arial" w:cs="Arial" w:eastAsia="Arial" w:hAnsi="Arial"/>
          <w:sz w:val="18"/>
          <w:szCs w:val="18"/>
          <w:b w:val="1"/>
          <w:bCs w:val="1"/>
          <w:color w:val="auto"/>
        </w:rPr>
      </w:pPr>
    </w:p>
    <w:p>
      <w:pPr>
        <w:jc w:val="both"/>
        <w:ind w:firstLine="656"/>
        <w:spacing w:after="0" w:line="273" w:lineRule="auto"/>
        <w:tabs>
          <w:tab w:leader="none" w:pos="990" w:val="left"/>
        </w:tabs>
        <w:numPr>
          <w:ilvl w:val="0"/>
          <w:numId w:val="245"/>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INSURANCE</w:t>
      </w:r>
      <w:r>
        <w:rPr>
          <w:rFonts w:ascii="Arial" w:cs="Arial" w:eastAsia="Arial" w:hAnsi="Arial"/>
          <w:sz w:val="17"/>
          <w:szCs w:val="17"/>
          <w:color w:val="auto"/>
        </w:rPr>
        <w:t>. The Company shall use commercially reasonable efforts to obtain and maintain in effect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color w:val="auto"/>
        </w:rPr>
        <w:t>IN WITNESS WHEREOF, the parties hereto have caused this Indemnity Agreement to be signed as of the day and year first above written.</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23495</wp:posOffset>
            </wp:positionV>
            <wp:extent cx="25628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Munib Islam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908" w:right="87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September 1, 2020, by and between CM Life 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Emily Leproust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directors, officers and other persons in service to corporations or business enterprises are being increasingly subjected to expensive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time-consuming litigation relating to, among other things, matters that traditionally would have been brought only against the Company or business enterprise itself;</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and any resolutions adopted pursuant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substitute therefor, nor to diminish or abrogate any rights of Indemnitee thereunder;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desires Indemnitee to serve in such capacity. Indemnitee is willing to serve, continue to serve and to take on additional service for or on behalf of the Company on the condition that Indemnitee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firstLine="656"/>
        <w:spacing w:after="0" w:line="274" w:lineRule="auto"/>
        <w:tabs>
          <w:tab w:leader="none" w:pos="900" w:val="left"/>
        </w:tabs>
        <w:numPr>
          <w:ilvl w:val="0"/>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will serve or continue to serve as an officer, director, advisor, key employee or in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capacity of the Company,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in each case as provided in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This Agreement, however, shall not impose any obligation on Indemnitee or the Company to continue Indemnitee’s service to the Company beyond any period otherwise required by law or by other agreements or commitments of the parties, if any.</w:t>
      </w:r>
    </w:p>
    <w:p>
      <w:pPr>
        <w:spacing w:after="0" w:line="173" w:lineRule="exact"/>
        <w:rPr>
          <w:rFonts w:ascii="Arial" w:cs="Arial" w:eastAsia="Arial" w:hAnsi="Arial"/>
          <w:sz w:val="17"/>
          <w:szCs w:val="17"/>
          <w:b w:val="1"/>
          <w:bCs w:val="1"/>
          <w:color w:val="auto"/>
        </w:rPr>
      </w:pPr>
    </w:p>
    <w:p>
      <w:pPr>
        <w:ind w:left="880" w:hanging="224"/>
        <w:spacing w:after="0"/>
        <w:tabs>
          <w:tab w:leader="none" w:pos="88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sz w:val="20"/>
          <w:szCs w:val="20"/>
          <w:color w:val="auto"/>
        </w:rPr>
      </w:pPr>
    </w:p>
    <w:p>
      <w:pPr>
        <w:jc w:val="both"/>
        <w:ind w:firstLine="656"/>
        <w:spacing w:after="0" w:line="259" w:lineRule="auto"/>
        <w:tabs>
          <w:tab w:leader="none" w:pos="93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right="20" w:firstLine="656"/>
        <w:spacing w:after="0" w:line="277" w:lineRule="auto"/>
        <w:tabs>
          <w:tab w:leader="none" w:pos="96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Beneficial Ownership</w:t>
      </w:r>
      <w:r>
        <w:rPr>
          <w:rFonts w:ascii="Arial" w:cs="Arial" w:eastAsia="Arial" w:hAnsi="Arial"/>
          <w:sz w:val="18"/>
          <w:szCs w:val="18"/>
          <w:i w:val="1"/>
          <w:iCs w:val="1"/>
          <w:color w:val="auto"/>
        </w:rPr>
        <w:t>”</w:t>
      </w:r>
      <w:r>
        <w:rPr>
          <w:rFonts w:ascii="Arial" w:cs="Arial" w:eastAsia="Arial" w:hAnsi="Arial"/>
          <w:sz w:val="18"/>
          <w:szCs w:val="18"/>
          <w:color w:val="auto"/>
        </w:rPr>
        <w:t xml:space="preserve">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firstLine="1304"/>
        <w:spacing w:after="0" w:line="273" w:lineRule="auto"/>
        <w:tabs>
          <w:tab w:leader="none" w:pos="1556" w:val="left"/>
        </w:tabs>
        <w:numPr>
          <w:ilvl w:val="1"/>
          <w:numId w:val="247"/>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CMLS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or any of its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619"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cease for any reason to constitute at least a majority of the members of the Board;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firstLine="1304"/>
        <w:spacing w:after="0" w:line="268" w:lineRule="auto"/>
        <w:tabs>
          <w:tab w:leader="none" w:pos="1669" w:val="left"/>
        </w:tabs>
        <w:numPr>
          <w:ilvl w:val="1"/>
          <w:numId w:val="248"/>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6" w:lineRule="exact"/>
        <w:rPr>
          <w:rFonts w:ascii="Arial" w:cs="Arial" w:eastAsia="Arial" w:hAnsi="Arial"/>
          <w:sz w:val="17"/>
          <w:szCs w:val="17"/>
          <w:color w:val="auto"/>
        </w:rPr>
      </w:pPr>
    </w:p>
    <w:p>
      <w:pPr>
        <w:jc w:val="both"/>
        <w:ind w:firstLine="1304"/>
        <w:spacing w:after="0" w:line="259" w:lineRule="auto"/>
        <w:tabs>
          <w:tab w:leader="none" w:pos="1646"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609"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i w:val="1"/>
          <w:iCs w:val="1"/>
          <w:color w:val="auto"/>
        </w:rPr>
        <w:t>”</w:t>
      </w:r>
      <w:r>
        <w:rPr>
          <w:rFonts w:ascii="Arial" w:cs="Arial" w:eastAsia="Arial" w:hAnsi="Arial"/>
          <w:sz w:val="18"/>
          <w:szCs w:val="18"/>
          <w:color w:val="auto"/>
        </w:rPr>
        <w:t xml:space="preserve">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xml:space="preserve"> shall mean the Court of Chancery of the State of Delaware.</w:t>
      </w:r>
    </w:p>
    <w:p>
      <w:pPr>
        <w:spacing w:after="0" w:line="225"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xml:space="preserve">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4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fiduciary, employee or agent.</w:t>
      </w:r>
    </w:p>
    <w:p>
      <w:pPr>
        <w:spacing w:after="0" w:line="186" w:lineRule="exact"/>
        <w:rPr>
          <w:rFonts w:ascii="Arial" w:cs="Arial" w:eastAsia="Arial" w:hAnsi="Arial"/>
          <w:sz w:val="18"/>
          <w:szCs w:val="18"/>
          <w:color w:val="auto"/>
        </w:rPr>
      </w:pPr>
    </w:p>
    <w:p>
      <w:pPr>
        <w:ind w:left="960" w:hanging="304"/>
        <w:spacing w:after="0"/>
        <w:tabs>
          <w:tab w:leader="none" w:pos="9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Securities Exchange Act of 1934, as amended.</w:t>
      </w:r>
    </w:p>
    <w:p>
      <w:pPr>
        <w:spacing w:after="0" w:line="225" w:lineRule="exact"/>
        <w:rPr>
          <w:rFonts w:ascii="Arial" w:cs="Arial" w:eastAsia="Arial" w:hAnsi="Arial"/>
          <w:sz w:val="18"/>
          <w:szCs w:val="18"/>
          <w:color w:val="auto"/>
        </w:rPr>
      </w:pPr>
    </w:p>
    <w:p>
      <w:pPr>
        <w:jc w:val="both"/>
        <w:ind w:firstLine="656"/>
        <w:spacing w:after="0" w:line="289" w:lineRule="auto"/>
        <w:tabs>
          <w:tab w:leader="none" w:pos="93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ind w:left="920" w:hanging="264"/>
        <w:spacing w:after="0"/>
        <w:tabs>
          <w:tab w:leader="none" w:pos="9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fines</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excise tax assessed on Indemnitee with respect to any employee benefit plan.</w:t>
      </w:r>
    </w:p>
    <w:p>
      <w:pPr>
        <w:spacing w:after="0" w:line="225" w:lineRule="exact"/>
        <w:rPr>
          <w:rFonts w:ascii="Arial" w:cs="Arial" w:eastAsia="Arial" w:hAnsi="Arial"/>
          <w:sz w:val="18"/>
          <w:szCs w:val="18"/>
          <w:color w:val="auto"/>
        </w:rPr>
      </w:pPr>
    </w:p>
    <w:p>
      <w:pPr>
        <w:jc w:val="both"/>
        <w:ind w:firstLine="656"/>
        <w:spacing w:after="0" w:line="293" w:lineRule="auto"/>
        <w:tabs>
          <w:tab w:leader="none" w:pos="97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i w:val="1"/>
          <w:iCs w:val="1"/>
          <w:color w:val="auto"/>
        </w:rPr>
        <w:t>”</w:t>
      </w:r>
      <w:r>
        <w:rPr>
          <w:rFonts w:ascii="Arial" w:cs="Arial" w:eastAsia="Arial" w:hAnsi="Arial"/>
          <w:sz w:val="16"/>
          <w:szCs w:val="16"/>
          <w:color w:val="auto"/>
        </w:rPr>
        <w:t xml:space="preserve">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jc w:val="both"/>
        <w:ind w:firstLine="656"/>
        <w:spacing w:after="0" w:line="273" w:lineRule="auto"/>
        <w:tabs>
          <w:tab w:leader="none" w:pos="94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77" w:lineRule="exact"/>
        <w:rPr>
          <w:rFonts w:ascii="Arial" w:cs="Arial" w:eastAsia="Arial" w:hAnsi="Arial"/>
          <w:sz w:val="17"/>
          <w:szCs w:val="17"/>
          <w:color w:val="auto"/>
        </w:rPr>
      </w:pPr>
    </w:p>
    <w:p>
      <w:pPr>
        <w:jc w:val="both"/>
        <w:ind w:firstLine="656"/>
        <w:spacing w:after="0" w:line="290" w:lineRule="auto"/>
        <w:tabs>
          <w:tab w:leader="none" w:pos="99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65" w:lineRule="exact"/>
        <w:rPr>
          <w:rFonts w:ascii="Arial" w:cs="Arial" w:eastAsia="Arial" w:hAnsi="Arial"/>
          <w:sz w:val="16"/>
          <w:szCs w:val="16"/>
          <w:color w:val="auto"/>
        </w:rPr>
      </w:pPr>
    </w:p>
    <w:p>
      <w:pPr>
        <w:jc w:val="both"/>
        <w:ind w:firstLine="656"/>
        <w:spacing w:after="0" w:line="257" w:lineRule="auto"/>
        <w:tabs>
          <w:tab w:leader="none" w:pos="94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ind w:firstLine="656"/>
        <w:spacing w:after="0" w:line="308" w:lineRule="auto"/>
        <w:tabs>
          <w:tab w:leader="none" w:pos="94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sz w:val="20"/>
          <w:szCs w:val="20"/>
          <w:color w:val="auto"/>
        </w:rPr>
      </w:pPr>
    </w:p>
    <w:p>
      <w:pPr>
        <w:jc w:val="both"/>
        <w:ind w:firstLine="656"/>
        <w:spacing w:after="0" w:line="271" w:lineRule="auto"/>
        <w:tabs>
          <w:tab w:leader="none" w:pos="886"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harmless and exonerate Indemnitee in accordance with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3" w:lineRule="exact"/>
        <w:rPr>
          <w:rFonts w:ascii="Arial" w:cs="Arial" w:eastAsia="Arial" w:hAnsi="Arial"/>
          <w:sz w:val="17"/>
          <w:szCs w:val="17"/>
          <w:b w:val="1"/>
          <w:bCs w:val="1"/>
          <w:color w:val="auto"/>
        </w:rPr>
      </w:pPr>
    </w:p>
    <w:p>
      <w:pPr>
        <w:jc w:val="both"/>
        <w:ind w:firstLine="656"/>
        <w:spacing w:after="0" w:line="289" w:lineRule="auto"/>
        <w:tabs>
          <w:tab w:leader="none" w:pos="886" w:val="left"/>
        </w:tabs>
        <w:numPr>
          <w:ilvl w:val="0"/>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indemnify, hold harmless and exonerate Indemnitee in accordance with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60" w:lineRule="exact"/>
        <w:rPr>
          <w:rFonts w:ascii="Arial" w:cs="Arial" w:eastAsia="Arial" w:hAnsi="Arial"/>
          <w:sz w:val="16"/>
          <w:szCs w:val="16"/>
          <w:b w:val="1"/>
          <w:bCs w:val="1"/>
          <w:color w:val="auto"/>
        </w:rPr>
      </w:pPr>
    </w:p>
    <w:p>
      <w:pPr>
        <w:jc w:val="both"/>
        <w:ind w:firstLine="656"/>
        <w:spacing w:after="0" w:line="269" w:lineRule="auto"/>
        <w:tabs>
          <w:tab w:leader="none" w:pos="900"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this Agreement except for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656"/>
        <w:spacing w:after="0" w:line="281" w:lineRule="auto"/>
        <w:tabs>
          <w:tab w:leader="none" w:pos="886" w:val="left"/>
        </w:tabs>
        <w:numPr>
          <w:ilvl w:val="0"/>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except for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Indemnitee is, by reason of Indemnitee’s Corporate Status, a witness or deponent in any Proceeding to which Indemnitee was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64" w:lineRule="exact"/>
        <w:rPr>
          <w:rFonts w:ascii="Arial" w:cs="Arial" w:eastAsia="Arial" w:hAnsi="Arial"/>
          <w:sz w:val="17"/>
          <w:szCs w:val="17"/>
          <w:b w:val="1"/>
          <w:bCs w:val="1"/>
          <w:color w:val="auto"/>
        </w:rPr>
      </w:pPr>
    </w:p>
    <w:p>
      <w:pPr>
        <w:jc w:val="both"/>
        <w:ind w:firstLine="656"/>
        <w:spacing w:after="0" w:line="291" w:lineRule="auto"/>
        <w:tabs>
          <w:tab w:leader="none" w:pos="873" w:val="left"/>
        </w:tabs>
        <w:numPr>
          <w:ilvl w:val="0"/>
          <w:numId w:val="253"/>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INDEMNIFICATION, HOLD HARMLESS AND EXONERATION RIGHTS</w:t>
      </w:r>
      <w:r>
        <w:rPr>
          <w:rFonts w:ascii="Arial" w:cs="Arial" w:eastAsia="Arial" w:hAnsi="Arial"/>
          <w:sz w:val="16"/>
          <w:szCs w:val="16"/>
          <w:color w:val="auto"/>
        </w:rPr>
        <w:t>. Notwithstanding any limitation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hereof and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in connection with the Proceeding. No indemnification, hold harmless or exoneration rights shall be available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59" w:lineRule="exact"/>
        <w:rPr>
          <w:rFonts w:ascii="Arial" w:cs="Arial" w:eastAsia="Arial" w:hAnsi="Arial"/>
          <w:sz w:val="16"/>
          <w:szCs w:val="16"/>
          <w:b w:val="1"/>
          <w:bCs w:val="1"/>
          <w:color w:val="auto"/>
        </w:rPr>
      </w:pPr>
    </w:p>
    <w:p>
      <w:pPr>
        <w:ind w:left="880" w:hanging="224"/>
        <w:spacing w:after="0"/>
        <w:tabs>
          <w:tab w:leader="none" w:pos="88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5" w:lineRule="auto"/>
        <w:tabs>
          <w:tab w:leader="none" w:pos="97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76" w:lineRule="exact"/>
        <w:rPr>
          <w:rFonts w:ascii="Arial" w:cs="Arial" w:eastAsia="Arial" w:hAnsi="Arial"/>
          <w:sz w:val="17"/>
          <w:szCs w:val="17"/>
          <w:color w:val="auto"/>
        </w:rPr>
      </w:pPr>
    </w:p>
    <w:p>
      <w:pPr>
        <w:ind w:firstLine="656"/>
        <w:spacing w:after="0" w:line="277" w:lineRule="auto"/>
        <w:tabs>
          <w:tab w:leader="none" w:pos="96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right="20" w:firstLine="656"/>
        <w:spacing w:after="0" w:line="277" w:lineRule="auto"/>
        <w:tabs>
          <w:tab w:leader="none" w:pos="97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sz w:val="20"/>
          <w:szCs w:val="20"/>
          <w:color w:val="auto"/>
        </w:rPr>
      </w:pPr>
    </w:p>
    <w:p>
      <w:pPr>
        <w:ind w:firstLine="656"/>
        <w:spacing w:after="0" w:line="282" w:lineRule="auto"/>
        <w:tabs>
          <w:tab w:leader="none" w:pos="90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advance expenses, hold harmless or exoneration payment in connection with any claim made against Indemnitee:</w:t>
      </w:r>
    </w:p>
    <w:p>
      <w:pPr>
        <w:spacing w:after="0" w:line="166" w:lineRule="exact"/>
        <w:rPr>
          <w:sz w:val="20"/>
          <w:szCs w:val="20"/>
          <w:color w:val="auto"/>
        </w:rPr>
      </w:pPr>
    </w:p>
    <w:p>
      <w:pPr>
        <w:jc w:val="both"/>
        <w:ind w:firstLine="656"/>
        <w:spacing w:after="0" w:line="263" w:lineRule="auto"/>
        <w:tabs>
          <w:tab w:leader="none" w:pos="95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ind w:firstLine="656"/>
        <w:spacing w:after="0" w:line="277" w:lineRule="auto"/>
        <w:tabs>
          <w:tab w:leader="none" w:pos="96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3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Sections 14(f)-(g)</w:t>
      </w:r>
      <w:r>
        <w:rPr>
          <w:rFonts w:ascii="Arial" w:cs="Arial" w:eastAsia="Arial" w:hAnsi="Arial"/>
          <w:sz w:val="18"/>
          <w:szCs w:val="18"/>
          <w:color w:val="auto"/>
        </w:rPr>
        <w:t xml:space="preserv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ADVANCES OF EXPENSES; DEFENSE OF CLAIM</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51"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the Bylaws, applicable law or otherwise. This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shall not apply to any claim made by Indemnitee for which an indemnification, hold harmless or exoneration payment is excluded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w:t>
      </w:r>
    </w:p>
    <w:p>
      <w:pPr>
        <w:spacing w:after="0" w:line="167" w:lineRule="exact"/>
        <w:rPr>
          <w:rFonts w:ascii="Arial" w:cs="Arial" w:eastAsia="Arial" w:hAnsi="Arial"/>
          <w:sz w:val="16"/>
          <w:szCs w:val="16"/>
          <w:color w:val="auto"/>
        </w:rPr>
      </w:pPr>
    </w:p>
    <w:p>
      <w:pPr>
        <w:ind w:left="960" w:hanging="304"/>
        <w:spacing w:after="0"/>
        <w:tabs>
          <w:tab w:leader="none" w:pos="9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right="20" w:firstLine="656"/>
        <w:spacing w:after="0" w:line="277" w:lineRule="auto"/>
        <w:tabs>
          <w:tab w:leader="none" w:pos="93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PROCEDURE FOR NOTIFICATION AND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101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656"/>
        <w:spacing w:after="0" w:line="259" w:lineRule="auto"/>
        <w:tabs>
          <w:tab w:leader="none" w:pos="97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PROCEDURE UPON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6" w:lineRule="auto"/>
        <w:tabs>
          <w:tab w:leader="none" w:pos="95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Disinterested Directors so direct, by Independent Counsel in a written opinion to the Board, a copy of which shall be delivered to Indemnitee; or (ii) if a Change in Control has occurred,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73" w:lineRule="exact"/>
        <w:rPr>
          <w:rFonts w:ascii="Arial" w:cs="Arial" w:eastAsia="Arial" w:hAnsi="Arial"/>
          <w:sz w:val="16"/>
          <w:szCs w:val="16"/>
          <w:color w:val="auto"/>
        </w:rPr>
      </w:pPr>
    </w:p>
    <w:p>
      <w:pPr>
        <w:jc w:val="both"/>
        <w:ind w:firstLine="656"/>
        <w:spacing w:after="0" w:line="285" w:lineRule="auto"/>
        <w:tabs>
          <w:tab w:leader="none" w:pos="96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Upon the due commencement of any judicial proceeding or arbitration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656"/>
        <w:spacing w:after="0" w:line="263" w:lineRule="auto"/>
        <w:tabs>
          <w:tab w:leader="none" w:pos="99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PRESUMPTIONS AND EFFECT OF CERTAIN PROCEEDINGS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1" w:lineRule="auto"/>
        <w:tabs>
          <w:tab w:leader="none" w:pos="95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firstLine="656"/>
        <w:spacing w:after="0" w:line="271" w:lineRule="auto"/>
        <w:tabs>
          <w:tab w:leader="none" w:pos="97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If the person, persons or entity empowered or selected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firstLine="656"/>
        <w:spacing w:after="0" w:line="257" w:lineRule="auto"/>
        <w:tabs>
          <w:tab w:leader="none" w:pos="96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jc w:val="both"/>
        <w:ind w:firstLine="656"/>
        <w:spacing w:after="0" w:line="253" w:lineRule="auto"/>
        <w:tabs>
          <w:tab w:leader="none" w:pos="94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trustees, general partners, managers or managing members of the Enterprise in the course of their duties, or on the advice of legal counsel for the Enterprise, its Board, any committee of the Board or any director, trustee, general partner, manager or managing member of the Enterprise, or on information or records given or reports made to the Enterprise, its Board, any committee of the Board or any director, trustee, general partner, manager or managing member of the Enterprise, by an independent certified public accountant or by an appraiser or other expert selected by the Enterprise, its Board, any committee of the Board or any director, trustee, general partner, manager or managing member. The provisions of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ind w:right="20" w:firstLine="656"/>
        <w:spacing w:after="0" w:line="308" w:lineRule="auto"/>
        <w:tabs>
          <w:tab w:leader="none" w:pos="937"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REMEDIES OF INDEMNITEE</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3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In the event that (i) a determination is made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that Indemnitee is not entitled to indemnification under this Agreement, (ii) advancement of Expenses, to the fullest extent permitted by applicable law, is not timely made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(iii) no determination of entitlement to indemnification shall have been made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thirty (30) days after receipt by the Company of the request for indemnification, (iv) payment of indemnification is not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the last sentence of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ten (10) days after receipt by the Company of a written request therefor, (v) a contribution payment is not made in a timely manner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(vi) payment of indemnification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and Mediation Procedures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67" w:lineRule="exact"/>
        <w:rPr>
          <w:rFonts w:ascii="Arial" w:cs="Arial" w:eastAsia="Arial" w:hAnsi="Arial"/>
          <w:sz w:val="16"/>
          <w:szCs w:val="16"/>
          <w:color w:val="auto"/>
        </w:rPr>
      </w:pPr>
    </w:p>
    <w:p>
      <w:pPr>
        <w:jc w:val="both"/>
        <w:ind w:firstLine="656"/>
        <w:spacing w:after="0" w:line="263" w:lineRule="auto"/>
        <w:tabs>
          <w:tab w:leader="none" w:pos="100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 that Indemnitee is not entitled to indemnification,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01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be presumed to be entitled to be indemnified, held harmless, and exonerated and to receive advancement of Expenses under this Agreement and the Company shall have the burden of proving Indemnitee is not entitled to be indemnified, held harmless, and exonerated and to receive advancement of Expenses, as the case may be, and the Company may not refer to or introduce into evidence any determination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adverse to Indemnitee for any purpose. If Indemnitee commences a judicial proceeding or arbitration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not be required to reimburse the Company for any advances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Agreement until a final determination is made with respect to Indemnitee’s entitlement to indemnification (as to which all rights of appeal have been exhausted or lapsed).</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002"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656"/>
        <w:spacing w:after="0" w:line="263" w:lineRule="auto"/>
        <w:tabs>
          <w:tab w:leader="none" w:pos="97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The Company shall be precluded from asserting in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firstLine="656"/>
        <w:spacing w:after="0" w:line="271" w:lineRule="auto"/>
        <w:tabs>
          <w:tab w:leader="none" w:pos="931"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4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83" w:lineRule="exact"/>
        <w:rPr>
          <w:sz w:val="20"/>
          <w:szCs w:val="20"/>
          <w:color w:val="auto"/>
        </w:rPr>
      </w:pPr>
    </w:p>
    <w:p>
      <w:pPr>
        <w:jc w:val="both"/>
        <w:ind w:firstLine="656"/>
        <w:spacing w:after="0" w:line="261" w:lineRule="auto"/>
        <w:tabs>
          <w:tab w:leader="none" w:pos="1017"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except 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requested by Indemnitee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9" w:lineRule="exact"/>
        <w:rPr>
          <w:rFonts w:ascii="Arial" w:cs="Arial" w:eastAsia="Arial" w:hAnsi="Arial"/>
          <w:sz w:val="18"/>
          <w:szCs w:val="18"/>
          <w:b w:val="1"/>
          <w:bCs w:val="1"/>
          <w:color w:val="auto"/>
        </w:rPr>
      </w:pPr>
    </w:p>
    <w:p>
      <w:pPr>
        <w:ind w:left="980" w:hanging="324"/>
        <w:spacing w:after="0"/>
        <w:tabs>
          <w:tab w:leader="none" w:pos="98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951"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firstLine="656"/>
        <w:spacing w:after="0" w:line="290" w:lineRule="auto"/>
        <w:tabs>
          <w:tab w:leader="none" w:pos="96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DGCL, the Charter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i w:val="1"/>
          <w:iCs w:val="1"/>
          <w:color w:val="auto"/>
        </w:rPr>
        <w:t>”</w:t>
      </w:r>
      <w:r>
        <w:rPr>
          <w:rFonts w:ascii="Arial" w:cs="Arial" w:eastAsia="Arial" w:hAnsi="Arial"/>
          <w:sz w:val="16"/>
          <w:szCs w:val="16"/>
          <w:color w:val="auto"/>
        </w:rPr>
        <w:t xml:space="preserve">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firstLine="656"/>
        <w:spacing w:after="0" w:line="290" w:lineRule="auto"/>
        <w:tabs>
          <w:tab w:leader="none" w:pos="93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firstLine="656"/>
        <w:spacing w:after="0" w:line="263" w:lineRule="auto"/>
        <w:tabs>
          <w:tab w:leader="none" w:pos="96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3" w:lineRule="exact"/>
        <w:rPr>
          <w:rFonts w:ascii="Arial" w:cs="Arial" w:eastAsia="Arial" w:hAnsi="Arial"/>
          <w:sz w:val="18"/>
          <w:szCs w:val="18"/>
          <w:color w:val="auto"/>
        </w:rPr>
      </w:pPr>
    </w:p>
    <w:p>
      <w:pPr>
        <w:jc w:val="both"/>
        <w:ind w:firstLine="656"/>
        <w:spacing w:after="0" w:line="268" w:lineRule="auto"/>
        <w:tabs>
          <w:tab w:leader="none" w:pos="978"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Company acknowledges that to the extent Indemnitee is serving as a director on the Company’s board of directors at the request or direction of a private equity or venture capital fund or other entity and/or certain of its affiliates (collectively, the “</w:t>
      </w:r>
      <w:r>
        <w:rPr>
          <w:rFonts w:ascii="Arial" w:cs="Arial" w:eastAsia="Arial" w:hAnsi="Arial"/>
          <w:sz w:val="17"/>
          <w:szCs w:val="17"/>
          <w:b w:val="1"/>
          <w:bCs w:val="1"/>
          <w:i w:val="1"/>
          <w:iCs w:val="1"/>
          <w:color w:val="auto"/>
        </w:rPr>
        <w:t>Secondary Indemnitors</w:t>
      </w:r>
      <w:r>
        <w:rPr>
          <w:rFonts w:ascii="Arial" w:cs="Arial" w:eastAsia="Arial" w:hAnsi="Arial"/>
          <w:sz w:val="17"/>
          <w:szCs w:val="17"/>
          <w:color w:val="auto"/>
        </w:rPr>
        <w:t xml:space="preserve">”),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w:t>
      </w:r>
      <w:r>
        <w:rPr>
          <w:rFonts w:ascii="Arial" w:cs="Arial" w:eastAsia="Arial" w:hAnsi="Arial"/>
          <w:sz w:val="17"/>
          <w:szCs w:val="17"/>
          <w:u w:val="single" w:color="auto"/>
          <w:color w:val="auto"/>
        </w:rPr>
        <w:t>Section 9(e)</w:t>
      </w:r>
      <w:r>
        <w:rPr>
          <w:rFonts w:ascii="Arial" w:cs="Arial" w:eastAsia="Arial" w:hAnsi="Arial"/>
          <w:sz w:val="17"/>
          <w:szCs w:val="17"/>
          <w:color w:val="auto"/>
        </w:rPr>
        <w:t xml:space="preserve">.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w:t>
      </w:r>
      <w:r>
        <w:rPr>
          <w:rFonts w:ascii="Arial" w:cs="Arial" w:eastAsia="Arial" w:hAnsi="Arial"/>
          <w:sz w:val="17"/>
          <w:szCs w:val="17"/>
          <w:u w:val="single" w:color="auto"/>
          <w:color w:val="auto"/>
        </w:rPr>
        <w:t>Section 9(e)</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both"/>
        <w:ind w:firstLine="656"/>
        <w:spacing w:after="0" w:line="284" w:lineRule="auto"/>
        <w:tabs>
          <w:tab w:leader="none" w:pos="918" w:val="left"/>
        </w:tabs>
        <w:numPr>
          <w:ilvl w:val="1"/>
          <w:numId w:val="270"/>
        </w:numPr>
        <w:rPr>
          <w:rFonts w:ascii="Arial" w:cs="Arial" w:eastAsia="Arial" w:hAnsi="Arial"/>
          <w:sz w:val="16"/>
          <w:szCs w:val="16"/>
          <w:color w:val="auto"/>
        </w:rPr>
      </w:pPr>
      <w:r>
        <w:rPr>
          <w:rFonts w:ascii="Arial" w:cs="Arial" w:eastAsia="Arial" w:hAnsi="Arial"/>
          <w:sz w:val="16"/>
          <w:szCs w:val="16"/>
          <w:color w:val="auto"/>
        </w:rPr>
        <w:t xml:space="preserve">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firstLine="8"/>
        <w:spacing w:after="0" w:line="323" w:lineRule="auto"/>
        <w:tabs>
          <w:tab w:leader="none" w:pos="28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4" w:lineRule="exact"/>
        <w:rPr>
          <w:sz w:val="20"/>
          <w:szCs w:val="20"/>
          <w:color w:val="auto"/>
        </w:rPr>
      </w:pPr>
    </w:p>
    <w:p>
      <w:pPr>
        <w:jc w:val="both"/>
        <w:ind w:firstLine="656"/>
        <w:spacing w:after="0" w:line="255" w:lineRule="auto"/>
        <w:tabs>
          <w:tab w:leader="none" w:pos="103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this Agreement) by reason of Indemnitee’s Corporate Status, whether or not Indemnitee is acting in any such capacity at the time any liability or expense is incurred for which indemnification or advancement can be provided under this Agreement.</w:t>
      </w:r>
    </w:p>
    <w:p>
      <w:pPr>
        <w:spacing w:after="0" w:line="188" w:lineRule="exact"/>
        <w:rPr>
          <w:rFonts w:ascii="Arial" w:cs="Arial" w:eastAsia="Arial" w:hAnsi="Arial"/>
          <w:sz w:val="18"/>
          <w:szCs w:val="18"/>
          <w:b w:val="1"/>
          <w:bCs w:val="1"/>
          <w:color w:val="auto"/>
        </w:rPr>
      </w:pPr>
    </w:p>
    <w:p>
      <w:pPr>
        <w:ind w:left="1020" w:hanging="364"/>
        <w:spacing w:after="0"/>
        <w:tabs>
          <w:tab w:leader="none" w:pos="1020" w:val="left"/>
        </w:tabs>
        <w:numPr>
          <w:ilvl w:val="0"/>
          <w:numId w:val="272"/>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w:t>
      </w:r>
    </w:p>
    <w:p>
      <w:pPr>
        <w:spacing w:after="0" w:line="38" w:lineRule="exact"/>
        <w:rPr>
          <w:rFonts w:ascii="Arial" w:cs="Arial" w:eastAsia="Arial" w:hAnsi="Arial"/>
          <w:sz w:val="17"/>
          <w:szCs w:val="17"/>
          <w:b w:val="1"/>
          <w:bCs w:val="1"/>
          <w:color w:val="auto"/>
        </w:rPr>
      </w:pPr>
    </w:p>
    <w:p>
      <w:pPr>
        <w:jc w:val="both"/>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b w:val="1"/>
          <w:bCs w:val="1"/>
          <w:color w:val="auto"/>
        </w:rPr>
      </w:pPr>
    </w:p>
    <w:p>
      <w:pPr>
        <w:ind w:left="980" w:hanging="324"/>
        <w:spacing w:after="0"/>
        <w:tabs>
          <w:tab w:leader="none" w:pos="98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93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firstLine="656"/>
        <w:spacing w:after="0" w:line="273" w:lineRule="auto"/>
        <w:tabs>
          <w:tab w:leader="none" w:pos="937"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00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firstLine="656"/>
        <w:spacing w:after="0" w:line="289" w:lineRule="auto"/>
        <w:tabs>
          <w:tab w:leader="none" w:pos="97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spacing w:after="0" w:line="162" w:lineRule="exact"/>
        <w:rPr>
          <w:sz w:val="20"/>
          <w:szCs w:val="20"/>
          <w:color w:val="auto"/>
        </w:rPr>
      </w:pPr>
    </w:p>
    <w:p>
      <w:pPr>
        <w:jc w:val="both"/>
        <w:ind w:firstLine="656"/>
        <w:spacing w:after="0" w:line="266" w:lineRule="auto"/>
        <w:tabs>
          <w:tab w:leader="none" w:pos="1003"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b w:val="1"/>
          <w:bCs w:val="1"/>
          <w:color w:val="auto"/>
        </w:rPr>
      </w:pPr>
    </w:p>
    <w:p>
      <w:pPr>
        <w:jc w:val="both"/>
        <w:ind w:firstLine="656"/>
        <w:spacing w:after="0" w:line="289" w:lineRule="auto"/>
        <w:tabs>
          <w:tab w:leader="none" w:pos="976"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on such delivery, or (ii) mailed by certified or registered mail with postage prepaid, on the third (3rd) business day after the date on which it is so mailed:</w:t>
      </w:r>
    </w:p>
    <w:p>
      <w:pPr>
        <w:spacing w:after="0" w:line="162" w:lineRule="exact"/>
        <w:rPr>
          <w:sz w:val="20"/>
          <w:szCs w:val="20"/>
          <w:color w:val="auto"/>
        </w:rPr>
      </w:pPr>
    </w:p>
    <w:p>
      <w:pPr>
        <w:ind w:firstLine="656"/>
        <w:spacing w:after="0" w:line="277" w:lineRule="auto"/>
        <w:tabs>
          <w:tab w:leader="none" w:pos="93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Eli Casdin and Brian Emes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eli@casdincapital.com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bemes@corvexcap.com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354-8113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firstLine="1304"/>
        <w:spacing w:after="0" w:line="285" w:lineRule="auto"/>
        <w:tabs>
          <w:tab w:leader="none" w:pos="1624" w:val="left"/>
        </w:tabs>
        <w:numPr>
          <w:ilvl w:val="2"/>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governed 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w:t>
      </w:r>
    </w:p>
    <w:p>
      <w:pPr>
        <w:spacing w:after="0" w:line="3" w:lineRule="exact"/>
        <w:rPr>
          <w:rFonts w:ascii="Arial" w:cs="Arial" w:eastAsia="Arial" w:hAnsi="Arial"/>
          <w:sz w:val="16"/>
          <w:szCs w:val="16"/>
          <w:b w:val="1"/>
          <w:bCs w:val="1"/>
          <w:color w:val="auto"/>
        </w:rPr>
      </w:pPr>
    </w:p>
    <w:p>
      <w:pPr>
        <w:jc w:val="both"/>
        <w:ind w:firstLine="8"/>
        <w:spacing w:after="0" w:line="253" w:lineRule="auto"/>
        <w:tabs>
          <w:tab w:leader="none" w:pos="25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or in such other manner as may be permitted by law, shall be valid and sufficient service thereof.</w:t>
      </w:r>
    </w:p>
    <w:p>
      <w:pPr>
        <w:spacing w:after="0" w:line="186" w:lineRule="exact"/>
        <w:rPr>
          <w:rFonts w:ascii="Arial" w:cs="Arial" w:eastAsia="Arial" w:hAnsi="Arial"/>
          <w:sz w:val="18"/>
          <w:szCs w:val="18"/>
          <w:color w:val="auto"/>
        </w:rPr>
      </w:pPr>
    </w:p>
    <w:p>
      <w:pPr>
        <w:jc w:val="both"/>
        <w:ind w:firstLine="656"/>
        <w:spacing w:after="0" w:line="266" w:lineRule="auto"/>
        <w:tabs>
          <w:tab w:leader="none" w:pos="990"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b w:val="1"/>
          <w:bCs w:val="1"/>
          <w:color w:val="auto"/>
        </w:rPr>
      </w:pPr>
    </w:p>
    <w:p>
      <w:pPr>
        <w:jc w:val="both"/>
        <w:ind w:firstLine="656"/>
        <w:spacing w:after="0" w:line="266" w:lineRule="auto"/>
        <w:tabs>
          <w:tab w:leader="none" w:pos="1003"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the 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b w:val="1"/>
          <w:bCs w:val="1"/>
          <w:color w:val="auto"/>
        </w:rPr>
      </w:pPr>
    </w:p>
    <w:p>
      <w:pPr>
        <w:jc w:val="both"/>
        <w:ind w:firstLine="656"/>
        <w:spacing w:after="0" w:line="258" w:lineRule="auto"/>
        <w:tabs>
          <w:tab w:leader="none" w:pos="976"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b w:val="1"/>
          <w:bCs w:val="1"/>
          <w:color w:val="auto"/>
        </w:rPr>
      </w:pPr>
    </w:p>
    <w:p>
      <w:pPr>
        <w:jc w:val="both"/>
        <w:ind w:firstLine="656"/>
        <w:spacing w:after="0" w:line="266" w:lineRule="auto"/>
        <w:tabs>
          <w:tab w:leader="none" w:pos="990"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firstLine="656"/>
        <w:spacing w:after="0" w:line="258" w:lineRule="auto"/>
        <w:tabs>
          <w:tab w:leader="none" w:pos="963"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contained herein to the contrary, Indemnitee hereby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83" w:lineRule="exact"/>
        <w:rPr>
          <w:rFonts w:ascii="Arial" w:cs="Arial" w:eastAsia="Arial" w:hAnsi="Arial"/>
          <w:sz w:val="18"/>
          <w:szCs w:val="18"/>
          <w:b w:val="1"/>
          <w:bCs w:val="1"/>
          <w:color w:val="auto"/>
        </w:rPr>
      </w:pPr>
    </w:p>
    <w:p>
      <w:pPr>
        <w:jc w:val="both"/>
        <w:ind w:firstLine="656"/>
        <w:spacing w:after="0" w:line="273" w:lineRule="auto"/>
        <w:tabs>
          <w:tab w:leader="none" w:pos="990"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INSURANCE</w:t>
      </w:r>
      <w:r>
        <w:rPr>
          <w:rFonts w:ascii="Arial" w:cs="Arial" w:eastAsia="Arial" w:hAnsi="Arial"/>
          <w:sz w:val="17"/>
          <w:szCs w:val="17"/>
          <w:color w:val="auto"/>
        </w:rPr>
        <w:t>. The Company shall use commercially reasonable efforts to obtain and maintain in effect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spacing w:after="0"/>
        <w:rPr>
          <w:sz w:val="20"/>
          <w:szCs w:val="20"/>
          <w:color w:val="auto"/>
        </w:rPr>
      </w:pPr>
      <w:r>
        <w:rPr>
          <w:rFonts w:ascii="Arial" w:cs="Arial" w:eastAsia="Arial" w:hAnsi="Arial"/>
          <w:sz w:val="16"/>
          <w:szCs w:val="16"/>
          <w:color w:val="auto"/>
        </w:rPr>
        <w:t>IN WITNESS WHEREOF, the parties hereto have caused this Indemnity Agreement to be signed as of the day and year first above written.</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23495</wp:posOffset>
            </wp:positionV>
            <wp:extent cx="25628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Emily Leproust</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908" w:right="87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September 1, 2020, by and between CM Life 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Nat Turner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directors, officers and other persons in service to corporations or business enterprises are being increasingly subjected to expensive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time-consuming litigation relating to, among other things, matters that traditionally would have been brought only against the Company or business enterprise itself;</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and any resolutions adopted pursuant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substitute therefor, nor to diminish or abrogate any rights of Indemnitee thereunder;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desires Indemnitee to serve in such capacity. Indemnitee is willing to serve, continue to serve and to take on additional service for or on behalf of the Company on the condition that Indemnitee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firstLine="656"/>
        <w:spacing w:after="0" w:line="274" w:lineRule="auto"/>
        <w:tabs>
          <w:tab w:leader="none" w:pos="900"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will serve or continue to serve as an officer, director, advisor, key employee or in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capacity of the Company,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in each case as provided in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This Agreement, however, shall not impose any obligation on Indemnitee or the Company to continue Indemnitee’s service to the Company beyond any period otherwise required by law or by other agreements or commitments of the parties, if any.</w:t>
      </w:r>
    </w:p>
    <w:p>
      <w:pPr>
        <w:spacing w:after="0" w:line="173" w:lineRule="exact"/>
        <w:rPr>
          <w:rFonts w:ascii="Arial" w:cs="Arial" w:eastAsia="Arial" w:hAnsi="Arial"/>
          <w:sz w:val="17"/>
          <w:szCs w:val="17"/>
          <w:b w:val="1"/>
          <w:bCs w:val="1"/>
          <w:color w:val="auto"/>
        </w:rPr>
      </w:pPr>
    </w:p>
    <w:p>
      <w:pPr>
        <w:ind w:left="880" w:hanging="224"/>
        <w:spacing w:after="0"/>
        <w:tabs>
          <w:tab w:leader="none" w:pos="88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sz w:val="20"/>
          <w:szCs w:val="20"/>
          <w:color w:val="auto"/>
        </w:rPr>
      </w:pPr>
    </w:p>
    <w:p>
      <w:pPr>
        <w:jc w:val="both"/>
        <w:ind w:firstLine="656"/>
        <w:spacing w:after="0" w:line="259" w:lineRule="auto"/>
        <w:tabs>
          <w:tab w:leader="none" w:pos="93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right="20" w:firstLine="656"/>
        <w:spacing w:after="0" w:line="277" w:lineRule="auto"/>
        <w:tabs>
          <w:tab w:leader="none" w:pos="96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Beneficial Ownership</w:t>
      </w:r>
      <w:r>
        <w:rPr>
          <w:rFonts w:ascii="Arial" w:cs="Arial" w:eastAsia="Arial" w:hAnsi="Arial"/>
          <w:sz w:val="18"/>
          <w:szCs w:val="18"/>
          <w:i w:val="1"/>
          <w:iCs w:val="1"/>
          <w:color w:val="auto"/>
        </w:rPr>
        <w:t>”</w:t>
      </w:r>
      <w:r>
        <w:rPr>
          <w:rFonts w:ascii="Arial" w:cs="Arial" w:eastAsia="Arial" w:hAnsi="Arial"/>
          <w:sz w:val="18"/>
          <w:szCs w:val="18"/>
          <w:color w:val="auto"/>
        </w:rPr>
        <w:t xml:space="preserve">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firstLine="1304"/>
        <w:spacing w:after="0" w:line="273" w:lineRule="auto"/>
        <w:tabs>
          <w:tab w:leader="none" w:pos="1556" w:val="left"/>
        </w:tabs>
        <w:numPr>
          <w:ilvl w:val="1"/>
          <w:numId w:val="281"/>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CMLS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or any of its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619"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cease for any reason to constitute at least a majority of the members of the Board;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jc w:val="both"/>
        <w:ind w:firstLine="1304"/>
        <w:spacing w:after="0" w:line="268" w:lineRule="auto"/>
        <w:tabs>
          <w:tab w:leader="none" w:pos="1669"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6" w:lineRule="exact"/>
        <w:rPr>
          <w:rFonts w:ascii="Arial" w:cs="Arial" w:eastAsia="Arial" w:hAnsi="Arial"/>
          <w:sz w:val="17"/>
          <w:szCs w:val="17"/>
          <w:color w:val="auto"/>
        </w:rPr>
      </w:pPr>
    </w:p>
    <w:p>
      <w:pPr>
        <w:jc w:val="both"/>
        <w:ind w:firstLine="1304"/>
        <w:spacing w:after="0" w:line="259" w:lineRule="auto"/>
        <w:tabs>
          <w:tab w:leader="none" w:pos="1646"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609"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i w:val="1"/>
          <w:iCs w:val="1"/>
          <w:color w:val="auto"/>
        </w:rPr>
        <w:t>”</w:t>
      </w:r>
      <w:r>
        <w:rPr>
          <w:rFonts w:ascii="Arial" w:cs="Arial" w:eastAsia="Arial" w:hAnsi="Arial"/>
          <w:sz w:val="18"/>
          <w:szCs w:val="18"/>
          <w:color w:val="auto"/>
        </w:rPr>
        <w:t xml:space="preserve">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xml:space="preserve"> shall mean the Court of Chancery of the State of Delaware.</w:t>
      </w:r>
    </w:p>
    <w:p>
      <w:pPr>
        <w:spacing w:after="0" w:line="225"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xml:space="preserve">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4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fiduciary, employee or agent.</w:t>
      </w:r>
    </w:p>
    <w:p>
      <w:pPr>
        <w:spacing w:after="0" w:line="186" w:lineRule="exact"/>
        <w:rPr>
          <w:rFonts w:ascii="Arial" w:cs="Arial" w:eastAsia="Arial" w:hAnsi="Arial"/>
          <w:sz w:val="18"/>
          <w:szCs w:val="18"/>
          <w:color w:val="auto"/>
        </w:rPr>
      </w:pPr>
    </w:p>
    <w:p>
      <w:pPr>
        <w:ind w:left="960" w:hanging="304"/>
        <w:spacing w:after="0"/>
        <w:tabs>
          <w:tab w:leader="none" w:pos="9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Securities Exchange Act of 1934, as amended.</w:t>
      </w:r>
    </w:p>
    <w:p>
      <w:pPr>
        <w:spacing w:after="0" w:line="225" w:lineRule="exact"/>
        <w:rPr>
          <w:rFonts w:ascii="Arial" w:cs="Arial" w:eastAsia="Arial" w:hAnsi="Arial"/>
          <w:sz w:val="18"/>
          <w:szCs w:val="18"/>
          <w:color w:val="auto"/>
        </w:rPr>
      </w:pPr>
    </w:p>
    <w:p>
      <w:pPr>
        <w:jc w:val="both"/>
        <w:ind w:firstLine="656"/>
        <w:spacing w:after="0" w:line="289" w:lineRule="auto"/>
        <w:tabs>
          <w:tab w:leader="none" w:pos="93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ind w:left="920" w:hanging="264"/>
        <w:spacing w:after="0"/>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fines</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excise tax assessed on Indemnitee with respect to any employee benefit plan.</w:t>
      </w:r>
    </w:p>
    <w:p>
      <w:pPr>
        <w:spacing w:after="0" w:line="225" w:lineRule="exact"/>
        <w:rPr>
          <w:rFonts w:ascii="Arial" w:cs="Arial" w:eastAsia="Arial" w:hAnsi="Arial"/>
          <w:sz w:val="18"/>
          <w:szCs w:val="18"/>
          <w:color w:val="auto"/>
        </w:rPr>
      </w:pPr>
    </w:p>
    <w:p>
      <w:pPr>
        <w:jc w:val="both"/>
        <w:ind w:firstLine="656"/>
        <w:spacing w:after="0" w:line="293" w:lineRule="auto"/>
        <w:tabs>
          <w:tab w:leader="none" w:pos="97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i w:val="1"/>
          <w:iCs w:val="1"/>
          <w:color w:val="auto"/>
        </w:rPr>
        <w:t>”</w:t>
      </w:r>
      <w:r>
        <w:rPr>
          <w:rFonts w:ascii="Arial" w:cs="Arial" w:eastAsia="Arial" w:hAnsi="Arial"/>
          <w:sz w:val="16"/>
          <w:szCs w:val="16"/>
          <w:color w:val="auto"/>
        </w:rPr>
        <w:t xml:space="preserve">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jc w:val="both"/>
        <w:ind w:firstLine="656"/>
        <w:spacing w:after="0" w:line="273" w:lineRule="auto"/>
        <w:tabs>
          <w:tab w:leader="none" w:pos="948" w:val="left"/>
        </w:tabs>
        <w:numPr>
          <w:ilvl w:val="0"/>
          <w:numId w:val="2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77" w:lineRule="exact"/>
        <w:rPr>
          <w:rFonts w:ascii="Arial" w:cs="Arial" w:eastAsia="Arial" w:hAnsi="Arial"/>
          <w:sz w:val="17"/>
          <w:szCs w:val="17"/>
          <w:color w:val="auto"/>
        </w:rPr>
      </w:pPr>
    </w:p>
    <w:p>
      <w:pPr>
        <w:jc w:val="both"/>
        <w:ind w:firstLine="656"/>
        <w:spacing w:after="0" w:line="290" w:lineRule="auto"/>
        <w:tabs>
          <w:tab w:leader="none" w:pos="99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65" w:lineRule="exact"/>
        <w:rPr>
          <w:rFonts w:ascii="Arial" w:cs="Arial" w:eastAsia="Arial" w:hAnsi="Arial"/>
          <w:sz w:val="16"/>
          <w:szCs w:val="16"/>
          <w:color w:val="auto"/>
        </w:rPr>
      </w:pPr>
    </w:p>
    <w:p>
      <w:pPr>
        <w:jc w:val="both"/>
        <w:ind w:firstLine="656"/>
        <w:spacing w:after="0" w:line="257" w:lineRule="auto"/>
        <w:tabs>
          <w:tab w:leader="none" w:pos="94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ind w:firstLine="656"/>
        <w:spacing w:after="0" w:line="308" w:lineRule="auto"/>
        <w:tabs>
          <w:tab w:leader="none" w:pos="948"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sz w:val="20"/>
          <w:szCs w:val="20"/>
          <w:color w:val="auto"/>
        </w:rPr>
      </w:pPr>
    </w:p>
    <w:p>
      <w:pPr>
        <w:jc w:val="both"/>
        <w:ind w:firstLine="656"/>
        <w:spacing w:after="0" w:line="271" w:lineRule="auto"/>
        <w:tabs>
          <w:tab w:leader="none" w:pos="886"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harmless and exonerate Indemnitee in accordance with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3" w:lineRule="exact"/>
        <w:rPr>
          <w:rFonts w:ascii="Arial" w:cs="Arial" w:eastAsia="Arial" w:hAnsi="Arial"/>
          <w:sz w:val="17"/>
          <w:szCs w:val="17"/>
          <w:b w:val="1"/>
          <w:bCs w:val="1"/>
          <w:color w:val="auto"/>
        </w:rPr>
      </w:pPr>
    </w:p>
    <w:p>
      <w:pPr>
        <w:jc w:val="both"/>
        <w:ind w:firstLine="656"/>
        <w:spacing w:after="0" w:line="289" w:lineRule="auto"/>
        <w:tabs>
          <w:tab w:leader="none" w:pos="886"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indemnify, hold harmless and exonerate Indemnitee in accordance with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60" w:lineRule="exact"/>
        <w:rPr>
          <w:rFonts w:ascii="Arial" w:cs="Arial" w:eastAsia="Arial" w:hAnsi="Arial"/>
          <w:sz w:val="16"/>
          <w:szCs w:val="16"/>
          <w:b w:val="1"/>
          <w:bCs w:val="1"/>
          <w:color w:val="auto"/>
        </w:rPr>
      </w:pPr>
    </w:p>
    <w:p>
      <w:pPr>
        <w:jc w:val="both"/>
        <w:ind w:firstLine="656"/>
        <w:spacing w:after="0" w:line="269" w:lineRule="auto"/>
        <w:tabs>
          <w:tab w:leader="none" w:pos="900"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this Agreement except for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656"/>
        <w:spacing w:after="0" w:line="281" w:lineRule="auto"/>
        <w:tabs>
          <w:tab w:leader="none" w:pos="886" w:val="left"/>
        </w:tabs>
        <w:numPr>
          <w:ilvl w:val="0"/>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except for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Indemnitee is, by reason of Indemnitee’s Corporate Status, a witness or deponent in any Proceeding to which Indemnitee was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64" w:lineRule="exact"/>
        <w:rPr>
          <w:rFonts w:ascii="Arial" w:cs="Arial" w:eastAsia="Arial" w:hAnsi="Arial"/>
          <w:sz w:val="17"/>
          <w:szCs w:val="17"/>
          <w:b w:val="1"/>
          <w:bCs w:val="1"/>
          <w:color w:val="auto"/>
        </w:rPr>
      </w:pPr>
    </w:p>
    <w:p>
      <w:pPr>
        <w:jc w:val="both"/>
        <w:ind w:firstLine="656"/>
        <w:spacing w:after="0" w:line="291" w:lineRule="auto"/>
        <w:tabs>
          <w:tab w:leader="none" w:pos="873"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INDEMNIFICATION, HOLD HARMLESS AND EXONERATION RIGHTS</w:t>
      </w:r>
      <w:r>
        <w:rPr>
          <w:rFonts w:ascii="Arial" w:cs="Arial" w:eastAsia="Arial" w:hAnsi="Arial"/>
          <w:sz w:val="16"/>
          <w:szCs w:val="16"/>
          <w:color w:val="auto"/>
        </w:rPr>
        <w:t>. Notwithstanding any limitation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hereof and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in connection with the Proceeding. No indemnification, hold harmless or exoneration rights shall be available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59" w:lineRule="exact"/>
        <w:rPr>
          <w:rFonts w:ascii="Arial" w:cs="Arial" w:eastAsia="Arial" w:hAnsi="Arial"/>
          <w:sz w:val="16"/>
          <w:szCs w:val="16"/>
          <w:b w:val="1"/>
          <w:bCs w:val="1"/>
          <w:color w:val="auto"/>
        </w:rPr>
      </w:pPr>
    </w:p>
    <w:p>
      <w:pPr>
        <w:ind w:left="880" w:hanging="224"/>
        <w:spacing w:after="0"/>
        <w:tabs>
          <w:tab w:leader="none" w:pos="88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5" w:lineRule="auto"/>
        <w:tabs>
          <w:tab w:leader="none" w:pos="97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76" w:lineRule="exact"/>
        <w:rPr>
          <w:rFonts w:ascii="Arial" w:cs="Arial" w:eastAsia="Arial" w:hAnsi="Arial"/>
          <w:sz w:val="17"/>
          <w:szCs w:val="17"/>
          <w:color w:val="auto"/>
        </w:rPr>
      </w:pPr>
    </w:p>
    <w:p>
      <w:pPr>
        <w:ind w:firstLine="656"/>
        <w:spacing w:after="0" w:line="277" w:lineRule="auto"/>
        <w:tabs>
          <w:tab w:leader="none" w:pos="96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right="20" w:firstLine="656"/>
        <w:spacing w:after="0" w:line="277" w:lineRule="auto"/>
        <w:tabs>
          <w:tab w:leader="none" w:pos="97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sz w:val="20"/>
          <w:szCs w:val="20"/>
          <w:color w:val="auto"/>
        </w:rPr>
      </w:pPr>
    </w:p>
    <w:p>
      <w:pPr>
        <w:ind w:firstLine="656"/>
        <w:spacing w:after="0" w:line="282" w:lineRule="auto"/>
        <w:tabs>
          <w:tab w:leader="none" w:pos="90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advance expenses, hold harmless or exoneration payment in connection with any claim made against Indemnitee:</w:t>
      </w:r>
    </w:p>
    <w:p>
      <w:pPr>
        <w:spacing w:after="0" w:line="166" w:lineRule="exact"/>
        <w:rPr>
          <w:sz w:val="20"/>
          <w:szCs w:val="20"/>
          <w:color w:val="auto"/>
        </w:rPr>
      </w:pPr>
    </w:p>
    <w:p>
      <w:pPr>
        <w:jc w:val="both"/>
        <w:ind w:firstLine="656"/>
        <w:spacing w:after="0" w:line="263" w:lineRule="auto"/>
        <w:tabs>
          <w:tab w:leader="none" w:pos="95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ind w:firstLine="656"/>
        <w:spacing w:after="0" w:line="277" w:lineRule="auto"/>
        <w:tabs>
          <w:tab w:leader="none" w:pos="96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3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Sections 14(f)-(g)</w:t>
      </w:r>
      <w:r>
        <w:rPr>
          <w:rFonts w:ascii="Arial" w:cs="Arial" w:eastAsia="Arial" w:hAnsi="Arial"/>
          <w:sz w:val="18"/>
          <w:szCs w:val="18"/>
          <w:color w:val="auto"/>
        </w:rPr>
        <w:t xml:space="preserv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ADVANCES OF EXPENSES; DEFENSE OF CLAIM</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51"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the Bylaws, applicable law or otherwise. This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shall not apply to any claim made by Indemnitee for which an indemnification, hold harmless or exoneration payment is excluded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w:t>
      </w:r>
    </w:p>
    <w:p>
      <w:pPr>
        <w:spacing w:after="0" w:line="167" w:lineRule="exact"/>
        <w:rPr>
          <w:rFonts w:ascii="Arial" w:cs="Arial" w:eastAsia="Arial" w:hAnsi="Arial"/>
          <w:sz w:val="16"/>
          <w:szCs w:val="16"/>
          <w:color w:val="auto"/>
        </w:rPr>
      </w:pPr>
    </w:p>
    <w:p>
      <w:pPr>
        <w:ind w:left="960" w:hanging="304"/>
        <w:spacing w:after="0"/>
        <w:tabs>
          <w:tab w:leader="none" w:pos="9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right="20" w:firstLine="656"/>
        <w:spacing w:after="0" w:line="277" w:lineRule="auto"/>
        <w:tabs>
          <w:tab w:leader="none" w:pos="93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PROCEDURE FOR NOTIFICATION AND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101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ind w:firstLine="656"/>
        <w:spacing w:after="0" w:line="259" w:lineRule="auto"/>
        <w:tabs>
          <w:tab w:leader="none" w:pos="97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PROCEDURE UPON APPLICATION FOR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6" w:lineRule="auto"/>
        <w:tabs>
          <w:tab w:leader="none" w:pos="951"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Disinterested Directors so direct, by Independent Counsel in a written opinion to the Board, a copy of which shall be delivered to Indemnitee; or (ii) if a Change in Control has occurred,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73" w:lineRule="exact"/>
        <w:rPr>
          <w:rFonts w:ascii="Arial" w:cs="Arial" w:eastAsia="Arial" w:hAnsi="Arial"/>
          <w:sz w:val="16"/>
          <w:szCs w:val="16"/>
          <w:color w:val="auto"/>
        </w:rPr>
      </w:pPr>
    </w:p>
    <w:p>
      <w:pPr>
        <w:jc w:val="both"/>
        <w:ind w:firstLine="656"/>
        <w:spacing w:after="0" w:line="285" w:lineRule="auto"/>
        <w:tabs>
          <w:tab w:leader="none" w:pos="961"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Upon the due commencement of any judicial proceeding or arbitration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656"/>
        <w:spacing w:after="0" w:line="263" w:lineRule="auto"/>
        <w:tabs>
          <w:tab w:leader="none" w:pos="9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PRESUMPTIONS AND EFFECT OF CERTAIN PROCEEDINGS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1" w:lineRule="auto"/>
        <w:tabs>
          <w:tab w:leader="none" w:pos="951"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firstLine="656"/>
        <w:spacing w:after="0" w:line="271" w:lineRule="auto"/>
        <w:tabs>
          <w:tab w:leader="none" w:pos="975"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If the person, persons or entity empowered or selected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firstLine="656"/>
        <w:spacing w:after="0" w:line="257" w:lineRule="auto"/>
        <w:tabs>
          <w:tab w:leader="none" w:pos="96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jc w:val="both"/>
        <w:ind w:firstLine="656"/>
        <w:spacing w:after="0" w:line="253" w:lineRule="auto"/>
        <w:tabs>
          <w:tab w:leader="none" w:pos="94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trustees, general partners, managers or managing members of the Enterprise in the course of their duties, or on the advice of legal counsel for the Enterprise, its Board, any committee of the Board or any director, trustee, general partner, manager or managing member of the Enterprise, or on information or records given or reports made to the Enterprise, its Board, any committee of the Board or any director, trustee, general partner, manager or managing member of the Enterprise, by an independent certified public accountant or by an appraiser or other expert selected by the Enterprise, its Board, any committee of the Board or any director, trustee, general partner, manager or managing member. The provisions of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ind w:right="20" w:firstLine="656"/>
        <w:spacing w:after="0" w:line="308" w:lineRule="auto"/>
        <w:tabs>
          <w:tab w:leader="none" w:pos="937"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REMEDIES OF INDEMNITEE</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937"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In the event that (i) a determination is made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that Indemnitee is not entitled to indemnification under this Agreement, (ii) advancement of Expenses, to the fullest extent permitted by applicable law, is not timely made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(iii) no determination of entitlement to indemnification shall have been made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thirty (30) days after receipt by the Company of the request for indemnification, (iv) payment of indemnification is not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the last sentence of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ten (10) days after receipt by the Company of a written request therefor, (v) a contribution payment is not made in a timely manner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(vi) payment of indemnification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and Mediation Procedures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67" w:lineRule="exact"/>
        <w:rPr>
          <w:rFonts w:ascii="Arial" w:cs="Arial" w:eastAsia="Arial" w:hAnsi="Arial"/>
          <w:sz w:val="16"/>
          <w:szCs w:val="16"/>
          <w:color w:val="auto"/>
        </w:rPr>
      </w:pPr>
    </w:p>
    <w:p>
      <w:pPr>
        <w:jc w:val="both"/>
        <w:ind w:firstLine="656"/>
        <w:spacing w:after="0" w:line="263" w:lineRule="auto"/>
        <w:tabs>
          <w:tab w:leader="none" w:pos="100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 that Indemnitee is not entitled to indemnification,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01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be presumed to be entitled to be indemnified, held harmless, and exonerated and to receive advancement of Expenses under this Agreement and the Company shall have the burden of proving Indemnitee is not entitled to be indemnified, held harmless, and exonerated and to receive advancement of Expenses, as the case may be, and the Company may not refer to or introduce into evidence any determination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adverse to Indemnitee for any purpose. If Indemnitee commences a judicial proceeding or arbitration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not be required to reimburse the Company for any advances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Agreement until a final determination is made with respect to Indemnitee’s entitlement to indemnification (as to which all rights of appeal have been exhausted or lapsed).</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002"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jc w:val="both"/>
        <w:ind w:firstLine="656"/>
        <w:spacing w:after="0" w:line="263" w:lineRule="auto"/>
        <w:tabs>
          <w:tab w:leader="none" w:pos="97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The Company shall be precluded from asserting in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firstLine="656"/>
        <w:spacing w:after="0" w:line="271" w:lineRule="auto"/>
        <w:tabs>
          <w:tab w:leader="none" w:pos="931"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4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83" w:lineRule="exact"/>
        <w:rPr>
          <w:sz w:val="20"/>
          <w:szCs w:val="20"/>
          <w:color w:val="auto"/>
        </w:rPr>
      </w:pPr>
    </w:p>
    <w:p>
      <w:pPr>
        <w:jc w:val="both"/>
        <w:ind w:firstLine="656"/>
        <w:spacing w:after="0" w:line="261" w:lineRule="auto"/>
        <w:tabs>
          <w:tab w:leader="none" w:pos="1017"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except 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requested by Indemnitee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9" w:lineRule="exact"/>
        <w:rPr>
          <w:rFonts w:ascii="Arial" w:cs="Arial" w:eastAsia="Arial" w:hAnsi="Arial"/>
          <w:sz w:val="18"/>
          <w:szCs w:val="18"/>
          <w:b w:val="1"/>
          <w:bCs w:val="1"/>
          <w:color w:val="auto"/>
        </w:rPr>
      </w:pPr>
    </w:p>
    <w:p>
      <w:pPr>
        <w:ind w:left="980" w:hanging="324"/>
        <w:spacing w:after="0"/>
        <w:tabs>
          <w:tab w:leader="none" w:pos="98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951"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both"/>
        <w:ind w:firstLine="656"/>
        <w:spacing w:after="0" w:line="290" w:lineRule="auto"/>
        <w:tabs>
          <w:tab w:leader="none" w:pos="961"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DGCL, the Charter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i w:val="1"/>
          <w:iCs w:val="1"/>
          <w:color w:val="auto"/>
        </w:rPr>
        <w:t>”</w:t>
      </w:r>
      <w:r>
        <w:rPr>
          <w:rFonts w:ascii="Arial" w:cs="Arial" w:eastAsia="Arial" w:hAnsi="Arial"/>
          <w:sz w:val="16"/>
          <w:szCs w:val="16"/>
          <w:color w:val="auto"/>
        </w:rPr>
        <w:t xml:space="preserve">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firstLine="656"/>
        <w:spacing w:after="0" w:line="290" w:lineRule="auto"/>
        <w:tabs>
          <w:tab w:leader="none" w:pos="937"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firstLine="656"/>
        <w:spacing w:after="0" w:line="263" w:lineRule="auto"/>
        <w:tabs>
          <w:tab w:leader="none" w:pos="96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3" w:lineRule="exact"/>
        <w:rPr>
          <w:rFonts w:ascii="Arial" w:cs="Arial" w:eastAsia="Arial" w:hAnsi="Arial"/>
          <w:sz w:val="18"/>
          <w:szCs w:val="18"/>
          <w:color w:val="auto"/>
        </w:rPr>
      </w:pPr>
    </w:p>
    <w:p>
      <w:pPr>
        <w:jc w:val="both"/>
        <w:ind w:firstLine="656"/>
        <w:spacing w:after="0" w:line="268" w:lineRule="auto"/>
        <w:tabs>
          <w:tab w:leader="none" w:pos="978"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Company acknowledges that to the extent Indemnitee is serving as a director on the Company’s board of directors at the request or direction of a private equity or venture capital fund or other entity and/or certain of its affiliates (collectively, the “</w:t>
      </w:r>
      <w:r>
        <w:rPr>
          <w:rFonts w:ascii="Arial" w:cs="Arial" w:eastAsia="Arial" w:hAnsi="Arial"/>
          <w:sz w:val="17"/>
          <w:szCs w:val="17"/>
          <w:b w:val="1"/>
          <w:bCs w:val="1"/>
          <w:i w:val="1"/>
          <w:iCs w:val="1"/>
          <w:color w:val="auto"/>
        </w:rPr>
        <w:t>Secondary Indemnitors</w:t>
      </w:r>
      <w:r>
        <w:rPr>
          <w:rFonts w:ascii="Arial" w:cs="Arial" w:eastAsia="Arial" w:hAnsi="Arial"/>
          <w:sz w:val="17"/>
          <w:szCs w:val="17"/>
          <w:color w:val="auto"/>
        </w:rPr>
        <w:t xml:space="preserve">”),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w:t>
      </w:r>
      <w:r>
        <w:rPr>
          <w:rFonts w:ascii="Arial" w:cs="Arial" w:eastAsia="Arial" w:hAnsi="Arial"/>
          <w:sz w:val="17"/>
          <w:szCs w:val="17"/>
          <w:u w:val="single" w:color="auto"/>
          <w:color w:val="auto"/>
        </w:rPr>
        <w:t>Section 9(e)</w:t>
      </w:r>
      <w:r>
        <w:rPr>
          <w:rFonts w:ascii="Arial" w:cs="Arial" w:eastAsia="Arial" w:hAnsi="Arial"/>
          <w:sz w:val="17"/>
          <w:szCs w:val="17"/>
          <w:color w:val="auto"/>
        </w:rPr>
        <w:t xml:space="preserve">.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w:t>
      </w:r>
      <w:r>
        <w:rPr>
          <w:rFonts w:ascii="Arial" w:cs="Arial" w:eastAsia="Arial" w:hAnsi="Arial"/>
          <w:sz w:val="17"/>
          <w:szCs w:val="17"/>
          <w:u w:val="single" w:color="auto"/>
          <w:color w:val="auto"/>
        </w:rPr>
        <w:t>Section 9(e)</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jc w:val="both"/>
        <w:ind w:firstLine="656"/>
        <w:spacing w:after="0" w:line="284" w:lineRule="auto"/>
        <w:tabs>
          <w:tab w:leader="none" w:pos="918" w:val="left"/>
        </w:tabs>
        <w:numPr>
          <w:ilvl w:val="1"/>
          <w:numId w:val="304"/>
        </w:numPr>
        <w:rPr>
          <w:rFonts w:ascii="Arial" w:cs="Arial" w:eastAsia="Arial" w:hAnsi="Arial"/>
          <w:sz w:val="16"/>
          <w:szCs w:val="16"/>
          <w:color w:val="auto"/>
        </w:rPr>
      </w:pPr>
      <w:r>
        <w:rPr>
          <w:rFonts w:ascii="Arial" w:cs="Arial" w:eastAsia="Arial" w:hAnsi="Arial"/>
          <w:sz w:val="16"/>
          <w:szCs w:val="16"/>
          <w:color w:val="auto"/>
        </w:rPr>
        <w:t xml:space="preserve">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firstLine="8"/>
        <w:spacing w:after="0" w:line="323" w:lineRule="auto"/>
        <w:tabs>
          <w:tab w:leader="none" w:pos="284"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4" w:lineRule="exact"/>
        <w:rPr>
          <w:sz w:val="20"/>
          <w:szCs w:val="20"/>
          <w:color w:val="auto"/>
        </w:rPr>
      </w:pPr>
    </w:p>
    <w:p>
      <w:pPr>
        <w:jc w:val="both"/>
        <w:ind w:firstLine="656"/>
        <w:spacing w:after="0" w:line="255" w:lineRule="auto"/>
        <w:tabs>
          <w:tab w:leader="none" w:pos="103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this Agreement) by reason of Indemnitee’s Corporate Status, whether or not Indemnitee is acting in any such capacity at the time any liability or expense is incurred for which indemnification or advancement can be provided under this Agreement.</w:t>
      </w:r>
    </w:p>
    <w:p>
      <w:pPr>
        <w:spacing w:after="0" w:line="188" w:lineRule="exact"/>
        <w:rPr>
          <w:rFonts w:ascii="Arial" w:cs="Arial" w:eastAsia="Arial" w:hAnsi="Arial"/>
          <w:sz w:val="18"/>
          <w:szCs w:val="18"/>
          <w:b w:val="1"/>
          <w:bCs w:val="1"/>
          <w:color w:val="auto"/>
        </w:rPr>
      </w:pPr>
    </w:p>
    <w:p>
      <w:pPr>
        <w:ind w:left="1020" w:hanging="364"/>
        <w:spacing w:after="0"/>
        <w:tabs>
          <w:tab w:leader="none" w:pos="1020"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w:t>
      </w:r>
    </w:p>
    <w:p>
      <w:pPr>
        <w:spacing w:after="0" w:line="38" w:lineRule="exact"/>
        <w:rPr>
          <w:rFonts w:ascii="Arial" w:cs="Arial" w:eastAsia="Arial" w:hAnsi="Arial"/>
          <w:sz w:val="17"/>
          <w:szCs w:val="17"/>
          <w:b w:val="1"/>
          <w:bCs w:val="1"/>
          <w:color w:val="auto"/>
        </w:rPr>
      </w:pPr>
    </w:p>
    <w:p>
      <w:pPr>
        <w:jc w:val="both"/>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b w:val="1"/>
          <w:bCs w:val="1"/>
          <w:color w:val="auto"/>
        </w:rPr>
      </w:pPr>
    </w:p>
    <w:p>
      <w:pPr>
        <w:ind w:left="980" w:hanging="324"/>
        <w:spacing w:after="0"/>
        <w:tabs>
          <w:tab w:leader="none" w:pos="98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93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7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jc w:val="both"/>
        <w:ind w:firstLine="656"/>
        <w:spacing w:after="0" w:line="273" w:lineRule="auto"/>
        <w:tabs>
          <w:tab w:leader="none" w:pos="937"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00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firstLine="656"/>
        <w:spacing w:after="0" w:line="289" w:lineRule="auto"/>
        <w:tabs>
          <w:tab w:leader="none" w:pos="978"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spacing w:after="0" w:line="162" w:lineRule="exact"/>
        <w:rPr>
          <w:sz w:val="20"/>
          <w:szCs w:val="20"/>
          <w:color w:val="auto"/>
        </w:rPr>
      </w:pPr>
    </w:p>
    <w:p>
      <w:pPr>
        <w:jc w:val="both"/>
        <w:ind w:firstLine="656"/>
        <w:spacing w:after="0" w:line="266" w:lineRule="auto"/>
        <w:tabs>
          <w:tab w:leader="none" w:pos="1003"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b w:val="1"/>
          <w:bCs w:val="1"/>
          <w:color w:val="auto"/>
        </w:rPr>
      </w:pPr>
    </w:p>
    <w:p>
      <w:pPr>
        <w:jc w:val="both"/>
        <w:ind w:firstLine="656"/>
        <w:spacing w:after="0" w:line="289" w:lineRule="auto"/>
        <w:tabs>
          <w:tab w:leader="none" w:pos="976" w:val="left"/>
        </w:tabs>
        <w:numPr>
          <w:ilvl w:val="0"/>
          <w:numId w:val="309"/>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on such delivery, or (ii) mailed by certified or registered mail with postage prepaid, on the third (3rd) business day after the date on which it is so mailed:</w:t>
      </w:r>
    </w:p>
    <w:p>
      <w:pPr>
        <w:spacing w:after="0" w:line="162" w:lineRule="exact"/>
        <w:rPr>
          <w:sz w:val="20"/>
          <w:szCs w:val="20"/>
          <w:color w:val="auto"/>
        </w:rPr>
      </w:pPr>
    </w:p>
    <w:p>
      <w:pPr>
        <w:ind w:firstLine="656"/>
        <w:spacing w:after="0" w:line="277" w:lineRule="auto"/>
        <w:tabs>
          <w:tab w:leader="none" w:pos="93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Eli Casdin and Brian Emes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eli@casdincapital.com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bemes@corvexcap.com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354-8113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firstLine="1304"/>
        <w:spacing w:after="0" w:line="285" w:lineRule="auto"/>
        <w:tabs>
          <w:tab w:leader="none" w:pos="1624" w:val="left"/>
        </w:tabs>
        <w:numPr>
          <w:ilvl w:val="2"/>
          <w:numId w:val="311"/>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governed 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w:t>
      </w:r>
    </w:p>
    <w:p>
      <w:pPr>
        <w:spacing w:after="0" w:line="3" w:lineRule="exact"/>
        <w:rPr>
          <w:rFonts w:ascii="Arial" w:cs="Arial" w:eastAsia="Arial" w:hAnsi="Arial"/>
          <w:sz w:val="16"/>
          <w:szCs w:val="16"/>
          <w:b w:val="1"/>
          <w:bCs w:val="1"/>
          <w:color w:val="auto"/>
        </w:rPr>
      </w:pPr>
    </w:p>
    <w:p>
      <w:pPr>
        <w:jc w:val="both"/>
        <w:ind w:firstLine="8"/>
        <w:spacing w:after="0" w:line="253" w:lineRule="auto"/>
        <w:tabs>
          <w:tab w:leader="none" w:pos="25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or in such other manner as may be permitted by law, shall be valid and sufficient service thereof.</w:t>
      </w:r>
    </w:p>
    <w:p>
      <w:pPr>
        <w:spacing w:after="0" w:line="186" w:lineRule="exact"/>
        <w:rPr>
          <w:rFonts w:ascii="Arial" w:cs="Arial" w:eastAsia="Arial" w:hAnsi="Arial"/>
          <w:sz w:val="18"/>
          <w:szCs w:val="18"/>
          <w:color w:val="auto"/>
        </w:rPr>
      </w:pPr>
    </w:p>
    <w:p>
      <w:pPr>
        <w:jc w:val="both"/>
        <w:ind w:firstLine="656"/>
        <w:spacing w:after="0" w:line="266" w:lineRule="auto"/>
        <w:tabs>
          <w:tab w:leader="none" w:pos="990" w:val="left"/>
        </w:tabs>
        <w:numPr>
          <w:ilvl w:val="1"/>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b w:val="1"/>
          <w:bCs w:val="1"/>
          <w:color w:val="auto"/>
        </w:rPr>
      </w:pPr>
    </w:p>
    <w:p>
      <w:pPr>
        <w:jc w:val="both"/>
        <w:ind w:firstLine="656"/>
        <w:spacing w:after="0" w:line="266" w:lineRule="auto"/>
        <w:tabs>
          <w:tab w:leader="none" w:pos="1003" w:val="left"/>
        </w:tabs>
        <w:numPr>
          <w:ilvl w:val="1"/>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the 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b w:val="1"/>
          <w:bCs w:val="1"/>
          <w:color w:val="auto"/>
        </w:rPr>
      </w:pPr>
    </w:p>
    <w:p>
      <w:pPr>
        <w:jc w:val="both"/>
        <w:ind w:firstLine="656"/>
        <w:spacing w:after="0" w:line="258" w:lineRule="auto"/>
        <w:tabs>
          <w:tab w:leader="none" w:pos="976" w:val="left"/>
        </w:tabs>
        <w:numPr>
          <w:ilvl w:val="1"/>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b w:val="1"/>
          <w:bCs w:val="1"/>
          <w:color w:val="auto"/>
        </w:rPr>
      </w:pPr>
    </w:p>
    <w:p>
      <w:pPr>
        <w:jc w:val="both"/>
        <w:ind w:firstLine="656"/>
        <w:spacing w:after="0" w:line="266" w:lineRule="auto"/>
        <w:tabs>
          <w:tab w:leader="none" w:pos="990" w:val="left"/>
        </w:tabs>
        <w:numPr>
          <w:ilvl w:val="1"/>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both"/>
        <w:ind w:firstLine="656"/>
        <w:spacing w:after="0" w:line="258" w:lineRule="auto"/>
        <w:tabs>
          <w:tab w:leader="none" w:pos="963"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contained herein to the contrary, Indemnitee hereby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83" w:lineRule="exact"/>
        <w:rPr>
          <w:rFonts w:ascii="Arial" w:cs="Arial" w:eastAsia="Arial" w:hAnsi="Arial"/>
          <w:sz w:val="18"/>
          <w:szCs w:val="18"/>
          <w:b w:val="1"/>
          <w:bCs w:val="1"/>
          <w:color w:val="auto"/>
        </w:rPr>
      </w:pPr>
    </w:p>
    <w:p>
      <w:pPr>
        <w:jc w:val="both"/>
        <w:ind w:firstLine="656"/>
        <w:spacing w:after="0" w:line="273" w:lineRule="auto"/>
        <w:tabs>
          <w:tab w:leader="none" w:pos="990"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INSURANCE</w:t>
      </w:r>
      <w:r>
        <w:rPr>
          <w:rFonts w:ascii="Arial" w:cs="Arial" w:eastAsia="Arial" w:hAnsi="Arial"/>
          <w:sz w:val="17"/>
          <w:szCs w:val="17"/>
          <w:color w:val="auto"/>
        </w:rPr>
        <w:t>. The Company shall use commercially reasonable efforts to obtain and maintain in effect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spacing w:after="0"/>
        <w:rPr>
          <w:sz w:val="20"/>
          <w:szCs w:val="20"/>
          <w:color w:val="auto"/>
        </w:rPr>
      </w:pPr>
      <w:r>
        <w:rPr>
          <w:rFonts w:ascii="Arial" w:cs="Arial" w:eastAsia="Arial" w:hAnsi="Arial"/>
          <w:sz w:val="16"/>
          <w:szCs w:val="16"/>
          <w:color w:val="auto"/>
        </w:rPr>
        <w:t>IN WITNESS WHEREOF, the parties hereto have caused this Indemnity Agreement to be signed as of the day and year first above written.</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23495</wp:posOffset>
            </wp:positionV>
            <wp:extent cx="25628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Nat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Nat Turner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908" w:right="87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Eli Casdin, certify that:</w:t>
      </w:r>
    </w:p>
    <w:p>
      <w:pPr>
        <w:spacing w:after="0" w:line="225"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CM Life Sciences,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2021</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Eli Casdin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Emes, certify that:</w:t>
      </w:r>
    </w:p>
    <w:p>
      <w:pPr>
        <w:spacing w:after="0" w:line="225" w:lineRule="exact"/>
        <w:rPr>
          <w:sz w:val="20"/>
          <w:szCs w:val="20"/>
          <w:color w:val="auto"/>
        </w:rPr>
      </w:pPr>
    </w:p>
    <w:p>
      <w:pPr>
        <w:ind w:left="660" w:hanging="652"/>
        <w:spacing w:after="0"/>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CM Life Sciences,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2021</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CM Life Sciences, Inc. (the “Company”) on Form 10-K for the period ending December 31, 2020 as filed with the Securities and Exchange Commission on the date hereof (the “Report”), I, Eli Casdin, Chief Executive Officer and Director of the Company, certify, pursuant to 18 U.S.C. § 1350, as adopted pursuant to § 906 of the Sarbanes-Oxley Act of 2002, that, to the best of my knowledge:</w:t>
      </w:r>
    </w:p>
    <w:p>
      <w:pPr>
        <w:spacing w:after="0" w:line="165" w:lineRule="exact"/>
        <w:rPr>
          <w:sz w:val="20"/>
          <w:szCs w:val="20"/>
          <w:color w:val="auto"/>
        </w:rPr>
      </w:pPr>
    </w:p>
    <w:p>
      <w:pPr>
        <w:ind w:left="660" w:hanging="328"/>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40" w:firstLine="332"/>
        <w:spacing w:after="0" w:line="500" w:lineRule="auto"/>
        <w:tabs>
          <w:tab w:leader="none" w:pos="64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30, 2021</w:t>
      </w:r>
    </w:p>
    <w:p>
      <w:pPr>
        <w:spacing w:after="0" w:line="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Eli Casdin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CM Life Sciences, Inc. (the “Company”) on Form 10-K for the period ending December 31, 2020 as filed with the Securities and Exchange Commission on the date hereof (the “Report”), I, Brian Emes, Chief Financial Officer and Secretary of the Company, certify, pursuant to 18 U.S.C. § 1350, as adopted pursuant to § 906 of the Sarbanes-Oxley Act of 2002, that, to the best of my knowledge:</w:t>
      </w:r>
    </w:p>
    <w:p>
      <w:pPr>
        <w:spacing w:after="0" w:line="165" w:lineRule="exact"/>
        <w:rPr>
          <w:sz w:val="20"/>
          <w:szCs w:val="20"/>
          <w:color w:val="auto"/>
        </w:rPr>
      </w:pPr>
    </w:p>
    <w:p>
      <w:pPr>
        <w:ind w:left="660" w:hanging="32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40" w:firstLine="332"/>
        <w:spacing w:after="0" w:line="500" w:lineRule="auto"/>
        <w:tabs>
          <w:tab w:leader="none" w:pos="64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30, 2021</w:t>
      </w:r>
    </w:p>
    <w:p>
      <w:pPr>
        <w:spacing w:after="0" w:line="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7ACC3"/>
    <w:multiLevelType w:val="hybridMultilevel"/>
    <w:lvl w:ilvl="0">
      <w:lvlJc w:val="left"/>
      <w:lvlText w:val="☐"/>
      <w:numFmt w:val="bullet"/>
      <w:start w:val="1"/>
    </w:lvl>
    <w:lvl w:ilvl="1">
      <w:lvlJc w:val="left"/>
      <w:lvlText w:val="☒"/>
      <w:numFmt w:val="bullet"/>
      <w:start w:val="1"/>
    </w:lvl>
  </w:abstractNum>
  <w:abstractNum w:abstractNumId="1">
    <w:nsid w:val="6B47F63E"/>
    <w:multiLevelType w:val="hybridMultilevel"/>
    <w:lvl w:ilvl="0">
      <w:lvlJc w:val="left"/>
      <w:lvlText w:val="●"/>
      <w:numFmt w:val="bullet"/>
      <w:start w:val="1"/>
    </w:lvl>
  </w:abstractNum>
  <w:abstractNum w:abstractNumId="2">
    <w:nsid w:val="5CB44A05"/>
    <w:multiLevelType w:val="hybridMultilevel"/>
    <w:lvl w:ilvl="0">
      <w:lvlJc w:val="left"/>
      <w:lvlText w:val="●"/>
      <w:numFmt w:val="bullet"/>
      <w:start w:val="1"/>
    </w:lvl>
  </w:abstractNum>
  <w:abstractNum w:abstractNumId="3">
    <w:nsid w:val="16CF80F1"/>
    <w:multiLevelType w:val="hybridMultilevel"/>
    <w:lvl w:ilvl="0">
      <w:lvlJc w:val="left"/>
      <w:lvlText w:val="●"/>
      <w:numFmt w:val="bullet"/>
      <w:start w:val="1"/>
    </w:lvl>
  </w:abstractNum>
  <w:abstractNum w:abstractNumId="4">
    <w:nsid w:val="1C695DEC"/>
    <w:multiLevelType w:val="hybridMultilevel"/>
    <w:lvl w:ilvl="0">
      <w:lvlJc w:val="left"/>
      <w:lvlText w:val="●"/>
      <w:numFmt w:val="bullet"/>
      <w:start w:val="1"/>
    </w:lvl>
  </w:abstractNum>
  <w:abstractNum w:abstractNumId="5">
    <w:nsid w:val="3FCFAED9"/>
    <w:multiLevelType w:val="hybridMultilevel"/>
    <w:lvl w:ilvl="0">
      <w:lvlJc w:val="left"/>
      <w:lvlText w:val="●"/>
      <w:numFmt w:val="bullet"/>
      <w:start w:val="1"/>
    </w:lvl>
  </w:abstractNum>
  <w:abstractNum w:abstractNumId="6">
    <w:nsid w:val="F856867"/>
    <w:multiLevelType w:val="hybridMultilevel"/>
    <w:lvl w:ilvl="0">
      <w:lvlJc w:val="left"/>
      <w:lvlText w:val="●"/>
      <w:numFmt w:val="bullet"/>
      <w:start w:val="1"/>
    </w:lvl>
  </w:abstractNum>
  <w:abstractNum w:abstractNumId="7">
    <w:nsid w:val="11B1CC33"/>
    <w:multiLevelType w:val="hybridMultilevel"/>
    <w:lvl w:ilvl="0">
      <w:lvlJc w:val="left"/>
      <w:lvlText w:val="●"/>
      <w:numFmt w:val="bullet"/>
      <w:start w:val="1"/>
    </w:lvl>
  </w:abstractNum>
  <w:abstractNum w:abstractNumId="8">
    <w:nsid w:val="2E22FBB7"/>
    <w:multiLevelType w:val="hybridMultilevel"/>
    <w:lvl w:ilvl="0">
      <w:lvlJc w:val="left"/>
      <w:lvlText w:val="●"/>
      <w:numFmt w:val="bullet"/>
      <w:start w:val="1"/>
    </w:lvl>
  </w:abstractNum>
  <w:abstractNum w:abstractNumId="9">
    <w:nsid w:val="29934699"/>
    <w:multiLevelType w:val="hybridMultilevel"/>
    <w:lvl w:ilvl="0">
      <w:lvlJc w:val="left"/>
      <w:lvlText w:val="●"/>
      <w:numFmt w:val="bullet"/>
      <w:start w:val="1"/>
    </w:lvl>
  </w:abstractNum>
  <w:abstractNum w:abstractNumId="10">
    <w:nsid w:val="77485850"/>
    <w:multiLevelType w:val="hybridMultilevel"/>
    <w:lvl w:ilvl="0">
      <w:lvlJc w:val="left"/>
      <w:lvlText w:val="●"/>
      <w:numFmt w:val="bullet"/>
      <w:start w:val="1"/>
    </w:lvl>
  </w:abstractNum>
  <w:abstractNum w:abstractNumId="11">
    <w:nsid w:val="744939A3"/>
    <w:multiLevelType w:val="hybridMultilevel"/>
    <w:lvl w:ilvl="0">
      <w:lvlJc w:val="left"/>
      <w:lvlText w:val="●"/>
      <w:numFmt w:val="bullet"/>
      <w:start w:val="1"/>
    </w:lvl>
  </w:abstractNum>
  <w:abstractNum w:abstractNumId="12">
    <w:nsid w:val="4FA0D2E3"/>
    <w:multiLevelType w:val="hybridMultilevel"/>
    <w:lvl w:ilvl="0">
      <w:lvlJc w:val="left"/>
      <w:lvlText w:val="(%1)"/>
      <w:numFmt w:val="upperLetter"/>
      <w:start w:val="2"/>
    </w:lvl>
  </w:abstractNum>
  <w:abstractNum w:abstractNumId="13">
    <w:nsid w:val="6B1D2C14"/>
    <w:multiLevelType w:val="hybridMultilevel"/>
    <w:lvl w:ilvl="0">
      <w:lvlJc w:val="left"/>
      <w:lvlText w:val="(%1)"/>
      <w:numFmt w:val="lowerRoman"/>
      <w:start w:val="2"/>
    </w:lvl>
  </w:abstractNum>
  <w:abstractNum w:abstractNumId="14">
    <w:nsid w:val="68B867D3"/>
    <w:multiLevelType w:val="hybridMultilevel"/>
    <w:lvl w:ilvl="0">
      <w:lvlJc w:val="left"/>
      <w:lvlText w:val="(%1)"/>
      <w:numFmt w:val="lowerLetter"/>
      <w:start w:val="1"/>
    </w:lvl>
    <w:lvl w:ilvl="1">
      <w:lvlJc w:val="left"/>
      <w:lvlText w:val="(%2)"/>
      <w:numFmt w:val="lowerLetter"/>
      <w:start w:val="24"/>
    </w:lvl>
  </w:abstractNum>
  <w:abstractNum w:abstractNumId="15">
    <w:nsid w:val="3F7F5DD9"/>
    <w:multiLevelType w:val="hybridMultilevel"/>
    <w:lvl w:ilvl="0">
      <w:lvlJc w:val="left"/>
      <w:lvlText w:val="●"/>
      <w:numFmt w:val="bullet"/>
      <w:start w:val="1"/>
    </w:lvl>
  </w:abstractNum>
  <w:abstractNum w:abstractNumId="16">
    <w:nsid w:val="2AE05A34"/>
    <w:multiLevelType w:val="hybridMultilevel"/>
    <w:lvl w:ilvl="0">
      <w:lvlJc w:val="left"/>
      <w:lvlText w:val="●"/>
      <w:numFmt w:val="bullet"/>
      <w:start w:val="1"/>
    </w:lvl>
  </w:abstractNum>
  <w:abstractNum w:abstractNumId="17">
    <w:nsid w:val="32794FF7"/>
    <w:multiLevelType w:val="hybridMultilevel"/>
    <w:lvl w:ilvl="0">
      <w:lvlJc w:val="left"/>
      <w:lvlText w:val="●"/>
      <w:numFmt w:val="bullet"/>
      <w:start w:val="1"/>
    </w:lvl>
  </w:abstractNum>
  <w:abstractNum w:abstractNumId="18">
    <w:nsid w:val="5454945E"/>
    <w:multiLevelType w:val="hybridMultilevel"/>
    <w:lvl w:ilvl="0">
      <w:lvlJc w:val="left"/>
      <w:lvlText w:val="●"/>
      <w:numFmt w:val="bullet"/>
      <w:start w:val="1"/>
    </w:lvl>
  </w:abstractNum>
  <w:abstractNum w:abstractNumId="19">
    <w:nsid w:val="4DEFDFA0"/>
    <w:multiLevelType w:val="hybridMultilevel"/>
    <w:lvl w:ilvl="0">
      <w:lvlJc w:val="left"/>
      <w:lvlText w:val="●"/>
      <w:numFmt w:val="bullet"/>
      <w:start w:val="1"/>
    </w:lvl>
  </w:abstractNum>
  <w:abstractNum w:abstractNumId="20">
    <w:nsid w:val="2123D5F2"/>
    <w:multiLevelType w:val="hybridMultilevel"/>
    <w:lvl w:ilvl="0">
      <w:lvlJc w:val="left"/>
      <w:lvlText w:val="(%1)"/>
      <w:numFmt w:val="decimal"/>
      <w:start w:val="1"/>
    </w:lvl>
  </w:abstractNum>
  <w:abstractNum w:abstractNumId="21">
    <w:nsid w:val="135B8110"/>
    <w:multiLevelType w:val="hybridMultilevel"/>
    <w:lvl w:ilvl="0">
      <w:lvlJc w:val="left"/>
      <w:lvlText w:val="●"/>
      <w:numFmt w:val="bullet"/>
      <w:start w:val="1"/>
    </w:lvl>
  </w:abstractNum>
  <w:abstractNum w:abstractNumId="22">
    <w:nsid w:val="94927A8"/>
    <w:multiLevelType w:val="hybridMultilevel"/>
    <w:lvl w:ilvl="0">
      <w:lvlJc w:val="left"/>
      <w:lvlText w:val="●"/>
      <w:numFmt w:val="bullet"/>
      <w:start w:val="1"/>
    </w:lvl>
  </w:abstractNum>
  <w:abstractNum w:abstractNumId="23">
    <w:nsid w:val="DCDF8F6"/>
    <w:multiLevelType w:val="hybridMultilevel"/>
    <w:lvl w:ilvl="0">
      <w:lvlJc w:val="left"/>
      <w:lvlText w:val="*"/>
      <w:numFmt w:val="bullet"/>
      <w:start w:val="1"/>
    </w:lvl>
  </w:abstractNum>
  <w:abstractNum w:abstractNumId="24">
    <w:nsid w:val="52D7B105"/>
    <w:multiLevelType w:val="hybridMultilevel"/>
    <w:lvl w:ilvl="0">
      <w:lvlJc w:val="left"/>
      <w:lvlText w:val="(%1)"/>
      <w:numFmt w:val="decimal"/>
      <w:start w:val="1"/>
    </w:lvl>
  </w:abstractNum>
  <w:abstractNum w:abstractNumId="25">
    <w:nsid w:val="2E8A6394"/>
    <w:multiLevelType w:val="hybridMultilevel"/>
    <w:lvl w:ilvl="0">
      <w:lvlJc w:val="left"/>
      <w:lvlText w:val="(%1)"/>
      <w:numFmt w:val="lowerLetter"/>
      <w:start w:val="1"/>
    </w:lvl>
    <w:lvl w:ilvl="1">
      <w:lvlJc w:val="left"/>
      <w:lvlText w:val="(%2)"/>
      <w:numFmt w:val="decimal"/>
      <w:start w:val="1"/>
    </w:lvl>
  </w:abstractNum>
  <w:abstractNum w:abstractNumId="26">
    <w:nsid w:val="24E60401"/>
    <w:multiLevelType w:val="hybridMultilevel"/>
    <w:lvl w:ilvl="0">
      <w:lvlJc w:val="left"/>
      <w:lvlText w:val="(%1)"/>
      <w:numFmt w:val="decimal"/>
      <w:start w:val="2"/>
    </w:lvl>
  </w:abstractNum>
  <w:abstractNum w:abstractNumId="27">
    <w:nsid w:val="2A6AD9BE"/>
    <w:multiLevelType w:val="hybridMultilevel"/>
    <w:lvl w:ilvl="0">
      <w:lvlJc w:val="left"/>
      <w:lvlText w:val="%1"/>
      <w:numFmt w:val="decimal"/>
      <w:start w:val="14"/>
    </w:lvl>
  </w:abstractNum>
  <w:abstractNum w:abstractNumId="28">
    <w:nsid w:val="BAAC1B4"/>
    <w:multiLevelType w:val="hybridMultilevel"/>
    <w:lvl w:ilvl="0">
      <w:lvlJc w:val="left"/>
      <w:lvlText w:val="*"/>
      <w:numFmt w:val="bullet"/>
      <w:start w:val="1"/>
    </w:lvl>
  </w:abstractNum>
  <w:abstractNum w:abstractNumId="29">
    <w:nsid w:val="36B2ACBC"/>
    <w:multiLevelType w:val="hybridMultilevel"/>
    <w:lvl w:ilvl="0">
      <w:lvlJc w:val="left"/>
      <w:lvlText w:val="$"/>
      <w:numFmt w:val="bullet"/>
      <w:start w:val="1"/>
    </w:lvl>
  </w:abstractNum>
  <w:abstractNum w:abstractNumId="30">
    <w:nsid w:val="779D8544"/>
    <w:multiLevelType w:val="hybridMultilevel"/>
    <w:lvl w:ilvl="0">
      <w:lvlJc w:val="left"/>
      <w:lvlText w:val="$"/>
      <w:numFmt w:val="bullet"/>
      <w:start w:val="1"/>
    </w:lvl>
  </w:abstractNum>
  <w:abstractNum w:abstractNumId="31">
    <w:nsid w:val="4AB26E78"/>
    <w:multiLevelType w:val="hybridMultilevel"/>
    <w:lvl w:ilvl="0">
      <w:lvlJc w:val="left"/>
      <w:lvlText w:val="●"/>
      <w:numFmt w:val="bullet"/>
      <w:start w:val="1"/>
    </w:lvl>
  </w:abstractNum>
  <w:abstractNum w:abstractNumId="32">
    <w:nsid w:val="21FAA2FA"/>
    <w:multiLevelType w:val="hybridMultilevel"/>
    <w:lvl w:ilvl="0">
      <w:lvlJc w:val="left"/>
      <w:lvlText w:val="●"/>
      <w:numFmt w:val="bullet"/>
      <w:start w:val="1"/>
    </w:lvl>
  </w:abstractNum>
  <w:abstractNum w:abstractNumId="33">
    <w:nsid w:val="5451CF49"/>
    <w:multiLevelType w:val="hybridMultilevel"/>
    <w:lvl w:ilvl="0">
      <w:lvlJc w:val="left"/>
      <w:lvlText w:val="(%1)"/>
      <w:numFmt w:val="lowerLetter"/>
      <w:start w:val="3"/>
    </w:lvl>
  </w:abstractNum>
  <w:abstractNum w:abstractNumId="34">
    <w:nsid w:val="6181EF69"/>
    <w:multiLevelType w:val="hybridMultilevel"/>
    <w:lvl w:ilvl="0">
      <w:lvlJc w:val="left"/>
      <w:lvlText w:val="(%1)"/>
      <w:numFmt w:val="lowerRoman"/>
      <w:start w:val="10"/>
    </w:lvl>
  </w:abstractNum>
  <w:abstractNum w:abstractNumId="35">
    <w:nsid w:val="3E6400E6"/>
    <w:multiLevelType w:val="hybridMultilevel"/>
    <w:lvl w:ilvl="0">
      <w:lvlJc w:val="left"/>
      <w:lvlText w:val="●"/>
      <w:numFmt w:val="bullet"/>
      <w:start w:val="1"/>
    </w:lvl>
  </w:abstractNum>
  <w:abstractNum w:abstractNumId="36">
    <w:nsid w:val="14217E23"/>
    <w:multiLevelType w:val="hybridMultilevel"/>
    <w:lvl w:ilvl="0">
      <w:lvlJc w:val="left"/>
      <w:lvlText w:val="●"/>
      <w:numFmt w:val="bullet"/>
      <w:start w:val="1"/>
    </w:lvl>
  </w:abstractNum>
  <w:abstractNum w:abstractNumId="37">
    <w:nsid w:val="710757D0"/>
    <w:multiLevelType w:val="hybridMultilevel"/>
    <w:lvl w:ilvl="0">
      <w:lvlJc w:val="left"/>
      <w:lvlText w:val="(%1)"/>
      <w:numFmt w:val="lowerLetter"/>
      <w:start w:val="1"/>
    </w:lvl>
  </w:abstractNum>
  <w:abstractNum w:abstractNumId="38">
    <w:nsid w:val="5015CD1A"/>
    <w:multiLevelType w:val="hybridMultilevel"/>
    <w:lvl w:ilvl="0">
      <w:lvlJc w:val="left"/>
      <w:lvlText w:val="(%1)"/>
      <w:numFmt w:val="lowerRoman"/>
      <w:start w:val="1"/>
    </w:lvl>
  </w:abstractNum>
  <w:abstractNum w:abstractNumId="39">
    <w:nsid w:val="424479DA"/>
    <w:multiLevelType w:val="hybridMultilevel"/>
    <w:lvl w:ilvl="0">
      <w:lvlJc w:val="left"/>
      <w:lvlText w:val="(%1)"/>
      <w:numFmt w:val="lowerLetter"/>
      <w:start w:val="26"/>
    </w:lvl>
  </w:abstractNum>
  <w:abstractNum w:abstractNumId="40">
    <w:nsid w:val="1A9A9E69"/>
    <w:multiLevelType w:val="hybridMultilevel"/>
    <w:lvl w:ilvl="0">
      <w:lvlJc w:val="left"/>
      <w:lvlText w:val="●"/>
      <w:numFmt w:val="bullet"/>
      <w:start w:val="1"/>
    </w:lvl>
  </w:abstractNum>
  <w:abstractNum w:abstractNumId="41">
    <w:nsid w:val="475E256A"/>
    <w:multiLevelType w:val="hybridMultilevel"/>
    <w:lvl w:ilvl="0">
      <w:lvlJc w:val="left"/>
      <w:lvlText w:val="●"/>
      <w:numFmt w:val="bullet"/>
      <w:start w:val="1"/>
    </w:lvl>
  </w:abstractNum>
  <w:abstractNum w:abstractNumId="42">
    <w:nsid w:val="368DB37E"/>
    <w:multiLevelType w:val="hybridMultilevel"/>
    <w:lvl w:ilvl="0">
      <w:lvlJc w:val="left"/>
      <w:lvlText w:val="●"/>
      <w:numFmt w:val="bullet"/>
      <w:start w:val="1"/>
    </w:lvl>
  </w:abstractNum>
  <w:abstractNum w:abstractNumId="43">
    <w:nsid w:val="6A3B714C"/>
    <w:multiLevelType w:val="hybridMultilevel"/>
    <w:lvl w:ilvl="0">
      <w:lvlJc w:val="left"/>
      <w:lvlText w:val="●"/>
      <w:numFmt w:val="bullet"/>
      <w:start w:val="1"/>
    </w:lvl>
  </w:abstractNum>
  <w:abstractNum w:abstractNumId="44">
    <w:nsid w:val="327B517E"/>
    <w:multiLevelType w:val="hybridMultilevel"/>
    <w:lvl w:ilvl="0">
      <w:lvlJc w:val="left"/>
      <w:lvlText w:val="(%1)"/>
      <w:numFmt w:val="upperLetter"/>
      <w:start w:val="2"/>
    </w:lvl>
  </w:abstractNum>
  <w:abstractNum w:abstractNumId="45">
    <w:nsid w:val="1F461B51"/>
    <w:multiLevelType w:val="hybridMultilevel"/>
    <w:lvl w:ilvl="0">
      <w:lvlJc w:val="left"/>
      <w:lvlText w:val="%1."/>
      <w:numFmt w:val="decimal"/>
      <w:start w:val="1"/>
    </w:lvl>
  </w:abstractNum>
  <w:abstractNum w:abstractNumId="46">
    <w:nsid w:val="29BACF25"/>
    <w:multiLevelType w:val="hybridMultilevel"/>
    <w:lvl w:ilvl="0">
      <w:lvlJc w:val="left"/>
      <w:lvlText w:val="(%1)"/>
      <w:numFmt w:val="lowerLetter"/>
      <w:start w:val="1"/>
    </w:lvl>
    <w:lvl w:ilvl="1">
      <w:lvlJc w:val="left"/>
      <w:lvlText w:val="(%2)"/>
      <w:numFmt w:val="lowerRoman"/>
      <w:start w:val="1"/>
    </w:lvl>
  </w:abstractNum>
  <w:abstractNum w:abstractNumId="47">
    <w:nsid w:val="5D5BABB3"/>
    <w:multiLevelType w:val="hybridMultilevel"/>
    <w:lvl w:ilvl="0">
      <w:lvlJc w:val="left"/>
      <w:lvlText w:val="%1"/>
      <w:numFmt w:val="lowerLetter"/>
      <w:start w:val="1"/>
    </w:lvl>
    <w:lvl w:ilvl="1">
      <w:lvlJc w:val="left"/>
      <w:lvlText w:val="(%2)"/>
      <w:numFmt w:val="lowerRoman"/>
      <w:start w:val="3"/>
    </w:lvl>
  </w:abstractNum>
  <w:abstractNum w:abstractNumId="48">
    <w:nsid w:val="51BF6B48"/>
    <w:multiLevelType w:val="hybridMultilevel"/>
    <w:lvl w:ilvl="0">
      <w:lvlJc w:val="left"/>
      <w:lvlText w:val="(%1)"/>
      <w:numFmt w:val="lowerLetter"/>
      <w:start w:val="4"/>
    </w:lvl>
    <w:lvl w:ilvl="1">
      <w:lvlJc w:val="left"/>
      <w:lvlText w:val="%2"/>
      <w:numFmt w:val="lowerRoman"/>
      <w:start w:val="1"/>
    </w:lvl>
  </w:abstractNum>
  <w:abstractNum w:abstractNumId="49">
    <w:nsid w:val="7E0F6384"/>
    <w:multiLevelType w:val="hybridMultilevel"/>
    <w:lvl w:ilvl="0">
      <w:lvlJc w:val="left"/>
      <w:lvlText w:val="(%1)"/>
      <w:numFmt w:val="lowerLetter"/>
      <w:start w:val="10"/>
    </w:lvl>
  </w:abstractNum>
  <w:abstractNum w:abstractNumId="50">
    <w:nsid w:val="2B4B8B53"/>
    <w:multiLevelType w:val="hybridMultilevel"/>
    <w:lvl w:ilvl="0">
      <w:lvlJc w:val="left"/>
      <w:lvlText w:val="(%1)"/>
      <w:numFmt w:val="lowerLetter"/>
      <w:start w:val="15"/>
    </w:lvl>
  </w:abstractNum>
  <w:abstractNum w:abstractNumId="51">
    <w:nsid w:val="72E3413A"/>
    <w:multiLevelType w:val="hybridMultilevel"/>
    <w:lvl w:ilvl="0">
      <w:lvlJc w:val="left"/>
      <w:lvlText w:val="%1."/>
      <w:numFmt w:val="decimal"/>
      <w:start w:val="3"/>
    </w:lvl>
  </w:abstractNum>
  <w:abstractNum w:abstractNumId="52">
    <w:nsid w:val="116AE494"/>
    <w:multiLevelType w:val="hybridMultilevel"/>
    <w:lvl w:ilvl="0">
      <w:lvlJc w:val="left"/>
      <w:lvlText w:val="%1."/>
      <w:numFmt w:val="decimal"/>
      <w:start w:val="6"/>
    </w:lvl>
  </w:abstractNum>
  <w:abstractNum w:abstractNumId="53">
    <w:nsid w:val="3494B2FB"/>
    <w:multiLevelType w:val="hybridMultilevel"/>
    <w:lvl w:ilvl="0">
      <w:lvlJc w:val="left"/>
      <w:lvlText w:val="(%1)"/>
      <w:numFmt w:val="lowerLetter"/>
      <w:start w:val="1"/>
    </w:lvl>
  </w:abstractNum>
  <w:abstractNum w:abstractNumId="54">
    <w:nsid w:val="B13A31"/>
    <w:multiLevelType w:val="hybridMultilevel"/>
    <w:lvl w:ilvl="0">
      <w:lvlJc w:val="left"/>
      <w:lvlText w:val="%1."/>
      <w:numFmt w:val="decimal"/>
      <w:start w:val="9"/>
    </w:lvl>
  </w:abstractNum>
  <w:abstractNum w:abstractNumId="55">
    <w:nsid w:val="64429599"/>
    <w:multiLevelType w:val="hybridMultilevel"/>
    <w:lvl w:ilvl="0">
      <w:lvlJc w:val="left"/>
      <w:lvlText w:val="(%1)"/>
      <w:numFmt w:val="lowerLetter"/>
      <w:start w:val="1"/>
    </w:lvl>
  </w:abstractNum>
  <w:abstractNum w:abstractNumId="56">
    <w:nsid w:val="631F1690"/>
    <w:multiLevelType w:val="hybridMultilevel"/>
    <w:lvl w:ilvl="0">
      <w:lvlJc w:val="left"/>
      <w:lvlText w:val="(%1)"/>
      <w:numFmt w:val="lowerLetter"/>
      <w:start w:val="2"/>
    </w:lvl>
  </w:abstractNum>
  <w:abstractNum w:abstractNumId="57">
    <w:nsid w:val="25973E32"/>
    <w:multiLevelType w:val="hybridMultilevel"/>
    <w:lvl w:ilvl="0">
      <w:lvlJc w:val="left"/>
      <w:lvlText w:val="(%1)"/>
      <w:numFmt w:val="lowerLetter"/>
      <w:start w:val="1"/>
    </w:lvl>
  </w:abstractNum>
  <w:abstractNum w:abstractNumId="58">
    <w:nsid w:val="EAD6F57"/>
    <w:multiLevelType w:val="hybridMultilevel"/>
    <w:lvl w:ilvl="0">
      <w:lvlJc w:val="left"/>
      <w:lvlText w:val="(%1)"/>
      <w:numFmt w:val="lowerLetter"/>
      <w:start w:val="1"/>
    </w:lvl>
  </w:abstractNum>
  <w:abstractNum w:abstractNumId="59">
    <w:nsid w:val="6EC9D844"/>
    <w:multiLevelType w:val="hybridMultilevel"/>
    <w:lvl w:ilvl="0">
      <w:lvlJc w:val="left"/>
      <w:lvlText w:val="(%1)"/>
      <w:numFmt w:val="lowerLetter"/>
      <w:start w:val="2"/>
    </w:lvl>
  </w:abstractNum>
  <w:abstractNum w:abstractNumId="60">
    <w:nsid w:val="5C49EAEE"/>
    <w:multiLevelType w:val="hybridMultilevel"/>
    <w:lvl w:ilvl="0">
      <w:lvlJc w:val="left"/>
      <w:lvlText w:val="(%1)"/>
      <w:numFmt w:val="lowerLetter"/>
      <w:start w:val="1"/>
    </w:lvl>
  </w:abstractNum>
  <w:abstractNum w:abstractNumId="61">
    <w:nsid w:val="64AF49B"/>
    <w:multiLevelType w:val="hybridMultilevel"/>
    <w:lvl w:ilvl="0">
      <w:lvlJc w:val="left"/>
      <w:lvlText w:val="(%1)"/>
      <w:numFmt w:val="lowerLetter"/>
      <w:start w:val="3"/>
    </w:lvl>
  </w:abstractNum>
  <w:abstractNum w:abstractNumId="62">
    <w:nsid w:val="397C46BC"/>
    <w:multiLevelType w:val="hybridMultilevel"/>
    <w:lvl w:ilvl="0">
      <w:lvlJc w:val="left"/>
      <w:lvlText w:val="(%1)"/>
      <w:numFmt w:val="lowerLetter"/>
      <w:start w:val="1"/>
    </w:lvl>
  </w:abstractNum>
  <w:abstractNum w:abstractNumId="63">
    <w:nsid w:val="7E448DE9"/>
    <w:multiLevelType w:val="hybridMultilevel"/>
    <w:lvl w:ilvl="0">
      <w:lvlJc w:val="left"/>
      <w:lvlText w:val="(%1)"/>
      <w:numFmt w:val="lowerLetter"/>
      <w:start w:val="5"/>
    </w:lvl>
  </w:abstractNum>
  <w:abstractNum w:abstractNumId="64">
    <w:nsid w:val="5A9CC3E5"/>
    <w:multiLevelType w:val="hybridMultilevel"/>
    <w:lvl w:ilvl="0">
      <w:lvlJc w:val="left"/>
      <w:lvlText w:val="(%1)"/>
      <w:numFmt w:val="lowerLetter"/>
      <w:start w:val="1"/>
    </w:lvl>
  </w:abstractNum>
  <w:abstractNum w:abstractNumId="65">
    <w:nsid w:val="1AFE3625"/>
    <w:multiLevelType w:val="hybridMultilevel"/>
    <w:lvl w:ilvl="0">
      <w:lvlJc w:val="left"/>
      <w:lvlText w:val="(%1)"/>
      <w:numFmt w:val="lowerLetter"/>
      <w:start w:val="5"/>
    </w:lvl>
  </w:abstractNum>
  <w:abstractNum w:abstractNumId="66">
    <w:nsid w:val="3CA88ECF"/>
    <w:multiLevelType w:val="hybridMultilevel"/>
    <w:lvl w:ilvl="0">
      <w:lvlJc w:val="left"/>
      <w:lvlText w:val="%1."/>
      <w:numFmt w:val="decimal"/>
      <w:start w:val="15"/>
    </w:lvl>
  </w:abstractNum>
  <w:abstractNum w:abstractNumId="67">
    <w:nsid w:val="6EBE4208"/>
    <w:multiLevelType w:val="hybridMultilevel"/>
    <w:lvl w:ilvl="0">
      <w:lvlJc w:val="left"/>
      <w:lvlText w:val="(%1)"/>
      <w:numFmt w:val="lowerLetter"/>
      <w:start w:val="1"/>
    </w:lvl>
  </w:abstractNum>
  <w:abstractNum w:abstractNumId="68">
    <w:nsid w:val="C058DF5"/>
    <w:multiLevelType w:val="hybridMultilevel"/>
    <w:lvl w:ilvl="0">
      <w:lvlJc w:val="left"/>
      <w:lvlText w:val="(%1)"/>
      <w:numFmt w:val="lowerLetter"/>
      <w:start w:val="2"/>
    </w:lvl>
  </w:abstractNum>
  <w:abstractNum w:abstractNumId="69">
    <w:nsid w:val="CBE5BE9"/>
    <w:multiLevelType w:val="hybridMultilevel"/>
    <w:lvl w:ilvl="0">
      <w:lvlJc w:val="left"/>
      <w:lvlText w:val="%1"/>
      <w:numFmt w:val="lowerLetter"/>
      <w:start w:val="1"/>
    </w:lvl>
    <w:lvl w:ilvl="1">
      <w:lvlJc w:val="left"/>
      <w:lvlText w:val="(%2)"/>
      <w:numFmt w:val="lowerLetter"/>
      <w:start w:val="6"/>
    </w:lvl>
  </w:abstractNum>
  <w:abstractNum w:abstractNumId="70">
    <w:nsid w:val="3102BBE2"/>
    <w:multiLevelType w:val="hybridMultilevel"/>
    <w:lvl w:ilvl="0">
      <w:lvlJc w:val="left"/>
      <w:lvlText w:val="(%1)"/>
      <w:numFmt w:val="lowerLetter"/>
      <w:start w:val="35"/>
    </w:lvl>
    <w:lvl w:ilvl="1">
      <w:lvlJc w:val="left"/>
      <w:lvlText w:val="%2"/>
      <w:numFmt w:val="lowerLetter"/>
      <w:start w:val="1"/>
    </w:lvl>
  </w:abstractNum>
  <w:abstractNum w:abstractNumId="71">
    <w:nsid w:val="26A02C5E"/>
    <w:multiLevelType w:val="hybridMultilevel"/>
    <w:lvl w:ilvl="0">
      <w:lvlJc w:val="left"/>
      <w:lvlText w:val="%1."/>
      <w:numFmt w:val="decimal"/>
      <w:start w:val="17"/>
    </w:lvl>
  </w:abstractNum>
  <w:abstractNum w:abstractNumId="72">
    <w:nsid w:val="541C8153"/>
    <w:multiLevelType w:val="hybridMultilevel"/>
    <w:lvl w:ilvl="0">
      <w:lvlJc w:val="left"/>
      <w:lvlText w:val="(%1)"/>
      <w:numFmt w:val="lowerLetter"/>
      <w:start w:val="1"/>
    </w:lvl>
  </w:abstractNum>
  <w:abstractNum w:abstractNumId="73">
    <w:nsid w:val="67906F60"/>
    <w:multiLevelType w:val="hybridMultilevel"/>
    <w:lvl w:ilvl="0">
      <w:lvlJc w:val="left"/>
      <w:lvlText w:val="(%1)"/>
      <w:numFmt w:val="lowerLetter"/>
      <w:start w:val="3"/>
    </w:lvl>
  </w:abstractNum>
  <w:abstractNum w:abstractNumId="74">
    <w:nsid w:val="10DB9DAA"/>
    <w:multiLevelType w:val="hybridMultilevel"/>
    <w:lvl w:ilvl="0">
      <w:lvlJc w:val="left"/>
      <w:lvlText w:val="%1."/>
      <w:numFmt w:val="decimal"/>
      <w:start w:val="20"/>
    </w:lvl>
  </w:abstractNum>
  <w:abstractNum w:abstractNumId="75">
    <w:nsid w:val="697D2D2"/>
    <w:multiLevelType w:val="hybridMultilevel"/>
    <w:lvl w:ilvl="0">
      <w:lvlJc w:val="left"/>
      <w:lvlText w:val="(%1)"/>
      <w:numFmt w:val="lowerLetter"/>
      <w:start w:val="1"/>
    </w:lvl>
  </w:abstractNum>
  <w:abstractNum w:abstractNumId="76">
    <w:nsid w:val="6D68AB2"/>
    <w:multiLevelType w:val="hybridMultilevel"/>
    <w:lvl w:ilvl="0">
      <w:lvlJc w:val="left"/>
      <w:lvlText w:val="%1"/>
      <w:numFmt w:val="lowerLetter"/>
      <w:start w:val="1"/>
    </w:lvl>
    <w:lvl w:ilvl="1">
      <w:lvlJc w:val="left"/>
      <w:lvlText w:val="%2"/>
      <w:numFmt w:val="decimal"/>
      <w:start w:val="1"/>
    </w:lvl>
    <w:lvl w:ilvl="2">
      <w:lvlJc w:val="left"/>
      <w:lvlText w:val="%3."/>
      <w:numFmt w:val="decimal"/>
      <w:start w:val="22"/>
    </w:lvl>
  </w:abstractNum>
  <w:abstractNum w:abstractNumId="77">
    <w:nsid w:val="3A966CD0"/>
    <w:multiLevelType w:val="hybridMultilevel"/>
    <w:lvl w:ilvl="0">
      <w:lvlJc w:val="left"/>
      <w:lvlText w:val="(%1)"/>
      <w:numFmt w:val="lowerLetter"/>
      <w:start w:val="3"/>
    </w:lvl>
    <w:lvl w:ilvl="1">
      <w:lvlJc w:val="left"/>
      <w:lvlText w:val="%2."/>
      <w:numFmt w:val="decimal"/>
      <w:start w:val="23"/>
    </w:lvl>
    <w:lvl w:ilvl="2">
      <w:lvlJc w:val="left"/>
      <w:lvlText w:val="%3"/>
      <w:numFmt w:val="decimal"/>
      <w:start w:val="1"/>
    </w:lvl>
  </w:abstractNum>
  <w:abstractNum w:abstractNumId="78">
    <w:nsid w:val="63F37E85"/>
    <w:multiLevelType w:val="hybridMultilevel"/>
    <w:lvl w:ilvl="0">
      <w:lvlJc w:val="left"/>
      <w:lvlText w:val="%1."/>
      <w:numFmt w:val="decimal"/>
      <w:start w:val="27"/>
    </w:lvl>
  </w:abstractNum>
  <w:abstractNum w:abstractNumId="79">
    <w:nsid w:val="5895F5FA"/>
    <w:multiLevelType w:val="hybridMultilevel"/>
    <w:lvl w:ilvl="0">
      <w:lvlJc w:val="left"/>
      <w:lvlText w:val="%1."/>
      <w:numFmt w:val="decimal"/>
      <w:start w:val="1"/>
    </w:lvl>
  </w:abstractNum>
  <w:abstractNum w:abstractNumId="80">
    <w:nsid w:val="38A5D054"/>
    <w:multiLevelType w:val="hybridMultilevel"/>
    <w:lvl w:ilvl="0">
      <w:lvlJc w:val="left"/>
      <w:lvlText w:val="(%1)"/>
      <w:numFmt w:val="lowerLetter"/>
      <w:start w:val="1"/>
    </w:lvl>
    <w:lvl w:ilvl="1">
      <w:lvlJc w:val="left"/>
      <w:lvlText w:val="(%2)"/>
      <w:numFmt w:val="lowerRoman"/>
      <w:start w:val="1"/>
    </w:lvl>
  </w:abstractNum>
  <w:abstractNum w:abstractNumId="81">
    <w:nsid w:val="F3F09D8"/>
    <w:multiLevelType w:val="hybridMultilevel"/>
    <w:lvl w:ilvl="0">
      <w:lvlJc w:val="left"/>
      <w:lvlText w:val="%1"/>
      <w:numFmt w:val="lowerLetter"/>
      <w:start w:val="1"/>
    </w:lvl>
    <w:lvl w:ilvl="1">
      <w:lvlJc w:val="left"/>
      <w:lvlText w:val="(%2)"/>
      <w:numFmt w:val="lowerRoman"/>
      <w:start w:val="3"/>
    </w:lvl>
  </w:abstractNum>
  <w:abstractNum w:abstractNumId="82">
    <w:nsid w:val="4B793735"/>
    <w:multiLevelType w:val="hybridMultilevel"/>
    <w:lvl w:ilvl="0">
      <w:lvlJc w:val="left"/>
      <w:lvlText w:val="(%1)"/>
      <w:numFmt w:val="lowerLetter"/>
      <w:start w:val="4"/>
    </w:lvl>
    <w:lvl w:ilvl="1">
      <w:lvlJc w:val="left"/>
      <w:lvlText w:val="%2"/>
      <w:numFmt w:val="lowerRoman"/>
      <w:start w:val="1"/>
    </w:lvl>
  </w:abstractNum>
  <w:abstractNum w:abstractNumId="83">
    <w:nsid w:val="4A10B4E8"/>
    <w:multiLevelType w:val="hybridMultilevel"/>
    <w:lvl w:ilvl="0">
      <w:lvlJc w:val="left"/>
      <w:lvlText w:val="(%1)"/>
      <w:numFmt w:val="lowerLetter"/>
      <w:start w:val="10"/>
    </w:lvl>
  </w:abstractNum>
  <w:abstractNum w:abstractNumId="84">
    <w:nsid w:val="43D3BCD4"/>
    <w:multiLevelType w:val="hybridMultilevel"/>
    <w:lvl w:ilvl="0">
      <w:lvlJc w:val="left"/>
      <w:lvlText w:val="(%1)"/>
      <w:numFmt w:val="lowerLetter"/>
      <w:start w:val="15"/>
    </w:lvl>
  </w:abstractNum>
  <w:abstractNum w:abstractNumId="85">
    <w:nsid w:val="4C2A7166"/>
    <w:multiLevelType w:val="hybridMultilevel"/>
    <w:lvl w:ilvl="0">
      <w:lvlJc w:val="left"/>
      <w:lvlText w:val="%1."/>
      <w:numFmt w:val="decimal"/>
      <w:start w:val="3"/>
    </w:lvl>
  </w:abstractNum>
  <w:abstractNum w:abstractNumId="86">
    <w:nsid w:val="2E534A82"/>
    <w:multiLevelType w:val="hybridMultilevel"/>
    <w:lvl w:ilvl="0">
      <w:lvlJc w:val="left"/>
      <w:lvlText w:val="%1."/>
      <w:numFmt w:val="decimal"/>
      <w:start w:val="6"/>
    </w:lvl>
  </w:abstractNum>
  <w:abstractNum w:abstractNumId="87">
    <w:nsid w:val="26F2D364"/>
    <w:multiLevelType w:val="hybridMultilevel"/>
    <w:lvl w:ilvl="0">
      <w:lvlJc w:val="left"/>
      <w:lvlText w:val="(%1)"/>
      <w:numFmt w:val="lowerLetter"/>
      <w:start w:val="1"/>
    </w:lvl>
  </w:abstractNum>
  <w:abstractNum w:abstractNumId="88">
    <w:nsid w:val="71C1AF98"/>
    <w:multiLevelType w:val="hybridMultilevel"/>
    <w:lvl w:ilvl="0">
      <w:lvlJc w:val="left"/>
      <w:lvlText w:val="%1."/>
      <w:numFmt w:val="decimal"/>
      <w:start w:val="9"/>
    </w:lvl>
  </w:abstractNum>
  <w:abstractNum w:abstractNumId="89">
    <w:nsid w:val="3D00B9D9"/>
    <w:multiLevelType w:val="hybridMultilevel"/>
    <w:lvl w:ilvl="0">
      <w:lvlJc w:val="left"/>
      <w:lvlText w:val="(%1)"/>
      <w:numFmt w:val="lowerLetter"/>
      <w:start w:val="1"/>
    </w:lvl>
  </w:abstractNum>
  <w:abstractNum w:abstractNumId="90">
    <w:nsid w:val="15BCABA8"/>
    <w:multiLevelType w:val="hybridMultilevel"/>
    <w:lvl w:ilvl="0">
      <w:lvlJc w:val="left"/>
      <w:lvlText w:val="(%1)"/>
      <w:numFmt w:val="lowerLetter"/>
      <w:start w:val="2"/>
    </w:lvl>
  </w:abstractNum>
  <w:abstractNum w:abstractNumId="91">
    <w:nsid w:val="4E0B9A87"/>
    <w:multiLevelType w:val="hybridMultilevel"/>
    <w:lvl w:ilvl="0">
      <w:lvlJc w:val="left"/>
      <w:lvlText w:val="(%1)"/>
      <w:numFmt w:val="lowerLetter"/>
      <w:start w:val="1"/>
    </w:lvl>
  </w:abstractNum>
  <w:abstractNum w:abstractNumId="92">
    <w:nsid w:val="434BAE75"/>
    <w:multiLevelType w:val="hybridMultilevel"/>
    <w:lvl w:ilvl="0">
      <w:lvlJc w:val="left"/>
      <w:lvlText w:val="(%1)"/>
      <w:numFmt w:val="lowerLetter"/>
      <w:start w:val="1"/>
    </w:lvl>
  </w:abstractNum>
  <w:abstractNum w:abstractNumId="93">
    <w:nsid w:val="4F38F265"/>
    <w:multiLevelType w:val="hybridMultilevel"/>
    <w:lvl w:ilvl="0">
      <w:lvlJc w:val="left"/>
      <w:lvlText w:val="(%1)"/>
      <w:numFmt w:val="lowerLetter"/>
      <w:start w:val="2"/>
    </w:lvl>
  </w:abstractNum>
  <w:abstractNum w:abstractNumId="94">
    <w:nsid w:val="4C502870"/>
    <w:multiLevelType w:val="hybridMultilevel"/>
    <w:lvl w:ilvl="0">
      <w:lvlJc w:val="left"/>
      <w:lvlText w:val="(%1)"/>
      <w:numFmt w:val="lowerLetter"/>
      <w:start w:val="1"/>
    </w:lvl>
  </w:abstractNum>
  <w:abstractNum w:abstractNumId="95">
    <w:nsid w:val="1DE8725A"/>
    <w:multiLevelType w:val="hybridMultilevel"/>
    <w:lvl w:ilvl="0">
      <w:lvlJc w:val="left"/>
      <w:lvlText w:val="(%1)"/>
      <w:numFmt w:val="lowerLetter"/>
      <w:start w:val="3"/>
    </w:lvl>
  </w:abstractNum>
  <w:abstractNum w:abstractNumId="96">
    <w:nsid w:val="6A37288A"/>
    <w:multiLevelType w:val="hybridMultilevel"/>
    <w:lvl w:ilvl="0">
      <w:lvlJc w:val="left"/>
      <w:lvlText w:val="(%1)"/>
      <w:numFmt w:val="lowerLetter"/>
      <w:start w:val="1"/>
    </w:lvl>
  </w:abstractNum>
  <w:abstractNum w:abstractNumId="97">
    <w:nsid w:val="8F8B73F"/>
    <w:multiLevelType w:val="hybridMultilevel"/>
    <w:lvl w:ilvl="0">
      <w:lvlJc w:val="left"/>
      <w:lvlText w:val="(%1)"/>
      <w:numFmt w:val="lowerLetter"/>
      <w:start w:val="5"/>
    </w:lvl>
  </w:abstractNum>
  <w:abstractNum w:abstractNumId="98">
    <w:nsid w:val="CA6B462"/>
    <w:multiLevelType w:val="hybridMultilevel"/>
    <w:lvl w:ilvl="0">
      <w:lvlJc w:val="left"/>
      <w:lvlText w:val="(%1)"/>
      <w:numFmt w:val="lowerLetter"/>
      <w:start w:val="1"/>
    </w:lvl>
  </w:abstractNum>
  <w:abstractNum w:abstractNumId="99">
    <w:nsid w:val="763CB680"/>
    <w:multiLevelType w:val="hybridMultilevel"/>
    <w:lvl w:ilvl="0">
      <w:lvlJc w:val="left"/>
      <w:lvlText w:val="(%1)"/>
      <w:numFmt w:val="lowerLetter"/>
      <w:start w:val="5"/>
    </w:lvl>
  </w:abstractNum>
  <w:abstractNum w:abstractNumId="100">
    <w:nsid w:val="15B71329"/>
    <w:multiLevelType w:val="hybridMultilevel"/>
    <w:lvl w:ilvl="0">
      <w:lvlJc w:val="left"/>
      <w:lvlText w:val="%1."/>
      <w:numFmt w:val="decimal"/>
      <w:start w:val="15"/>
    </w:lvl>
  </w:abstractNum>
  <w:abstractNum w:abstractNumId="101">
    <w:nsid w:val="3DA97044"/>
    <w:multiLevelType w:val="hybridMultilevel"/>
    <w:lvl w:ilvl="0">
      <w:lvlJc w:val="left"/>
      <w:lvlText w:val="(%1)"/>
      <w:numFmt w:val="lowerLetter"/>
      <w:start w:val="1"/>
    </w:lvl>
  </w:abstractNum>
  <w:abstractNum w:abstractNumId="102">
    <w:nsid w:val="1CDCE2DE"/>
    <w:multiLevelType w:val="hybridMultilevel"/>
    <w:lvl w:ilvl="0">
      <w:lvlJc w:val="left"/>
      <w:lvlText w:val="(%1)"/>
      <w:numFmt w:val="lowerLetter"/>
      <w:start w:val="2"/>
    </w:lvl>
  </w:abstractNum>
  <w:abstractNum w:abstractNumId="103">
    <w:nsid w:val="69D3947C"/>
    <w:multiLevelType w:val="hybridMultilevel"/>
    <w:lvl w:ilvl="0">
      <w:lvlJc w:val="left"/>
      <w:lvlText w:val="%1"/>
      <w:numFmt w:val="lowerLetter"/>
      <w:start w:val="1"/>
    </w:lvl>
    <w:lvl w:ilvl="1">
      <w:lvlJc w:val="left"/>
      <w:lvlText w:val="(%2)"/>
      <w:numFmt w:val="lowerLetter"/>
      <w:start w:val="6"/>
    </w:lvl>
  </w:abstractNum>
  <w:abstractNum w:abstractNumId="104">
    <w:nsid w:val="2539DFA5"/>
    <w:multiLevelType w:val="hybridMultilevel"/>
    <w:lvl w:ilvl="0">
      <w:lvlJc w:val="left"/>
      <w:lvlText w:val="(%1)"/>
      <w:numFmt w:val="lowerLetter"/>
      <w:start w:val="35"/>
    </w:lvl>
    <w:lvl w:ilvl="1">
      <w:lvlJc w:val="left"/>
      <w:lvlText w:val="%2"/>
      <w:numFmt w:val="lowerLetter"/>
      <w:start w:val="1"/>
    </w:lvl>
  </w:abstractNum>
  <w:abstractNum w:abstractNumId="105">
    <w:nsid w:val="2DB88089"/>
    <w:multiLevelType w:val="hybridMultilevel"/>
    <w:lvl w:ilvl="0">
      <w:lvlJc w:val="left"/>
      <w:lvlText w:val="%1."/>
      <w:numFmt w:val="decimal"/>
      <w:start w:val="17"/>
    </w:lvl>
  </w:abstractNum>
  <w:abstractNum w:abstractNumId="106">
    <w:nsid w:val="706B674E"/>
    <w:multiLevelType w:val="hybridMultilevel"/>
    <w:lvl w:ilvl="0">
      <w:lvlJc w:val="left"/>
      <w:lvlText w:val="(%1)"/>
      <w:numFmt w:val="lowerLetter"/>
      <w:start w:val="1"/>
    </w:lvl>
  </w:abstractNum>
  <w:abstractNum w:abstractNumId="107">
    <w:nsid w:val="2C106A57"/>
    <w:multiLevelType w:val="hybridMultilevel"/>
    <w:lvl w:ilvl="0">
      <w:lvlJc w:val="left"/>
      <w:lvlText w:val="(%1)"/>
      <w:numFmt w:val="lowerLetter"/>
      <w:start w:val="3"/>
    </w:lvl>
  </w:abstractNum>
  <w:abstractNum w:abstractNumId="108">
    <w:nsid w:val="684EED59"/>
    <w:multiLevelType w:val="hybridMultilevel"/>
    <w:lvl w:ilvl="0">
      <w:lvlJc w:val="left"/>
      <w:lvlText w:val="%1."/>
      <w:numFmt w:val="decimal"/>
      <w:start w:val="20"/>
    </w:lvl>
  </w:abstractNum>
  <w:abstractNum w:abstractNumId="109">
    <w:nsid w:val="545EE5D3"/>
    <w:multiLevelType w:val="hybridMultilevel"/>
    <w:lvl w:ilvl="0">
      <w:lvlJc w:val="left"/>
      <w:lvlText w:val="(%1)"/>
      <w:numFmt w:val="lowerLetter"/>
      <w:start w:val="1"/>
    </w:lvl>
  </w:abstractNum>
  <w:abstractNum w:abstractNumId="110">
    <w:nsid w:val="4A66051"/>
    <w:multiLevelType w:val="hybridMultilevel"/>
    <w:lvl w:ilvl="0">
      <w:lvlJc w:val="left"/>
      <w:lvlText w:val="%1"/>
      <w:numFmt w:val="lowerLetter"/>
      <w:start w:val="1"/>
    </w:lvl>
    <w:lvl w:ilvl="1">
      <w:lvlJc w:val="left"/>
      <w:lvlText w:val="%2"/>
      <w:numFmt w:val="decimal"/>
      <w:start w:val="1"/>
    </w:lvl>
    <w:lvl w:ilvl="2">
      <w:lvlJc w:val="left"/>
      <w:lvlText w:val="%3."/>
      <w:numFmt w:val="decimal"/>
      <w:start w:val="22"/>
    </w:lvl>
  </w:abstractNum>
  <w:abstractNum w:abstractNumId="111">
    <w:nsid w:val="20F4BDAD"/>
    <w:multiLevelType w:val="hybridMultilevel"/>
    <w:lvl w:ilvl="0">
      <w:lvlJc w:val="left"/>
      <w:lvlText w:val="(%1)"/>
      <w:numFmt w:val="lowerLetter"/>
      <w:start w:val="3"/>
    </w:lvl>
    <w:lvl w:ilvl="1">
      <w:lvlJc w:val="left"/>
      <w:lvlText w:val="%2."/>
      <w:numFmt w:val="decimal"/>
      <w:start w:val="23"/>
    </w:lvl>
    <w:lvl w:ilvl="2">
      <w:lvlJc w:val="left"/>
      <w:lvlText w:val="%3"/>
      <w:numFmt w:val="decimal"/>
      <w:start w:val="1"/>
    </w:lvl>
  </w:abstractNum>
  <w:abstractNum w:abstractNumId="112">
    <w:nsid w:val="639DEFAC"/>
    <w:multiLevelType w:val="hybridMultilevel"/>
    <w:lvl w:ilvl="0">
      <w:lvlJc w:val="left"/>
      <w:lvlText w:val="%1."/>
      <w:numFmt w:val="decimal"/>
      <w:start w:val="27"/>
    </w:lvl>
  </w:abstractNum>
  <w:abstractNum w:abstractNumId="113">
    <w:nsid w:val="501F9786"/>
    <w:multiLevelType w:val="hybridMultilevel"/>
    <w:lvl w:ilvl="0">
      <w:lvlJc w:val="left"/>
      <w:lvlText w:val="%1."/>
      <w:numFmt w:val="decimal"/>
      <w:start w:val="1"/>
    </w:lvl>
  </w:abstractNum>
  <w:abstractNum w:abstractNumId="114">
    <w:nsid w:val="6B057295"/>
    <w:multiLevelType w:val="hybridMultilevel"/>
    <w:lvl w:ilvl="0">
      <w:lvlJc w:val="left"/>
      <w:lvlText w:val="(%1)"/>
      <w:numFmt w:val="lowerLetter"/>
      <w:start w:val="1"/>
    </w:lvl>
    <w:lvl w:ilvl="1">
      <w:lvlJc w:val="left"/>
      <w:lvlText w:val="(%2)"/>
      <w:numFmt w:val="lowerRoman"/>
      <w:start w:val="1"/>
    </w:lvl>
  </w:abstractNum>
  <w:abstractNum w:abstractNumId="115">
    <w:nsid w:val="2771AC80"/>
    <w:multiLevelType w:val="hybridMultilevel"/>
    <w:lvl w:ilvl="0">
      <w:lvlJc w:val="left"/>
      <w:lvlText w:val="%1"/>
      <w:numFmt w:val="lowerLetter"/>
      <w:start w:val="1"/>
    </w:lvl>
    <w:lvl w:ilvl="1">
      <w:lvlJc w:val="left"/>
      <w:lvlText w:val="(%2)"/>
      <w:numFmt w:val="lowerRoman"/>
      <w:start w:val="3"/>
    </w:lvl>
  </w:abstractNum>
  <w:abstractNum w:abstractNumId="116">
    <w:nsid w:val="1C4A08EC"/>
    <w:multiLevelType w:val="hybridMultilevel"/>
    <w:lvl w:ilvl="0">
      <w:lvlJc w:val="left"/>
      <w:lvlText w:val="(%1)"/>
      <w:numFmt w:val="lowerLetter"/>
      <w:start w:val="4"/>
    </w:lvl>
    <w:lvl w:ilvl="1">
      <w:lvlJc w:val="left"/>
      <w:lvlText w:val="%2"/>
      <w:numFmt w:val="lowerRoman"/>
      <w:start w:val="1"/>
    </w:lvl>
  </w:abstractNum>
  <w:abstractNum w:abstractNumId="117">
    <w:nsid w:val="1958BD17"/>
    <w:multiLevelType w:val="hybridMultilevel"/>
    <w:lvl w:ilvl="0">
      <w:lvlJc w:val="left"/>
      <w:lvlText w:val="(%1)"/>
      <w:numFmt w:val="lowerLetter"/>
      <w:start w:val="10"/>
    </w:lvl>
  </w:abstractNum>
  <w:abstractNum w:abstractNumId="118">
    <w:nsid w:val="4E647FE4"/>
    <w:multiLevelType w:val="hybridMultilevel"/>
    <w:lvl w:ilvl="0">
      <w:lvlJc w:val="left"/>
      <w:lvlText w:val="(%1)"/>
      <w:numFmt w:val="lowerLetter"/>
      <w:start w:val="15"/>
    </w:lvl>
  </w:abstractNum>
  <w:abstractNum w:abstractNumId="119">
    <w:nsid w:val="E0BB885"/>
    <w:multiLevelType w:val="hybridMultilevel"/>
    <w:lvl w:ilvl="0">
      <w:lvlJc w:val="left"/>
      <w:lvlText w:val="%1."/>
      <w:numFmt w:val="decimal"/>
      <w:start w:val="3"/>
    </w:lvl>
  </w:abstractNum>
  <w:abstractNum w:abstractNumId="120">
    <w:nsid w:val="565976F1"/>
    <w:multiLevelType w:val="hybridMultilevel"/>
    <w:lvl w:ilvl="0">
      <w:lvlJc w:val="left"/>
      <w:lvlText w:val="%1."/>
      <w:numFmt w:val="decimal"/>
      <w:start w:val="6"/>
    </w:lvl>
  </w:abstractNum>
  <w:abstractNum w:abstractNumId="121">
    <w:nsid w:val="64212B8C"/>
    <w:multiLevelType w:val="hybridMultilevel"/>
    <w:lvl w:ilvl="0">
      <w:lvlJc w:val="left"/>
      <w:lvlText w:val="(%1)"/>
      <w:numFmt w:val="lowerLetter"/>
      <w:start w:val="1"/>
    </w:lvl>
  </w:abstractNum>
  <w:abstractNum w:abstractNumId="122">
    <w:nsid w:val="5C17530C"/>
    <w:multiLevelType w:val="hybridMultilevel"/>
    <w:lvl w:ilvl="0">
      <w:lvlJc w:val="left"/>
      <w:lvlText w:val="%1."/>
      <w:numFmt w:val="decimal"/>
      <w:start w:val="9"/>
    </w:lvl>
  </w:abstractNum>
  <w:abstractNum w:abstractNumId="123">
    <w:nsid w:val="19A52566"/>
    <w:multiLevelType w:val="hybridMultilevel"/>
    <w:lvl w:ilvl="0">
      <w:lvlJc w:val="left"/>
      <w:lvlText w:val="(%1)"/>
      <w:numFmt w:val="lowerLetter"/>
      <w:start w:val="1"/>
    </w:lvl>
  </w:abstractNum>
  <w:abstractNum w:abstractNumId="124">
    <w:nsid w:val="335A1DF1"/>
    <w:multiLevelType w:val="hybridMultilevel"/>
    <w:lvl w:ilvl="0">
      <w:lvlJc w:val="left"/>
      <w:lvlText w:val="(%1)"/>
      <w:numFmt w:val="lowerLetter"/>
      <w:start w:val="2"/>
    </w:lvl>
  </w:abstractNum>
  <w:abstractNum w:abstractNumId="125">
    <w:nsid w:val="28677B7C"/>
    <w:multiLevelType w:val="hybridMultilevel"/>
    <w:lvl w:ilvl="0">
      <w:lvlJc w:val="left"/>
      <w:lvlText w:val="(%1)"/>
      <w:numFmt w:val="lowerLetter"/>
      <w:start w:val="1"/>
    </w:lvl>
  </w:abstractNum>
  <w:abstractNum w:abstractNumId="126">
    <w:nsid w:val="378D97C0"/>
    <w:multiLevelType w:val="hybridMultilevel"/>
    <w:lvl w:ilvl="0">
      <w:lvlJc w:val="left"/>
      <w:lvlText w:val="(%1)"/>
      <w:numFmt w:val="lowerLetter"/>
      <w:start w:val="1"/>
    </w:lvl>
  </w:abstractNum>
  <w:abstractNum w:abstractNumId="127">
    <w:nsid w:val="1D91467C"/>
    <w:multiLevelType w:val="hybridMultilevel"/>
    <w:lvl w:ilvl="0">
      <w:lvlJc w:val="left"/>
      <w:lvlText w:val="(%1)"/>
      <w:numFmt w:val="lowerLetter"/>
      <w:start w:val="1"/>
    </w:lvl>
  </w:abstractNum>
  <w:abstractNum w:abstractNumId="128">
    <w:nsid w:val="316032BB"/>
    <w:multiLevelType w:val="hybridMultilevel"/>
    <w:lvl w:ilvl="0">
      <w:lvlJc w:val="left"/>
      <w:lvlText w:val="(%1)"/>
      <w:numFmt w:val="lowerLetter"/>
      <w:start w:val="1"/>
    </w:lvl>
  </w:abstractNum>
  <w:abstractNum w:abstractNumId="129">
    <w:nsid w:val="44344C22"/>
    <w:multiLevelType w:val="hybridMultilevel"/>
    <w:lvl w:ilvl="0">
      <w:lvlJc w:val="left"/>
      <w:lvlText w:val="(%1)"/>
      <w:numFmt w:val="lowerLetter"/>
      <w:start w:val="1"/>
    </w:lvl>
  </w:abstractNum>
  <w:abstractNum w:abstractNumId="130">
    <w:nsid w:val="13CDFCFC"/>
    <w:multiLevelType w:val="hybridMultilevel"/>
    <w:lvl w:ilvl="0">
      <w:lvlJc w:val="left"/>
      <w:lvlText w:val="(%1)"/>
      <w:numFmt w:val="lowerLetter"/>
      <w:start w:val="5"/>
    </w:lvl>
  </w:abstractNum>
  <w:abstractNum w:abstractNumId="131">
    <w:nsid w:val="471745E4"/>
    <w:multiLevelType w:val="hybridMultilevel"/>
    <w:lvl w:ilvl="0">
      <w:lvlJc w:val="left"/>
      <w:lvlText w:val="%1."/>
      <w:numFmt w:val="decimal"/>
      <w:start w:val="15"/>
    </w:lvl>
  </w:abstractNum>
  <w:abstractNum w:abstractNumId="132">
    <w:nsid w:val="1DDBC66"/>
    <w:multiLevelType w:val="hybridMultilevel"/>
    <w:lvl w:ilvl="0">
      <w:lvlJc w:val="left"/>
      <w:lvlText w:val="(%1)"/>
      <w:numFmt w:val="lowerLetter"/>
      <w:start w:val="1"/>
    </w:lvl>
  </w:abstractNum>
  <w:abstractNum w:abstractNumId="133">
    <w:nsid w:val="30AADFDA"/>
    <w:multiLevelType w:val="hybridMultilevel"/>
    <w:lvl w:ilvl="0">
      <w:lvlJc w:val="left"/>
      <w:lvlText w:val="(%1)"/>
      <w:numFmt w:val="lowerLetter"/>
      <w:start w:val="2"/>
    </w:lvl>
  </w:abstractNum>
  <w:abstractNum w:abstractNumId="134">
    <w:nsid w:val="30EADA61"/>
    <w:multiLevelType w:val="hybridMultilevel"/>
    <w:lvl w:ilvl="0">
      <w:lvlJc w:val="left"/>
      <w:lvlText w:val="%1"/>
      <w:numFmt w:val="lowerLetter"/>
      <w:start w:val="1"/>
    </w:lvl>
    <w:lvl w:ilvl="1">
      <w:lvlJc w:val="left"/>
      <w:lvlText w:val="(%2)"/>
      <w:numFmt w:val="lowerLetter"/>
      <w:start w:val="6"/>
    </w:lvl>
  </w:abstractNum>
  <w:abstractNum w:abstractNumId="135">
    <w:nsid w:val="27179C0B"/>
    <w:multiLevelType w:val="hybridMultilevel"/>
    <w:lvl w:ilvl="0">
      <w:lvlJc w:val="left"/>
      <w:lvlText w:val="(%1)"/>
      <w:numFmt w:val="lowerLetter"/>
      <w:start w:val="35"/>
    </w:lvl>
    <w:lvl w:ilvl="1">
      <w:lvlJc w:val="left"/>
      <w:lvlText w:val="%2"/>
      <w:numFmt w:val="lowerLetter"/>
      <w:start w:val="1"/>
    </w:lvl>
  </w:abstractNum>
  <w:abstractNum w:abstractNumId="136">
    <w:nsid w:val="5E636063"/>
    <w:multiLevelType w:val="hybridMultilevel"/>
    <w:lvl w:ilvl="0">
      <w:lvlJc w:val="left"/>
      <w:lvlText w:val="%1."/>
      <w:numFmt w:val="decimal"/>
      <w:start w:val="17"/>
    </w:lvl>
  </w:abstractNum>
  <w:abstractNum w:abstractNumId="137">
    <w:nsid w:val="215641AF"/>
    <w:multiLevelType w:val="hybridMultilevel"/>
    <w:lvl w:ilvl="0">
      <w:lvlJc w:val="left"/>
      <w:lvlText w:val="(%1)"/>
      <w:numFmt w:val="lowerLetter"/>
      <w:start w:val="1"/>
    </w:lvl>
  </w:abstractNum>
  <w:abstractNum w:abstractNumId="138">
    <w:nsid w:val="53280662"/>
    <w:multiLevelType w:val="hybridMultilevel"/>
    <w:lvl w:ilvl="0">
      <w:lvlJc w:val="left"/>
      <w:lvlText w:val="(%1)"/>
      <w:numFmt w:val="lowerLetter"/>
      <w:start w:val="3"/>
    </w:lvl>
  </w:abstractNum>
  <w:abstractNum w:abstractNumId="139">
    <w:nsid w:val="46B24DBC"/>
    <w:multiLevelType w:val="hybridMultilevel"/>
    <w:lvl w:ilvl="0">
      <w:lvlJc w:val="left"/>
      <w:lvlText w:val="%1."/>
      <w:numFmt w:val="decimal"/>
      <w:start w:val="20"/>
    </w:lvl>
  </w:abstractNum>
  <w:abstractNum w:abstractNumId="140">
    <w:nsid w:val="75B52783"/>
    <w:multiLevelType w:val="hybridMultilevel"/>
    <w:lvl w:ilvl="0">
      <w:lvlJc w:val="left"/>
      <w:lvlText w:val="(%1)"/>
      <w:numFmt w:val="lowerLetter"/>
      <w:start w:val="1"/>
    </w:lvl>
  </w:abstractNum>
  <w:abstractNum w:abstractNumId="141">
    <w:nsid w:val="57CE66B4"/>
    <w:multiLevelType w:val="hybridMultilevel"/>
    <w:lvl w:ilvl="0">
      <w:lvlJc w:val="left"/>
      <w:lvlText w:val="%1."/>
      <w:numFmt w:val="decimal"/>
      <w:start w:val="22"/>
    </w:lvl>
  </w:abstractNum>
  <w:abstractNum w:abstractNumId="142">
    <w:nsid w:val="67A70B69"/>
    <w:multiLevelType w:val="hybridMultilevel"/>
    <w:lvl w:ilvl="0">
      <w:lvlJc w:val="left"/>
      <w:lvlText w:val="%1."/>
      <w:numFmt w:val="decimal"/>
      <w:start w:val="27"/>
    </w:lvl>
  </w:abstractNum>
  <w:abstractNum w:abstractNumId="143">
    <w:nsid w:val="5953172F"/>
    <w:multiLevelType w:val="hybridMultilevel"/>
    <w:lvl w:ilvl="0">
      <w:lvlJc w:val="left"/>
      <w:lvlText w:val="%1."/>
      <w:numFmt w:val="decimal"/>
      <w:start w:val="1"/>
    </w:lvl>
  </w:abstractNum>
  <w:abstractNum w:abstractNumId="144">
    <w:nsid w:val="27EDFE3A"/>
    <w:multiLevelType w:val="hybridMultilevel"/>
    <w:lvl w:ilvl="0">
      <w:lvlJc w:val="left"/>
      <w:lvlText w:val="(%1)"/>
      <w:numFmt w:val="lowerLetter"/>
      <w:start w:val="1"/>
    </w:lvl>
    <w:lvl w:ilvl="1">
      <w:lvlJc w:val="left"/>
      <w:lvlText w:val="(%2)"/>
      <w:numFmt w:val="lowerRoman"/>
      <w:start w:val="1"/>
    </w:lvl>
  </w:abstractNum>
  <w:abstractNum w:abstractNumId="145">
    <w:nsid w:val="52AC7DFF"/>
    <w:multiLevelType w:val="hybridMultilevel"/>
    <w:lvl w:ilvl="0">
      <w:lvlJc w:val="left"/>
      <w:lvlText w:val="%1"/>
      <w:numFmt w:val="lowerLetter"/>
      <w:start w:val="1"/>
    </w:lvl>
    <w:lvl w:ilvl="1">
      <w:lvlJc w:val="left"/>
      <w:lvlText w:val="(%2)"/>
      <w:numFmt w:val="lowerRoman"/>
      <w:start w:val="3"/>
    </w:lvl>
  </w:abstractNum>
  <w:abstractNum w:abstractNumId="146">
    <w:nsid w:val="C4C3AF"/>
    <w:multiLevelType w:val="hybridMultilevel"/>
    <w:lvl w:ilvl="0">
      <w:lvlJc w:val="left"/>
      <w:lvlText w:val="(%1)"/>
      <w:numFmt w:val="lowerLetter"/>
      <w:start w:val="4"/>
    </w:lvl>
    <w:lvl w:ilvl="1">
      <w:lvlJc w:val="left"/>
      <w:lvlText w:val="%2"/>
      <w:numFmt w:val="lowerRoman"/>
      <w:start w:val="1"/>
    </w:lvl>
  </w:abstractNum>
  <w:abstractNum w:abstractNumId="147">
    <w:nsid w:val="44380727"/>
    <w:multiLevelType w:val="hybridMultilevel"/>
    <w:lvl w:ilvl="0">
      <w:lvlJc w:val="left"/>
      <w:lvlText w:val="(%1)"/>
      <w:numFmt w:val="lowerLetter"/>
      <w:start w:val="10"/>
    </w:lvl>
  </w:abstractNum>
  <w:abstractNum w:abstractNumId="148">
    <w:nsid w:val="6C053B16"/>
    <w:multiLevelType w:val="hybridMultilevel"/>
    <w:lvl w:ilvl="0">
      <w:lvlJc w:val="left"/>
      <w:lvlText w:val="(%1)"/>
      <w:numFmt w:val="lowerLetter"/>
      <w:start w:val="15"/>
    </w:lvl>
  </w:abstractNum>
  <w:abstractNum w:abstractNumId="149">
    <w:nsid w:val="4F294393"/>
    <w:multiLevelType w:val="hybridMultilevel"/>
    <w:lvl w:ilvl="0">
      <w:lvlJc w:val="left"/>
      <w:lvlText w:val="%1."/>
      <w:numFmt w:val="decimal"/>
      <w:start w:val="3"/>
    </w:lvl>
  </w:abstractNum>
  <w:abstractNum w:abstractNumId="150">
    <w:nsid w:val="5243BFAC"/>
    <w:multiLevelType w:val="hybridMultilevel"/>
    <w:lvl w:ilvl="0">
      <w:lvlJc w:val="left"/>
      <w:lvlText w:val="%1."/>
      <w:numFmt w:val="decimal"/>
      <w:start w:val="6"/>
    </w:lvl>
  </w:abstractNum>
  <w:abstractNum w:abstractNumId="151">
    <w:nsid w:val="425EB207"/>
    <w:multiLevelType w:val="hybridMultilevel"/>
    <w:lvl w:ilvl="0">
      <w:lvlJc w:val="left"/>
      <w:lvlText w:val="(%1)"/>
      <w:numFmt w:val="lowerLetter"/>
      <w:start w:val="1"/>
    </w:lvl>
  </w:abstractNum>
  <w:abstractNum w:abstractNumId="152">
    <w:nsid w:val="334A6F1F"/>
    <w:multiLevelType w:val="hybridMultilevel"/>
    <w:lvl w:ilvl="0">
      <w:lvlJc w:val="left"/>
      <w:lvlText w:val="%1."/>
      <w:numFmt w:val="decimal"/>
      <w:start w:val="9"/>
    </w:lvl>
  </w:abstractNum>
  <w:abstractNum w:abstractNumId="153">
    <w:nsid w:val="2E5B12B8"/>
    <w:multiLevelType w:val="hybridMultilevel"/>
    <w:lvl w:ilvl="0">
      <w:lvlJc w:val="left"/>
      <w:lvlText w:val="(%1)"/>
      <w:numFmt w:val="lowerLetter"/>
      <w:start w:val="1"/>
    </w:lvl>
  </w:abstractNum>
  <w:abstractNum w:abstractNumId="154">
    <w:nsid w:val="5C03D76D"/>
    <w:multiLevelType w:val="hybridMultilevel"/>
    <w:lvl w:ilvl="0">
      <w:lvlJc w:val="left"/>
      <w:lvlText w:val="(%1)"/>
      <w:numFmt w:val="lowerLetter"/>
      <w:start w:val="2"/>
    </w:lvl>
  </w:abstractNum>
  <w:abstractNum w:abstractNumId="155">
    <w:nsid w:val="66A48D11"/>
    <w:multiLevelType w:val="hybridMultilevel"/>
    <w:lvl w:ilvl="0">
      <w:lvlJc w:val="left"/>
      <w:lvlText w:val="(%1)"/>
      <w:numFmt w:val="lowerLetter"/>
      <w:start w:val="1"/>
    </w:lvl>
  </w:abstractNum>
  <w:abstractNum w:abstractNumId="156">
    <w:nsid w:val="56C28E34"/>
    <w:multiLevelType w:val="hybridMultilevel"/>
    <w:lvl w:ilvl="0">
      <w:lvlJc w:val="left"/>
      <w:lvlText w:val="(%1)"/>
      <w:numFmt w:val="lowerLetter"/>
      <w:start w:val="1"/>
    </w:lvl>
  </w:abstractNum>
  <w:abstractNum w:abstractNumId="157">
    <w:nsid w:val="13916F2D"/>
    <w:multiLevelType w:val="hybridMultilevel"/>
    <w:lvl w:ilvl="0">
      <w:lvlJc w:val="left"/>
      <w:lvlText w:val="(%1)"/>
      <w:numFmt w:val="lowerLetter"/>
      <w:start w:val="2"/>
    </w:lvl>
  </w:abstractNum>
  <w:abstractNum w:abstractNumId="158">
    <w:nsid w:val="435D38D"/>
    <w:multiLevelType w:val="hybridMultilevel"/>
    <w:lvl w:ilvl="0">
      <w:lvlJc w:val="left"/>
      <w:lvlText w:val="(%1)"/>
      <w:numFmt w:val="lowerLetter"/>
      <w:start w:val="1"/>
    </w:lvl>
  </w:abstractNum>
  <w:abstractNum w:abstractNumId="159">
    <w:nsid w:val="822C0EF"/>
    <w:multiLevelType w:val="hybridMultilevel"/>
    <w:lvl w:ilvl="0">
      <w:lvlJc w:val="left"/>
      <w:lvlText w:val="(%1)"/>
      <w:numFmt w:val="lowerLetter"/>
      <w:start w:val="3"/>
    </w:lvl>
  </w:abstractNum>
  <w:abstractNum w:abstractNumId="160">
    <w:nsid w:val="57C5BB4F"/>
    <w:multiLevelType w:val="hybridMultilevel"/>
    <w:lvl w:ilvl="0">
      <w:lvlJc w:val="left"/>
      <w:lvlText w:val="(%1)"/>
      <w:numFmt w:val="lowerLetter"/>
      <w:start w:val="1"/>
    </w:lvl>
  </w:abstractNum>
  <w:abstractNum w:abstractNumId="161">
    <w:nsid w:val="1803D089"/>
    <w:multiLevelType w:val="hybridMultilevel"/>
    <w:lvl w:ilvl="0">
      <w:lvlJc w:val="left"/>
      <w:lvlText w:val="(%1)"/>
      <w:numFmt w:val="lowerLetter"/>
      <w:start w:val="5"/>
    </w:lvl>
  </w:abstractNum>
  <w:abstractNum w:abstractNumId="162">
    <w:nsid w:val="4F3A06D4"/>
    <w:multiLevelType w:val="hybridMultilevel"/>
    <w:lvl w:ilvl="0">
      <w:lvlJc w:val="left"/>
      <w:lvlText w:val="(%1)"/>
      <w:numFmt w:val="lowerLetter"/>
      <w:start w:val="1"/>
    </w:lvl>
  </w:abstractNum>
  <w:abstractNum w:abstractNumId="163">
    <w:nsid w:val="59A377B6"/>
    <w:multiLevelType w:val="hybridMultilevel"/>
    <w:lvl w:ilvl="0">
      <w:lvlJc w:val="left"/>
      <w:lvlText w:val="(%1)"/>
      <w:numFmt w:val="lowerLetter"/>
      <w:start w:val="5"/>
    </w:lvl>
  </w:abstractNum>
  <w:abstractNum w:abstractNumId="164">
    <w:nsid w:val="48AEB063"/>
    <w:multiLevelType w:val="hybridMultilevel"/>
    <w:lvl w:ilvl="0">
      <w:lvlJc w:val="left"/>
      <w:lvlText w:val="%1."/>
      <w:numFmt w:val="decimal"/>
      <w:start w:val="15"/>
    </w:lvl>
  </w:abstractNum>
  <w:abstractNum w:abstractNumId="165">
    <w:nsid w:val="24E135"/>
    <w:multiLevelType w:val="hybridMultilevel"/>
    <w:lvl w:ilvl="0">
      <w:lvlJc w:val="left"/>
      <w:lvlText w:val="(%1)"/>
      <w:numFmt w:val="lowerLetter"/>
      <w:start w:val="1"/>
    </w:lvl>
  </w:abstractNum>
  <w:abstractNum w:abstractNumId="166">
    <w:nsid w:val="BB13C1"/>
    <w:multiLevelType w:val="hybridMultilevel"/>
    <w:lvl w:ilvl="0">
      <w:lvlJc w:val="left"/>
      <w:lvlText w:val="(%1)"/>
      <w:numFmt w:val="lowerLetter"/>
      <w:start w:val="2"/>
    </w:lvl>
  </w:abstractNum>
  <w:abstractNum w:abstractNumId="167">
    <w:nsid w:val="271210C7"/>
    <w:multiLevelType w:val="hybridMultilevel"/>
    <w:lvl w:ilvl="0">
      <w:lvlJc w:val="left"/>
      <w:lvlText w:val="%1"/>
      <w:numFmt w:val="lowerLetter"/>
      <w:start w:val="1"/>
    </w:lvl>
    <w:lvl w:ilvl="1">
      <w:lvlJc w:val="left"/>
      <w:lvlText w:val="(%2)"/>
      <w:numFmt w:val="lowerLetter"/>
      <w:start w:val="6"/>
    </w:lvl>
  </w:abstractNum>
  <w:abstractNum w:abstractNumId="168">
    <w:nsid w:val="217B22E4"/>
    <w:multiLevelType w:val="hybridMultilevel"/>
    <w:lvl w:ilvl="0">
      <w:lvlJc w:val="left"/>
      <w:lvlText w:val="(%1)"/>
      <w:numFmt w:val="lowerLetter"/>
      <w:start w:val="35"/>
    </w:lvl>
    <w:lvl w:ilvl="1">
      <w:lvlJc w:val="left"/>
      <w:lvlText w:val="%2"/>
      <w:numFmt w:val="lowerLetter"/>
      <w:start w:val="1"/>
    </w:lvl>
  </w:abstractNum>
  <w:abstractNum w:abstractNumId="169">
    <w:nsid w:val="53E31A24"/>
    <w:multiLevelType w:val="hybridMultilevel"/>
    <w:lvl w:ilvl="0">
      <w:lvlJc w:val="left"/>
      <w:lvlText w:val="%1."/>
      <w:numFmt w:val="decimal"/>
      <w:start w:val="17"/>
    </w:lvl>
  </w:abstractNum>
  <w:abstractNum w:abstractNumId="170">
    <w:nsid w:val="6DC45E83"/>
    <w:multiLevelType w:val="hybridMultilevel"/>
    <w:lvl w:ilvl="0">
      <w:lvlJc w:val="left"/>
      <w:lvlText w:val="(%1)"/>
      <w:numFmt w:val="lowerLetter"/>
      <w:start w:val="1"/>
    </w:lvl>
  </w:abstractNum>
  <w:abstractNum w:abstractNumId="171">
    <w:nsid w:val="17304A67"/>
    <w:multiLevelType w:val="hybridMultilevel"/>
    <w:lvl w:ilvl="0">
      <w:lvlJc w:val="left"/>
      <w:lvlText w:val="(%1)"/>
      <w:numFmt w:val="lowerLetter"/>
      <w:start w:val="3"/>
    </w:lvl>
  </w:abstractNum>
  <w:abstractNum w:abstractNumId="172">
    <w:nsid w:val="2BB180D8"/>
    <w:multiLevelType w:val="hybridMultilevel"/>
    <w:lvl w:ilvl="0">
      <w:lvlJc w:val="left"/>
      <w:lvlText w:val="%1."/>
      <w:numFmt w:val="decimal"/>
      <w:start w:val="20"/>
    </w:lvl>
  </w:abstractNum>
  <w:abstractNum w:abstractNumId="173">
    <w:nsid w:val="556B69ED"/>
    <w:multiLevelType w:val="hybridMultilevel"/>
    <w:lvl w:ilvl="0">
      <w:lvlJc w:val="left"/>
      <w:lvlText w:val="(%1)"/>
      <w:numFmt w:val="lowerLetter"/>
      <w:start w:val="1"/>
    </w:lvl>
  </w:abstractNum>
  <w:abstractNum w:abstractNumId="174">
    <w:nsid w:val="70836196"/>
    <w:multiLevelType w:val="hybridMultilevel"/>
    <w:lvl w:ilvl="0">
      <w:lvlJc w:val="left"/>
      <w:lvlText w:val="%1"/>
      <w:numFmt w:val="lowerLetter"/>
      <w:start w:val="1"/>
    </w:lvl>
    <w:lvl w:ilvl="1">
      <w:lvlJc w:val="left"/>
      <w:lvlText w:val="%2"/>
      <w:numFmt w:val="decimal"/>
      <w:start w:val="1"/>
    </w:lvl>
    <w:lvl w:ilvl="2">
      <w:lvlJc w:val="left"/>
      <w:lvlText w:val="%3."/>
      <w:numFmt w:val="decimal"/>
      <w:start w:val="22"/>
    </w:lvl>
  </w:abstractNum>
  <w:abstractNum w:abstractNumId="175">
    <w:nsid w:val="539F7F12"/>
    <w:multiLevelType w:val="hybridMultilevel"/>
    <w:lvl w:ilvl="0">
      <w:lvlJc w:val="left"/>
      <w:lvlText w:val="(%1)"/>
      <w:numFmt w:val="lowerLetter"/>
      <w:start w:val="3"/>
    </w:lvl>
    <w:lvl w:ilvl="1">
      <w:lvlJc w:val="left"/>
      <w:lvlText w:val="%2."/>
      <w:numFmt w:val="decimal"/>
      <w:start w:val="23"/>
    </w:lvl>
    <w:lvl w:ilvl="2">
      <w:lvlJc w:val="left"/>
      <w:lvlText w:val="%3"/>
      <w:numFmt w:val="decimal"/>
      <w:start w:val="1"/>
    </w:lvl>
  </w:abstractNum>
  <w:abstractNum w:abstractNumId="176">
    <w:nsid w:val="2817E7EC"/>
    <w:multiLevelType w:val="hybridMultilevel"/>
    <w:lvl w:ilvl="0">
      <w:lvlJc w:val="left"/>
      <w:lvlText w:val="%1."/>
      <w:numFmt w:val="decimal"/>
      <w:start w:val="27"/>
    </w:lvl>
  </w:abstractNum>
  <w:abstractNum w:abstractNumId="177">
    <w:nsid w:val="71482545"/>
    <w:multiLevelType w:val="hybridMultilevel"/>
    <w:lvl w:ilvl="0">
      <w:lvlJc w:val="left"/>
      <w:lvlText w:val="%1."/>
      <w:numFmt w:val="decimal"/>
      <w:start w:val="1"/>
    </w:lvl>
  </w:abstractNum>
  <w:abstractNum w:abstractNumId="178">
    <w:nsid w:val="17D78639"/>
    <w:multiLevelType w:val="hybridMultilevel"/>
    <w:lvl w:ilvl="0">
      <w:lvlJc w:val="left"/>
      <w:lvlText w:val="(%1)"/>
      <w:numFmt w:val="lowerLetter"/>
      <w:start w:val="1"/>
    </w:lvl>
    <w:lvl w:ilvl="1">
      <w:lvlJc w:val="left"/>
      <w:lvlText w:val="(%2)"/>
      <w:numFmt w:val="lowerRoman"/>
      <w:start w:val="1"/>
    </w:lvl>
  </w:abstractNum>
  <w:abstractNum w:abstractNumId="179">
    <w:nsid w:val="141D2302"/>
    <w:multiLevelType w:val="hybridMultilevel"/>
    <w:lvl w:ilvl="0">
      <w:lvlJc w:val="left"/>
      <w:lvlText w:val="%1"/>
      <w:numFmt w:val="lowerLetter"/>
      <w:start w:val="1"/>
    </w:lvl>
    <w:lvl w:ilvl="1">
      <w:lvlJc w:val="left"/>
      <w:lvlText w:val="(%2)"/>
      <w:numFmt w:val="lowerRoman"/>
      <w:start w:val="3"/>
    </w:lvl>
  </w:abstractNum>
  <w:abstractNum w:abstractNumId="180">
    <w:nsid w:val="407168D8"/>
    <w:multiLevelType w:val="hybridMultilevel"/>
    <w:lvl w:ilvl="0">
      <w:lvlJc w:val="left"/>
      <w:lvlText w:val="(%1)"/>
      <w:numFmt w:val="lowerLetter"/>
      <w:start w:val="4"/>
    </w:lvl>
    <w:lvl w:ilvl="1">
      <w:lvlJc w:val="left"/>
      <w:lvlText w:val="%2"/>
      <w:numFmt w:val="lowerRoman"/>
      <w:start w:val="1"/>
    </w:lvl>
  </w:abstractNum>
  <w:abstractNum w:abstractNumId="181">
    <w:nsid w:val="6A1B45E5"/>
    <w:multiLevelType w:val="hybridMultilevel"/>
    <w:lvl w:ilvl="0">
      <w:lvlJc w:val="left"/>
      <w:lvlText w:val="(%1)"/>
      <w:numFmt w:val="lowerLetter"/>
      <w:start w:val="10"/>
    </w:lvl>
  </w:abstractNum>
  <w:abstractNum w:abstractNumId="182">
    <w:nsid w:val="567BD50A"/>
    <w:multiLevelType w:val="hybridMultilevel"/>
    <w:lvl w:ilvl="0">
      <w:lvlJc w:val="left"/>
      <w:lvlText w:val="(%1)"/>
      <w:numFmt w:val="lowerLetter"/>
      <w:start w:val="15"/>
    </w:lvl>
  </w:abstractNum>
  <w:abstractNum w:abstractNumId="183">
    <w:nsid w:val="73BBD7F8"/>
    <w:multiLevelType w:val="hybridMultilevel"/>
    <w:lvl w:ilvl="0">
      <w:lvlJc w:val="left"/>
      <w:lvlText w:val="%1."/>
      <w:numFmt w:val="decimal"/>
      <w:start w:val="3"/>
    </w:lvl>
  </w:abstractNum>
  <w:abstractNum w:abstractNumId="184">
    <w:nsid w:val="1876589D"/>
    <w:multiLevelType w:val="hybridMultilevel"/>
    <w:lvl w:ilvl="0">
      <w:lvlJc w:val="left"/>
      <w:lvlText w:val="%1."/>
      <w:numFmt w:val="decimal"/>
      <w:start w:val="6"/>
    </w:lvl>
  </w:abstractNum>
  <w:abstractNum w:abstractNumId="185">
    <w:nsid w:val="327FAC77"/>
    <w:multiLevelType w:val="hybridMultilevel"/>
    <w:lvl w:ilvl="0">
      <w:lvlJc w:val="left"/>
      <w:lvlText w:val="(%1)"/>
      <w:numFmt w:val="lowerLetter"/>
      <w:start w:val="1"/>
    </w:lvl>
  </w:abstractNum>
  <w:abstractNum w:abstractNumId="186">
    <w:nsid w:val="5A606509"/>
    <w:multiLevelType w:val="hybridMultilevel"/>
    <w:lvl w:ilvl="0">
      <w:lvlJc w:val="left"/>
      <w:lvlText w:val="%1."/>
      <w:numFmt w:val="decimal"/>
      <w:start w:val="9"/>
    </w:lvl>
  </w:abstractNum>
  <w:abstractNum w:abstractNumId="187">
    <w:nsid w:val="6F38E6D1"/>
    <w:multiLevelType w:val="hybridMultilevel"/>
    <w:lvl w:ilvl="0">
      <w:lvlJc w:val="left"/>
      <w:lvlText w:val="(%1)"/>
      <w:numFmt w:val="lowerLetter"/>
      <w:start w:val="1"/>
    </w:lvl>
  </w:abstractNum>
  <w:abstractNum w:abstractNumId="188">
    <w:nsid w:val="46111BA5"/>
    <w:multiLevelType w:val="hybridMultilevel"/>
    <w:lvl w:ilvl="0">
      <w:lvlJc w:val="left"/>
      <w:lvlText w:val="(%1)"/>
      <w:numFmt w:val="lowerLetter"/>
      <w:start w:val="2"/>
    </w:lvl>
  </w:abstractNum>
  <w:abstractNum w:abstractNumId="189">
    <w:nsid w:val="5E963896"/>
    <w:multiLevelType w:val="hybridMultilevel"/>
    <w:lvl w:ilvl="0">
      <w:lvlJc w:val="left"/>
      <w:lvlText w:val="(%1)"/>
      <w:numFmt w:val="lowerLetter"/>
      <w:start w:val="1"/>
    </w:lvl>
  </w:abstractNum>
  <w:abstractNum w:abstractNumId="190">
    <w:nsid w:val="775BA7C1"/>
    <w:multiLevelType w:val="hybridMultilevel"/>
    <w:lvl w:ilvl="0">
      <w:lvlJc w:val="left"/>
      <w:lvlText w:val="(%1)"/>
      <w:numFmt w:val="lowerLetter"/>
      <w:start w:val="1"/>
    </w:lvl>
  </w:abstractNum>
  <w:abstractNum w:abstractNumId="191">
    <w:nsid w:val="1DD6D6F4"/>
    <w:multiLevelType w:val="hybridMultilevel"/>
    <w:lvl w:ilvl="0">
      <w:lvlJc w:val="left"/>
      <w:lvlText w:val="(%1)"/>
      <w:numFmt w:val="lowerLetter"/>
      <w:start w:val="2"/>
    </w:lvl>
  </w:abstractNum>
  <w:abstractNum w:abstractNumId="192">
    <w:nsid w:val="769A091F"/>
    <w:multiLevelType w:val="hybridMultilevel"/>
    <w:lvl w:ilvl="0">
      <w:lvlJc w:val="left"/>
      <w:lvlText w:val="(%1)"/>
      <w:numFmt w:val="lowerLetter"/>
      <w:start w:val="1"/>
    </w:lvl>
  </w:abstractNum>
  <w:abstractNum w:abstractNumId="193">
    <w:nsid w:val="4695AE95"/>
    <w:multiLevelType w:val="hybridMultilevel"/>
    <w:lvl w:ilvl="0">
      <w:lvlJc w:val="left"/>
      <w:lvlText w:val="(%1)"/>
      <w:numFmt w:val="lowerLetter"/>
      <w:start w:val="3"/>
    </w:lvl>
  </w:abstractNum>
  <w:abstractNum w:abstractNumId="194">
    <w:nsid w:val="777A4EAA"/>
    <w:multiLevelType w:val="hybridMultilevel"/>
    <w:lvl w:ilvl="0">
      <w:lvlJc w:val="left"/>
      <w:lvlText w:val="(%1)"/>
      <w:numFmt w:val="lowerLetter"/>
      <w:start w:val="1"/>
    </w:lvl>
  </w:abstractNum>
  <w:abstractNum w:abstractNumId="195">
    <w:nsid w:val="3F48B982"/>
    <w:multiLevelType w:val="hybridMultilevel"/>
    <w:lvl w:ilvl="0">
      <w:lvlJc w:val="left"/>
      <w:lvlText w:val="(%1)"/>
      <w:numFmt w:val="lowerLetter"/>
      <w:start w:val="5"/>
    </w:lvl>
  </w:abstractNum>
  <w:abstractNum w:abstractNumId="196">
    <w:nsid w:val="46BA8FCA"/>
    <w:multiLevelType w:val="hybridMultilevel"/>
    <w:lvl w:ilvl="0">
      <w:lvlJc w:val="left"/>
      <w:lvlText w:val="(%1)"/>
      <w:numFmt w:val="lowerLetter"/>
      <w:start w:val="1"/>
    </w:lvl>
  </w:abstractNum>
  <w:abstractNum w:abstractNumId="197">
    <w:nsid w:val="7835626C"/>
    <w:multiLevelType w:val="hybridMultilevel"/>
    <w:lvl w:ilvl="0">
      <w:lvlJc w:val="left"/>
      <w:lvlText w:val="(%1)"/>
      <w:numFmt w:val="lowerLetter"/>
      <w:start w:val="5"/>
    </w:lvl>
  </w:abstractNum>
  <w:abstractNum w:abstractNumId="198">
    <w:nsid w:val="665ACA49"/>
    <w:multiLevelType w:val="hybridMultilevel"/>
    <w:lvl w:ilvl="0">
      <w:lvlJc w:val="left"/>
      <w:lvlText w:val="%1."/>
      <w:numFmt w:val="decimal"/>
      <w:start w:val="15"/>
    </w:lvl>
  </w:abstractNum>
  <w:abstractNum w:abstractNumId="199">
    <w:nsid w:val="6835B2AE"/>
    <w:multiLevelType w:val="hybridMultilevel"/>
    <w:lvl w:ilvl="0">
      <w:lvlJc w:val="left"/>
      <w:lvlText w:val="(%1)"/>
      <w:numFmt w:val="lowerLetter"/>
      <w:start w:val="1"/>
    </w:lvl>
  </w:abstractNum>
  <w:abstractNum w:abstractNumId="200">
    <w:nsid w:val="4C187C90"/>
    <w:multiLevelType w:val="hybridMultilevel"/>
    <w:lvl w:ilvl="0">
      <w:lvlJc w:val="left"/>
      <w:lvlText w:val="(%1)"/>
      <w:numFmt w:val="lowerLetter"/>
      <w:start w:val="2"/>
    </w:lvl>
  </w:abstractNum>
  <w:abstractNum w:abstractNumId="201">
    <w:nsid w:val="541F28CD"/>
    <w:multiLevelType w:val="hybridMultilevel"/>
    <w:lvl w:ilvl="0">
      <w:lvlJc w:val="left"/>
      <w:lvlText w:val="%1"/>
      <w:numFmt w:val="lowerLetter"/>
      <w:start w:val="1"/>
    </w:lvl>
    <w:lvl w:ilvl="1">
      <w:lvlJc w:val="left"/>
      <w:lvlText w:val="(%2)"/>
      <w:numFmt w:val="lowerLetter"/>
      <w:start w:val="6"/>
    </w:lvl>
  </w:abstractNum>
  <w:abstractNum w:abstractNumId="202">
    <w:nsid w:val="7F65FD16"/>
    <w:multiLevelType w:val="hybridMultilevel"/>
    <w:lvl w:ilvl="0">
      <w:lvlJc w:val="left"/>
      <w:lvlText w:val="(%1)"/>
      <w:numFmt w:val="lowerLetter"/>
      <w:start w:val="35"/>
    </w:lvl>
    <w:lvl w:ilvl="1">
      <w:lvlJc w:val="left"/>
      <w:lvlText w:val="%2"/>
      <w:numFmt w:val="lowerLetter"/>
      <w:start w:val="1"/>
    </w:lvl>
  </w:abstractNum>
  <w:abstractNum w:abstractNumId="203">
    <w:nsid w:val="77C9FD68"/>
    <w:multiLevelType w:val="hybridMultilevel"/>
    <w:lvl w:ilvl="0">
      <w:lvlJc w:val="left"/>
      <w:lvlText w:val="%1."/>
      <w:numFmt w:val="decimal"/>
      <w:start w:val="17"/>
    </w:lvl>
  </w:abstractNum>
  <w:abstractNum w:abstractNumId="204">
    <w:nsid w:val="298A92BA"/>
    <w:multiLevelType w:val="hybridMultilevel"/>
    <w:lvl w:ilvl="0">
      <w:lvlJc w:val="left"/>
      <w:lvlText w:val="(%1)"/>
      <w:numFmt w:val="lowerLetter"/>
      <w:start w:val="1"/>
    </w:lvl>
  </w:abstractNum>
  <w:abstractNum w:abstractNumId="205">
    <w:nsid w:val="6FE95EAC"/>
    <w:multiLevelType w:val="hybridMultilevel"/>
    <w:lvl w:ilvl="0">
      <w:lvlJc w:val="left"/>
      <w:lvlText w:val="(%1)"/>
      <w:numFmt w:val="lowerLetter"/>
      <w:start w:val="3"/>
    </w:lvl>
  </w:abstractNum>
  <w:abstractNum w:abstractNumId="206">
    <w:nsid w:val="4B697C7A"/>
    <w:multiLevelType w:val="hybridMultilevel"/>
    <w:lvl w:ilvl="0">
      <w:lvlJc w:val="left"/>
      <w:lvlText w:val="%1."/>
      <w:numFmt w:val="decimal"/>
      <w:start w:val="20"/>
    </w:lvl>
  </w:abstractNum>
  <w:abstractNum w:abstractNumId="207">
    <w:nsid w:val="51A27AA6"/>
    <w:multiLevelType w:val="hybridMultilevel"/>
    <w:lvl w:ilvl="0">
      <w:lvlJc w:val="left"/>
      <w:lvlText w:val="(%1)"/>
      <w:numFmt w:val="lowerLetter"/>
      <w:start w:val="1"/>
    </w:lvl>
  </w:abstractNum>
  <w:abstractNum w:abstractNumId="208">
    <w:nsid w:val="613183F2"/>
    <w:multiLevelType w:val="hybridMultilevel"/>
    <w:lvl w:ilvl="0">
      <w:lvlJc w:val="left"/>
      <w:lvlText w:val="%1"/>
      <w:numFmt w:val="lowerLetter"/>
      <w:start w:val="1"/>
    </w:lvl>
    <w:lvl w:ilvl="1">
      <w:lvlJc w:val="left"/>
      <w:lvlText w:val="%2"/>
      <w:numFmt w:val="decimal"/>
      <w:start w:val="1"/>
    </w:lvl>
    <w:lvl w:ilvl="2">
      <w:lvlJc w:val="left"/>
      <w:lvlText w:val="%3."/>
      <w:numFmt w:val="decimal"/>
      <w:start w:val="22"/>
    </w:lvl>
  </w:abstractNum>
  <w:abstractNum w:abstractNumId="209">
    <w:nsid w:val="634102B4"/>
    <w:multiLevelType w:val="hybridMultilevel"/>
    <w:lvl w:ilvl="0">
      <w:lvlJc w:val="left"/>
      <w:lvlText w:val="(%1)"/>
      <w:numFmt w:val="lowerLetter"/>
      <w:start w:val="3"/>
    </w:lvl>
    <w:lvl w:ilvl="1">
      <w:lvlJc w:val="left"/>
      <w:lvlText w:val="%2."/>
      <w:numFmt w:val="decimal"/>
      <w:start w:val="23"/>
    </w:lvl>
    <w:lvl w:ilvl="2">
      <w:lvlJc w:val="left"/>
      <w:lvlText w:val="%3"/>
      <w:numFmt w:val="decimal"/>
      <w:start w:val="1"/>
    </w:lvl>
  </w:abstractNum>
  <w:abstractNum w:abstractNumId="210">
    <w:nsid w:val="65BF9DA8"/>
    <w:multiLevelType w:val="hybridMultilevel"/>
    <w:lvl w:ilvl="0">
      <w:lvlJc w:val="left"/>
      <w:lvlText w:val="%1."/>
      <w:numFmt w:val="decimal"/>
      <w:start w:val="27"/>
    </w:lvl>
  </w:abstractNum>
  <w:abstractNum w:abstractNumId="211">
    <w:nsid w:val="21A2ECCA"/>
    <w:multiLevelType w:val="hybridMultilevel"/>
    <w:lvl w:ilvl="0">
      <w:lvlJc w:val="left"/>
      <w:lvlText w:val="%1."/>
      <w:numFmt w:val="decimal"/>
      <w:start w:val="1"/>
    </w:lvl>
  </w:abstractNum>
  <w:abstractNum w:abstractNumId="212">
    <w:nsid w:val="4D5C4899"/>
    <w:multiLevelType w:val="hybridMultilevel"/>
    <w:lvl w:ilvl="0">
      <w:lvlJc w:val="left"/>
      <w:lvlText w:val="(%1)"/>
      <w:numFmt w:val="lowerLetter"/>
      <w:start w:val="1"/>
    </w:lvl>
    <w:lvl w:ilvl="1">
      <w:lvlJc w:val="left"/>
      <w:lvlText w:val="(%2)"/>
      <w:numFmt w:val="lowerRoman"/>
      <w:start w:val="1"/>
    </w:lvl>
  </w:abstractNum>
  <w:abstractNum w:abstractNumId="213">
    <w:nsid w:val="3C3B72B2"/>
    <w:multiLevelType w:val="hybridMultilevel"/>
    <w:lvl w:ilvl="0">
      <w:lvlJc w:val="left"/>
      <w:lvlText w:val="%1"/>
      <w:numFmt w:val="lowerLetter"/>
      <w:start w:val="1"/>
    </w:lvl>
    <w:lvl w:ilvl="1">
      <w:lvlJc w:val="left"/>
      <w:lvlText w:val="(%2)"/>
      <w:numFmt w:val="lowerRoman"/>
      <w:start w:val="3"/>
    </w:lvl>
  </w:abstractNum>
  <w:abstractNum w:abstractNumId="214">
    <w:nsid w:val="155EC4C2"/>
    <w:multiLevelType w:val="hybridMultilevel"/>
    <w:lvl w:ilvl="0">
      <w:lvlJc w:val="left"/>
      <w:lvlText w:val="(%1)"/>
      <w:numFmt w:val="lowerLetter"/>
      <w:start w:val="4"/>
    </w:lvl>
    <w:lvl w:ilvl="1">
      <w:lvlJc w:val="left"/>
      <w:lvlText w:val="%2"/>
      <w:numFmt w:val="lowerRoman"/>
      <w:start w:val="1"/>
    </w:lvl>
  </w:abstractNum>
  <w:abstractNum w:abstractNumId="215">
    <w:nsid w:val="65D2A137"/>
    <w:multiLevelType w:val="hybridMultilevel"/>
    <w:lvl w:ilvl="0">
      <w:lvlJc w:val="left"/>
      <w:lvlText w:val="(%1)"/>
      <w:numFmt w:val="lowerLetter"/>
      <w:start w:val="10"/>
    </w:lvl>
  </w:abstractNum>
  <w:abstractNum w:abstractNumId="216">
    <w:nsid w:val="6EBB1F2A"/>
    <w:multiLevelType w:val="hybridMultilevel"/>
    <w:lvl w:ilvl="0">
      <w:lvlJc w:val="left"/>
      <w:lvlText w:val="(%1)"/>
      <w:numFmt w:val="lowerLetter"/>
      <w:start w:val="15"/>
    </w:lvl>
  </w:abstractNum>
  <w:abstractNum w:abstractNumId="217">
    <w:nsid w:val="6FBF29CB"/>
    <w:multiLevelType w:val="hybridMultilevel"/>
    <w:lvl w:ilvl="0">
      <w:lvlJc w:val="left"/>
      <w:lvlText w:val="%1."/>
      <w:numFmt w:val="decimal"/>
      <w:start w:val="3"/>
    </w:lvl>
  </w:abstractNum>
  <w:abstractNum w:abstractNumId="218">
    <w:nsid w:val="550B8808"/>
    <w:multiLevelType w:val="hybridMultilevel"/>
    <w:lvl w:ilvl="0">
      <w:lvlJc w:val="left"/>
      <w:lvlText w:val="%1."/>
      <w:numFmt w:val="decimal"/>
      <w:start w:val="6"/>
    </w:lvl>
  </w:abstractNum>
  <w:abstractNum w:abstractNumId="219">
    <w:nsid w:val="34CC3ACF"/>
    <w:multiLevelType w:val="hybridMultilevel"/>
    <w:lvl w:ilvl="0">
      <w:lvlJc w:val="left"/>
      <w:lvlText w:val="(%1)"/>
      <w:numFmt w:val="lowerLetter"/>
      <w:start w:val="1"/>
    </w:lvl>
  </w:abstractNum>
  <w:abstractNum w:abstractNumId="220">
    <w:nsid w:val="4E556261"/>
    <w:multiLevelType w:val="hybridMultilevel"/>
    <w:lvl w:ilvl="0">
      <w:lvlJc w:val="left"/>
      <w:lvlText w:val="%1."/>
      <w:numFmt w:val="decimal"/>
      <w:start w:val="9"/>
    </w:lvl>
  </w:abstractNum>
  <w:abstractNum w:abstractNumId="221">
    <w:nsid w:val="4C672FC9"/>
    <w:multiLevelType w:val="hybridMultilevel"/>
    <w:lvl w:ilvl="0">
      <w:lvlJc w:val="left"/>
      <w:lvlText w:val="(%1)"/>
      <w:numFmt w:val="lowerLetter"/>
      <w:start w:val="1"/>
    </w:lvl>
  </w:abstractNum>
  <w:abstractNum w:abstractNumId="222">
    <w:nsid w:val="52A311C3"/>
    <w:multiLevelType w:val="hybridMultilevel"/>
    <w:lvl w:ilvl="0">
      <w:lvlJc w:val="left"/>
      <w:lvlText w:val="(%1)"/>
      <w:numFmt w:val="lowerLetter"/>
      <w:start w:val="2"/>
    </w:lvl>
  </w:abstractNum>
  <w:abstractNum w:abstractNumId="223">
    <w:nsid w:val="44EF6B80"/>
    <w:multiLevelType w:val="hybridMultilevel"/>
    <w:lvl w:ilvl="0">
      <w:lvlJc w:val="left"/>
      <w:lvlText w:val="(%1)"/>
      <w:numFmt w:val="lowerLetter"/>
      <w:start w:val="1"/>
    </w:lvl>
  </w:abstractNum>
  <w:abstractNum w:abstractNumId="224">
    <w:nsid w:val="12FCDE5E"/>
    <w:multiLevelType w:val="hybridMultilevel"/>
    <w:lvl w:ilvl="0">
      <w:lvlJc w:val="left"/>
      <w:lvlText w:val="(%1)"/>
      <w:numFmt w:val="lowerLetter"/>
      <w:start w:val="1"/>
    </w:lvl>
  </w:abstractNum>
  <w:abstractNum w:abstractNumId="225">
    <w:nsid w:val="4A1D606E"/>
    <w:multiLevelType w:val="hybridMultilevel"/>
    <w:lvl w:ilvl="0">
      <w:lvlJc w:val="left"/>
      <w:lvlText w:val="(%1)"/>
      <w:numFmt w:val="lowerLetter"/>
      <w:start w:val="2"/>
    </w:lvl>
  </w:abstractNum>
  <w:abstractNum w:abstractNumId="226">
    <w:nsid w:val="4382503"/>
    <w:multiLevelType w:val="hybridMultilevel"/>
    <w:lvl w:ilvl="0">
      <w:lvlJc w:val="left"/>
      <w:lvlText w:val="(%1)"/>
      <w:numFmt w:val="lowerLetter"/>
      <w:start w:val="1"/>
    </w:lvl>
  </w:abstractNum>
  <w:abstractNum w:abstractNumId="227">
    <w:nsid w:val="59B76E28"/>
    <w:multiLevelType w:val="hybridMultilevel"/>
    <w:lvl w:ilvl="0">
      <w:lvlJc w:val="left"/>
      <w:lvlText w:val="(%1)"/>
      <w:numFmt w:val="lowerLetter"/>
      <w:start w:val="3"/>
    </w:lvl>
  </w:abstractNum>
  <w:abstractNum w:abstractNumId="228">
    <w:nsid w:val="4252C2DA"/>
    <w:multiLevelType w:val="hybridMultilevel"/>
    <w:lvl w:ilvl="0">
      <w:lvlJc w:val="left"/>
      <w:lvlText w:val="(%1)"/>
      <w:numFmt w:val="lowerLetter"/>
      <w:start w:val="1"/>
    </w:lvl>
  </w:abstractNum>
  <w:abstractNum w:abstractNumId="229">
    <w:nsid w:val="6A92EF4C"/>
    <w:multiLevelType w:val="hybridMultilevel"/>
    <w:lvl w:ilvl="0">
      <w:lvlJc w:val="left"/>
      <w:lvlText w:val="(%1)"/>
      <w:numFmt w:val="lowerLetter"/>
      <w:start w:val="5"/>
    </w:lvl>
  </w:abstractNum>
  <w:abstractNum w:abstractNumId="230">
    <w:nsid w:val="41ED20D7"/>
    <w:multiLevelType w:val="hybridMultilevel"/>
    <w:lvl w:ilvl="0">
      <w:lvlJc w:val="left"/>
      <w:lvlText w:val="(%1)"/>
      <w:numFmt w:val="lowerLetter"/>
      <w:start w:val="1"/>
    </w:lvl>
  </w:abstractNum>
  <w:abstractNum w:abstractNumId="231">
    <w:nsid w:val="E6B3F6A"/>
    <w:multiLevelType w:val="hybridMultilevel"/>
    <w:lvl w:ilvl="0">
      <w:lvlJc w:val="left"/>
      <w:lvlText w:val="(%1)"/>
      <w:numFmt w:val="lowerLetter"/>
      <w:start w:val="5"/>
    </w:lvl>
  </w:abstractNum>
  <w:abstractNum w:abstractNumId="232">
    <w:nsid w:val="3EB21819"/>
    <w:multiLevelType w:val="hybridMultilevel"/>
    <w:lvl w:ilvl="0">
      <w:lvlJc w:val="left"/>
      <w:lvlText w:val="%1."/>
      <w:numFmt w:val="decimal"/>
      <w:start w:val="15"/>
    </w:lvl>
  </w:abstractNum>
  <w:abstractNum w:abstractNumId="233">
    <w:nsid w:val="41531DED"/>
    <w:multiLevelType w:val="hybridMultilevel"/>
    <w:lvl w:ilvl="0">
      <w:lvlJc w:val="left"/>
      <w:lvlText w:val="(%1)"/>
      <w:numFmt w:val="lowerLetter"/>
      <w:start w:val="1"/>
    </w:lvl>
  </w:abstractNum>
  <w:abstractNum w:abstractNumId="234">
    <w:nsid w:val="6353CD2"/>
    <w:multiLevelType w:val="hybridMultilevel"/>
    <w:lvl w:ilvl="0">
      <w:lvlJc w:val="left"/>
      <w:lvlText w:val="(%1)"/>
      <w:numFmt w:val="lowerLetter"/>
      <w:start w:val="2"/>
    </w:lvl>
  </w:abstractNum>
  <w:abstractNum w:abstractNumId="235">
    <w:nsid w:val="683CAAD3"/>
    <w:multiLevelType w:val="hybridMultilevel"/>
    <w:lvl w:ilvl="0">
      <w:lvlJc w:val="left"/>
      <w:lvlText w:val="%1"/>
      <w:numFmt w:val="lowerLetter"/>
      <w:start w:val="1"/>
    </w:lvl>
    <w:lvl w:ilvl="1">
      <w:lvlJc w:val="left"/>
      <w:lvlText w:val="(%2)"/>
      <w:numFmt w:val="lowerLetter"/>
      <w:start w:val="6"/>
    </w:lvl>
  </w:abstractNum>
  <w:abstractNum w:abstractNumId="236">
    <w:nsid w:val="313C7C99"/>
    <w:multiLevelType w:val="hybridMultilevel"/>
    <w:lvl w:ilvl="0">
      <w:lvlJc w:val="left"/>
      <w:lvlText w:val="(%1)"/>
      <w:numFmt w:val="lowerLetter"/>
      <w:start w:val="35"/>
    </w:lvl>
    <w:lvl w:ilvl="1">
      <w:lvlJc w:val="left"/>
      <w:lvlText w:val="%2"/>
      <w:numFmt w:val="lowerLetter"/>
      <w:start w:val="1"/>
    </w:lvl>
  </w:abstractNum>
  <w:abstractNum w:abstractNumId="237">
    <w:nsid w:val="519EB94C"/>
    <w:multiLevelType w:val="hybridMultilevel"/>
    <w:lvl w:ilvl="0">
      <w:lvlJc w:val="left"/>
      <w:lvlText w:val="%1."/>
      <w:numFmt w:val="decimal"/>
      <w:start w:val="17"/>
    </w:lvl>
  </w:abstractNum>
  <w:abstractNum w:abstractNumId="238">
    <w:nsid w:val="39DF2579"/>
    <w:multiLevelType w:val="hybridMultilevel"/>
    <w:lvl w:ilvl="0">
      <w:lvlJc w:val="left"/>
      <w:lvlText w:val="(%1)"/>
      <w:numFmt w:val="lowerLetter"/>
      <w:start w:val="1"/>
    </w:lvl>
  </w:abstractNum>
  <w:abstractNum w:abstractNumId="239">
    <w:nsid w:val="126E008B"/>
    <w:multiLevelType w:val="hybridMultilevel"/>
    <w:lvl w:ilvl="0">
      <w:lvlJc w:val="left"/>
      <w:lvlText w:val="(%1)"/>
      <w:numFmt w:val="lowerLetter"/>
      <w:start w:val="3"/>
    </w:lvl>
  </w:abstractNum>
  <w:abstractNum w:abstractNumId="240">
    <w:nsid w:val="34DFBC00"/>
    <w:multiLevelType w:val="hybridMultilevel"/>
    <w:lvl w:ilvl="0">
      <w:lvlJc w:val="left"/>
      <w:lvlText w:val="%1."/>
      <w:numFmt w:val="decimal"/>
      <w:start w:val="20"/>
    </w:lvl>
  </w:abstractNum>
  <w:abstractNum w:abstractNumId="241">
    <w:nsid w:val="1F9EC322"/>
    <w:multiLevelType w:val="hybridMultilevel"/>
    <w:lvl w:ilvl="0">
      <w:lvlJc w:val="left"/>
      <w:lvlText w:val="(%1)"/>
      <w:numFmt w:val="lowerLetter"/>
      <w:start w:val="1"/>
    </w:lvl>
  </w:abstractNum>
  <w:abstractNum w:abstractNumId="242">
    <w:nsid w:val="3410ED56"/>
    <w:multiLevelType w:val="hybridMultilevel"/>
    <w:lvl w:ilvl="0">
      <w:lvlJc w:val="left"/>
      <w:lvlText w:val="%1"/>
      <w:numFmt w:val="lowerLetter"/>
      <w:start w:val="1"/>
    </w:lvl>
    <w:lvl w:ilvl="1">
      <w:lvlJc w:val="left"/>
      <w:lvlText w:val="%2"/>
      <w:numFmt w:val="decimal"/>
      <w:start w:val="1"/>
    </w:lvl>
    <w:lvl w:ilvl="2">
      <w:lvlJc w:val="left"/>
      <w:lvlText w:val="%3."/>
      <w:numFmt w:val="decimal"/>
      <w:start w:val="22"/>
    </w:lvl>
  </w:abstractNum>
  <w:abstractNum w:abstractNumId="243">
    <w:nsid w:val="23C049A"/>
    <w:multiLevelType w:val="hybridMultilevel"/>
    <w:lvl w:ilvl="0">
      <w:lvlJc w:val="left"/>
      <w:lvlText w:val="(%1)"/>
      <w:numFmt w:val="lowerLetter"/>
      <w:start w:val="3"/>
    </w:lvl>
    <w:lvl w:ilvl="1">
      <w:lvlJc w:val="left"/>
      <w:lvlText w:val="%2."/>
      <w:numFmt w:val="decimal"/>
      <w:start w:val="23"/>
    </w:lvl>
    <w:lvl w:ilvl="2">
      <w:lvlJc w:val="left"/>
      <w:lvlText w:val="%3"/>
      <w:numFmt w:val="decimal"/>
      <w:start w:val="1"/>
    </w:lvl>
  </w:abstractNum>
  <w:abstractNum w:abstractNumId="244">
    <w:nsid w:val="5BDA35D4"/>
    <w:multiLevelType w:val="hybridMultilevel"/>
    <w:lvl w:ilvl="0">
      <w:lvlJc w:val="left"/>
      <w:lvlText w:val="%1."/>
      <w:numFmt w:val="decimal"/>
      <w:start w:val="27"/>
    </w:lvl>
  </w:abstractNum>
  <w:abstractNum w:abstractNumId="245">
    <w:nsid w:val="496FB218"/>
    <w:multiLevelType w:val="hybridMultilevel"/>
    <w:lvl w:ilvl="0">
      <w:lvlJc w:val="left"/>
      <w:lvlText w:val="%1."/>
      <w:numFmt w:val="decimal"/>
      <w:start w:val="1"/>
    </w:lvl>
  </w:abstractNum>
  <w:abstractNum w:abstractNumId="246">
    <w:nsid w:val="680EA5D1"/>
    <w:multiLevelType w:val="hybridMultilevel"/>
    <w:lvl w:ilvl="0">
      <w:lvlJc w:val="left"/>
      <w:lvlText w:val="(%1)"/>
      <w:numFmt w:val="lowerLetter"/>
      <w:start w:val="1"/>
    </w:lvl>
    <w:lvl w:ilvl="1">
      <w:lvlJc w:val="left"/>
      <w:lvlText w:val="(%2)"/>
      <w:numFmt w:val="lowerRoman"/>
      <w:start w:val="1"/>
    </w:lvl>
  </w:abstractNum>
  <w:abstractNum w:abstractNumId="247">
    <w:nsid w:val="4A9554FE"/>
    <w:multiLevelType w:val="hybridMultilevel"/>
    <w:lvl w:ilvl="0">
      <w:lvlJc w:val="left"/>
      <w:lvlText w:val="%1"/>
      <w:numFmt w:val="lowerLetter"/>
      <w:start w:val="1"/>
    </w:lvl>
    <w:lvl w:ilvl="1">
      <w:lvlJc w:val="left"/>
      <w:lvlText w:val="(%2)"/>
      <w:numFmt w:val="lowerRoman"/>
      <w:start w:val="3"/>
    </w:lvl>
  </w:abstractNum>
  <w:abstractNum w:abstractNumId="248">
    <w:nsid w:val="392EDBE4"/>
    <w:multiLevelType w:val="hybridMultilevel"/>
    <w:lvl w:ilvl="0">
      <w:lvlJc w:val="left"/>
      <w:lvlText w:val="(%1)"/>
      <w:numFmt w:val="lowerLetter"/>
      <w:start w:val="4"/>
    </w:lvl>
    <w:lvl w:ilvl="1">
      <w:lvlJc w:val="left"/>
      <w:lvlText w:val="%2"/>
      <w:numFmt w:val="lowerRoman"/>
      <w:start w:val="1"/>
    </w:lvl>
  </w:abstractNum>
  <w:abstractNum w:abstractNumId="249">
    <w:nsid w:val="3D1A2DD9"/>
    <w:multiLevelType w:val="hybridMultilevel"/>
    <w:lvl w:ilvl="0">
      <w:lvlJc w:val="left"/>
      <w:lvlText w:val="(%1)"/>
      <w:numFmt w:val="lowerLetter"/>
      <w:start w:val="10"/>
    </w:lvl>
  </w:abstractNum>
  <w:abstractNum w:abstractNumId="250">
    <w:nsid w:val="7F618FCD"/>
    <w:multiLevelType w:val="hybridMultilevel"/>
    <w:lvl w:ilvl="0">
      <w:lvlJc w:val="left"/>
      <w:lvlText w:val="(%1)"/>
      <w:numFmt w:val="lowerLetter"/>
      <w:start w:val="15"/>
    </w:lvl>
  </w:abstractNum>
  <w:abstractNum w:abstractNumId="251">
    <w:nsid w:val="7843E45"/>
    <w:multiLevelType w:val="hybridMultilevel"/>
    <w:lvl w:ilvl="0">
      <w:lvlJc w:val="left"/>
      <w:lvlText w:val="%1."/>
      <w:numFmt w:val="decimal"/>
      <w:start w:val="3"/>
    </w:lvl>
  </w:abstractNum>
  <w:abstractNum w:abstractNumId="252">
    <w:nsid w:val="9815DA3"/>
    <w:multiLevelType w:val="hybridMultilevel"/>
    <w:lvl w:ilvl="0">
      <w:lvlJc w:val="left"/>
      <w:lvlText w:val="%1."/>
      <w:numFmt w:val="decimal"/>
      <w:start w:val="6"/>
    </w:lvl>
  </w:abstractNum>
  <w:abstractNum w:abstractNumId="253">
    <w:nsid w:val="5204A191"/>
    <w:multiLevelType w:val="hybridMultilevel"/>
    <w:lvl w:ilvl="0">
      <w:lvlJc w:val="left"/>
      <w:lvlText w:val="(%1)"/>
      <w:numFmt w:val="lowerLetter"/>
      <w:start w:val="1"/>
    </w:lvl>
  </w:abstractNum>
  <w:abstractNum w:abstractNumId="254">
    <w:nsid w:val="4C73A9C6"/>
    <w:multiLevelType w:val="hybridMultilevel"/>
    <w:lvl w:ilvl="0">
      <w:lvlJc w:val="left"/>
      <w:lvlText w:val="%1."/>
      <w:numFmt w:val="decimal"/>
      <w:start w:val="9"/>
    </w:lvl>
  </w:abstractNum>
  <w:abstractNum w:abstractNumId="255">
    <w:nsid w:val="1C7E3C01"/>
    <w:multiLevelType w:val="hybridMultilevel"/>
    <w:lvl w:ilvl="0">
      <w:lvlJc w:val="left"/>
      <w:lvlText w:val="(%1)"/>
      <w:numFmt w:val="lowerLetter"/>
      <w:start w:val="1"/>
    </w:lvl>
  </w:abstractNum>
  <w:abstractNum w:abstractNumId="256">
    <w:nsid w:val="1C2201FF"/>
    <w:multiLevelType w:val="hybridMultilevel"/>
    <w:lvl w:ilvl="0">
      <w:lvlJc w:val="left"/>
      <w:lvlText w:val="(%1)"/>
      <w:numFmt w:val="lowerLetter"/>
      <w:start w:val="2"/>
    </w:lvl>
  </w:abstractNum>
  <w:abstractNum w:abstractNumId="257">
    <w:nsid w:val="50ABCEC9"/>
    <w:multiLevelType w:val="hybridMultilevel"/>
    <w:lvl w:ilvl="0">
      <w:lvlJc w:val="left"/>
      <w:lvlText w:val="(%1)"/>
      <w:numFmt w:val="lowerLetter"/>
      <w:start w:val="1"/>
    </w:lvl>
  </w:abstractNum>
  <w:abstractNum w:abstractNumId="258">
    <w:nsid w:val="7635AA2A"/>
    <w:multiLevelType w:val="hybridMultilevel"/>
    <w:lvl w:ilvl="0">
      <w:lvlJc w:val="left"/>
      <w:lvlText w:val="(%1)"/>
      <w:numFmt w:val="lowerLetter"/>
      <w:start w:val="1"/>
    </w:lvl>
  </w:abstractNum>
  <w:abstractNum w:abstractNumId="259">
    <w:nsid w:val="5E74C4D9"/>
    <w:multiLevelType w:val="hybridMultilevel"/>
    <w:lvl w:ilvl="0">
      <w:lvlJc w:val="left"/>
      <w:lvlText w:val="(%1)"/>
      <w:numFmt w:val="lowerLetter"/>
      <w:start w:val="2"/>
    </w:lvl>
  </w:abstractNum>
  <w:abstractNum w:abstractNumId="260">
    <w:nsid w:val="3B3EBE15"/>
    <w:multiLevelType w:val="hybridMultilevel"/>
    <w:lvl w:ilvl="0">
      <w:lvlJc w:val="left"/>
      <w:lvlText w:val="(%1)"/>
      <w:numFmt w:val="lowerLetter"/>
      <w:start w:val="1"/>
    </w:lvl>
  </w:abstractNum>
  <w:abstractNum w:abstractNumId="261">
    <w:nsid w:val="3822CB01"/>
    <w:multiLevelType w:val="hybridMultilevel"/>
    <w:lvl w:ilvl="0">
      <w:lvlJc w:val="left"/>
      <w:lvlText w:val="(%1)"/>
      <w:numFmt w:val="lowerLetter"/>
      <w:start w:val="3"/>
    </w:lvl>
  </w:abstractNum>
  <w:abstractNum w:abstractNumId="262">
    <w:nsid w:val="6CE00443"/>
    <w:multiLevelType w:val="hybridMultilevel"/>
    <w:lvl w:ilvl="0">
      <w:lvlJc w:val="left"/>
      <w:lvlText w:val="(%1)"/>
      <w:numFmt w:val="lowerLetter"/>
      <w:start w:val="1"/>
    </w:lvl>
  </w:abstractNum>
  <w:abstractNum w:abstractNumId="263">
    <w:nsid w:val="79F0D62F"/>
    <w:multiLevelType w:val="hybridMultilevel"/>
    <w:lvl w:ilvl="0">
      <w:lvlJc w:val="left"/>
      <w:lvlText w:val="(%1)"/>
      <w:numFmt w:val="lowerLetter"/>
      <w:start w:val="5"/>
    </w:lvl>
  </w:abstractNum>
  <w:abstractNum w:abstractNumId="264">
    <w:nsid w:val="7975E8EE"/>
    <w:multiLevelType w:val="hybridMultilevel"/>
    <w:lvl w:ilvl="0">
      <w:lvlJc w:val="left"/>
      <w:lvlText w:val="(%1)"/>
      <w:numFmt w:val="lowerLetter"/>
      <w:start w:val="1"/>
    </w:lvl>
  </w:abstractNum>
  <w:abstractNum w:abstractNumId="265">
    <w:nsid w:val="73154115"/>
    <w:multiLevelType w:val="hybridMultilevel"/>
    <w:lvl w:ilvl="0">
      <w:lvlJc w:val="left"/>
      <w:lvlText w:val="(%1)"/>
      <w:numFmt w:val="lowerLetter"/>
      <w:start w:val="5"/>
    </w:lvl>
  </w:abstractNum>
  <w:abstractNum w:abstractNumId="266">
    <w:nsid w:val="622D8102"/>
    <w:multiLevelType w:val="hybridMultilevel"/>
    <w:lvl w:ilvl="0">
      <w:lvlJc w:val="left"/>
      <w:lvlText w:val="%1."/>
      <w:numFmt w:val="decimal"/>
      <w:start w:val="15"/>
    </w:lvl>
  </w:abstractNum>
  <w:abstractNum w:abstractNumId="267">
    <w:nsid w:val="2AB26587"/>
    <w:multiLevelType w:val="hybridMultilevel"/>
    <w:lvl w:ilvl="0">
      <w:lvlJc w:val="left"/>
      <w:lvlText w:val="(%1)"/>
      <w:numFmt w:val="lowerLetter"/>
      <w:start w:val="1"/>
    </w:lvl>
  </w:abstractNum>
  <w:abstractNum w:abstractNumId="268">
    <w:nsid w:val="44B3FA61"/>
    <w:multiLevelType w:val="hybridMultilevel"/>
    <w:lvl w:ilvl="0">
      <w:lvlJc w:val="left"/>
      <w:lvlText w:val="(%1)"/>
      <w:numFmt w:val="lowerLetter"/>
      <w:start w:val="2"/>
    </w:lvl>
  </w:abstractNum>
  <w:abstractNum w:abstractNumId="269">
    <w:nsid w:val="1C0CA67C"/>
    <w:multiLevelType w:val="hybridMultilevel"/>
    <w:lvl w:ilvl="0">
      <w:lvlJc w:val="left"/>
      <w:lvlText w:val="%1"/>
      <w:numFmt w:val="lowerLetter"/>
      <w:start w:val="1"/>
    </w:lvl>
    <w:lvl w:ilvl="1">
      <w:lvlJc w:val="left"/>
      <w:lvlText w:val="(%2)"/>
      <w:numFmt w:val="lowerLetter"/>
      <w:start w:val="6"/>
    </w:lvl>
  </w:abstractNum>
  <w:abstractNum w:abstractNumId="270">
    <w:nsid w:val="3D206613"/>
    <w:multiLevelType w:val="hybridMultilevel"/>
    <w:lvl w:ilvl="0">
      <w:lvlJc w:val="left"/>
      <w:lvlText w:val="(%1)"/>
      <w:numFmt w:val="lowerLetter"/>
      <w:start w:val="35"/>
    </w:lvl>
    <w:lvl w:ilvl="1">
      <w:lvlJc w:val="left"/>
      <w:lvlText w:val="%2"/>
      <w:numFmt w:val="lowerLetter"/>
      <w:start w:val="1"/>
    </w:lvl>
  </w:abstractNum>
  <w:abstractNum w:abstractNumId="271">
    <w:nsid w:val="7993B662"/>
    <w:multiLevelType w:val="hybridMultilevel"/>
    <w:lvl w:ilvl="0">
      <w:lvlJc w:val="left"/>
      <w:lvlText w:val="%1."/>
      <w:numFmt w:val="decimal"/>
      <w:start w:val="17"/>
    </w:lvl>
  </w:abstractNum>
  <w:abstractNum w:abstractNumId="272">
    <w:nsid w:val="3BAB699E"/>
    <w:multiLevelType w:val="hybridMultilevel"/>
    <w:lvl w:ilvl="0">
      <w:lvlJc w:val="left"/>
      <w:lvlText w:val="(%1)"/>
      <w:numFmt w:val="lowerLetter"/>
      <w:start w:val="1"/>
    </w:lvl>
  </w:abstractNum>
  <w:abstractNum w:abstractNumId="273">
    <w:nsid w:val="71315369"/>
    <w:multiLevelType w:val="hybridMultilevel"/>
    <w:lvl w:ilvl="0">
      <w:lvlJc w:val="left"/>
      <w:lvlText w:val="(%1)"/>
      <w:numFmt w:val="lowerLetter"/>
      <w:start w:val="3"/>
    </w:lvl>
  </w:abstractNum>
  <w:abstractNum w:abstractNumId="274">
    <w:nsid w:val="7BCFBAFC"/>
    <w:multiLevelType w:val="hybridMultilevel"/>
    <w:lvl w:ilvl="0">
      <w:lvlJc w:val="left"/>
      <w:lvlText w:val="%1."/>
      <w:numFmt w:val="decimal"/>
      <w:start w:val="20"/>
    </w:lvl>
  </w:abstractNum>
  <w:abstractNum w:abstractNumId="275">
    <w:nsid w:val="17859F72"/>
    <w:multiLevelType w:val="hybridMultilevel"/>
    <w:lvl w:ilvl="0">
      <w:lvlJc w:val="left"/>
      <w:lvlText w:val="(%1)"/>
      <w:numFmt w:val="lowerLetter"/>
      <w:start w:val="1"/>
    </w:lvl>
  </w:abstractNum>
  <w:abstractNum w:abstractNumId="276">
    <w:nsid w:val="3AA10581"/>
    <w:multiLevelType w:val="hybridMultilevel"/>
    <w:lvl w:ilvl="0">
      <w:lvlJc w:val="left"/>
      <w:lvlText w:val="%1"/>
      <w:numFmt w:val="lowerLetter"/>
      <w:start w:val="1"/>
    </w:lvl>
    <w:lvl w:ilvl="1">
      <w:lvlJc w:val="left"/>
      <w:lvlText w:val="%2"/>
      <w:numFmt w:val="decimal"/>
      <w:start w:val="1"/>
    </w:lvl>
    <w:lvl w:ilvl="2">
      <w:lvlJc w:val="left"/>
      <w:lvlText w:val="%3."/>
      <w:numFmt w:val="decimal"/>
      <w:start w:val="22"/>
    </w:lvl>
  </w:abstractNum>
  <w:abstractNum w:abstractNumId="277">
    <w:nsid w:val="63DE60CD"/>
    <w:multiLevelType w:val="hybridMultilevel"/>
    <w:lvl w:ilvl="0">
      <w:lvlJc w:val="left"/>
      <w:lvlText w:val="(%1)"/>
      <w:numFmt w:val="lowerLetter"/>
      <w:start w:val="3"/>
    </w:lvl>
    <w:lvl w:ilvl="1">
      <w:lvlJc w:val="left"/>
      <w:lvlText w:val="%2."/>
      <w:numFmt w:val="decimal"/>
      <w:start w:val="23"/>
    </w:lvl>
    <w:lvl w:ilvl="2">
      <w:lvlJc w:val="left"/>
      <w:lvlText w:val="%3"/>
      <w:numFmt w:val="decimal"/>
      <w:start w:val="1"/>
    </w:lvl>
  </w:abstractNum>
  <w:abstractNum w:abstractNumId="278">
    <w:nsid w:val="621AF471"/>
    <w:multiLevelType w:val="hybridMultilevel"/>
    <w:lvl w:ilvl="0">
      <w:lvlJc w:val="left"/>
      <w:lvlText w:val="%1."/>
      <w:numFmt w:val="decimal"/>
      <w:start w:val="27"/>
    </w:lvl>
  </w:abstractNum>
  <w:abstractNum w:abstractNumId="279">
    <w:nsid w:val="73CFE165"/>
    <w:multiLevelType w:val="hybridMultilevel"/>
    <w:lvl w:ilvl="0">
      <w:lvlJc w:val="left"/>
      <w:lvlText w:val="%1."/>
      <w:numFmt w:val="decimal"/>
      <w:start w:val="1"/>
    </w:lvl>
  </w:abstractNum>
  <w:abstractNum w:abstractNumId="280">
    <w:nsid w:val="20F88EA6"/>
    <w:multiLevelType w:val="hybridMultilevel"/>
    <w:lvl w:ilvl="0">
      <w:lvlJc w:val="left"/>
      <w:lvlText w:val="(%1)"/>
      <w:numFmt w:val="lowerLetter"/>
      <w:start w:val="1"/>
    </w:lvl>
    <w:lvl w:ilvl="1">
      <w:lvlJc w:val="left"/>
      <w:lvlText w:val="(%2)"/>
      <w:numFmt w:val="lowerRoman"/>
      <w:start w:val="1"/>
    </w:lvl>
  </w:abstractNum>
  <w:abstractNum w:abstractNumId="281">
    <w:nsid w:val="617C843E"/>
    <w:multiLevelType w:val="hybridMultilevel"/>
    <w:lvl w:ilvl="0">
      <w:lvlJc w:val="left"/>
      <w:lvlText w:val="%1"/>
      <w:numFmt w:val="lowerLetter"/>
      <w:start w:val="1"/>
    </w:lvl>
    <w:lvl w:ilvl="1">
      <w:lvlJc w:val="left"/>
      <w:lvlText w:val="(%2)"/>
      <w:numFmt w:val="lowerRoman"/>
      <w:start w:val="3"/>
    </w:lvl>
  </w:abstractNum>
  <w:abstractNum w:abstractNumId="282">
    <w:nsid w:val="7B541FAB"/>
    <w:multiLevelType w:val="hybridMultilevel"/>
    <w:lvl w:ilvl="0">
      <w:lvlJc w:val="left"/>
      <w:lvlText w:val="(%1)"/>
      <w:numFmt w:val="lowerLetter"/>
      <w:start w:val="4"/>
    </w:lvl>
    <w:lvl w:ilvl="1">
      <w:lvlJc w:val="left"/>
      <w:lvlText w:val="%2"/>
      <w:numFmt w:val="lowerRoman"/>
      <w:start w:val="1"/>
    </w:lvl>
  </w:abstractNum>
  <w:abstractNum w:abstractNumId="283">
    <w:nsid w:val="2A79EC49"/>
    <w:multiLevelType w:val="hybridMultilevel"/>
    <w:lvl w:ilvl="0">
      <w:lvlJc w:val="left"/>
      <w:lvlText w:val="(%1)"/>
      <w:numFmt w:val="lowerLetter"/>
      <w:start w:val="10"/>
    </w:lvl>
  </w:abstractNum>
  <w:abstractNum w:abstractNumId="284">
    <w:nsid w:val="338125CF"/>
    <w:multiLevelType w:val="hybridMultilevel"/>
    <w:lvl w:ilvl="0">
      <w:lvlJc w:val="left"/>
      <w:lvlText w:val="(%1)"/>
      <w:numFmt w:val="lowerLetter"/>
      <w:start w:val="15"/>
    </w:lvl>
  </w:abstractNum>
  <w:abstractNum w:abstractNumId="285">
    <w:nsid w:val="47C7C971"/>
    <w:multiLevelType w:val="hybridMultilevel"/>
    <w:lvl w:ilvl="0">
      <w:lvlJc w:val="left"/>
      <w:lvlText w:val="%1."/>
      <w:numFmt w:val="decimal"/>
      <w:start w:val="3"/>
    </w:lvl>
  </w:abstractNum>
  <w:abstractNum w:abstractNumId="286">
    <w:nsid w:val="46F8284B"/>
    <w:multiLevelType w:val="hybridMultilevel"/>
    <w:lvl w:ilvl="0">
      <w:lvlJc w:val="left"/>
      <w:lvlText w:val="%1."/>
      <w:numFmt w:val="decimal"/>
      <w:start w:val="6"/>
    </w:lvl>
  </w:abstractNum>
  <w:abstractNum w:abstractNumId="287">
    <w:nsid w:val="4FA327CE"/>
    <w:multiLevelType w:val="hybridMultilevel"/>
    <w:lvl w:ilvl="0">
      <w:lvlJc w:val="left"/>
      <w:lvlText w:val="(%1)"/>
      <w:numFmt w:val="lowerLetter"/>
      <w:start w:val="1"/>
    </w:lvl>
  </w:abstractNum>
  <w:abstractNum w:abstractNumId="288">
    <w:nsid w:val="1873983A"/>
    <w:multiLevelType w:val="hybridMultilevel"/>
    <w:lvl w:ilvl="0">
      <w:lvlJc w:val="left"/>
      <w:lvlText w:val="%1."/>
      <w:numFmt w:val="decimal"/>
      <w:start w:val="9"/>
    </w:lvl>
  </w:abstractNum>
  <w:abstractNum w:abstractNumId="289">
    <w:nsid w:val="3D2DD275"/>
    <w:multiLevelType w:val="hybridMultilevel"/>
    <w:lvl w:ilvl="0">
      <w:lvlJc w:val="left"/>
      <w:lvlText w:val="(%1)"/>
      <w:numFmt w:val="lowerLetter"/>
      <w:start w:val="1"/>
    </w:lvl>
  </w:abstractNum>
  <w:abstractNum w:abstractNumId="290">
    <w:nsid w:val="2E17ECA7"/>
    <w:multiLevelType w:val="hybridMultilevel"/>
    <w:lvl w:ilvl="0">
      <w:lvlJc w:val="left"/>
      <w:lvlText w:val="(%1)"/>
      <w:numFmt w:val="lowerLetter"/>
      <w:start w:val="2"/>
    </w:lvl>
  </w:abstractNum>
  <w:abstractNum w:abstractNumId="291">
    <w:nsid w:val="53B2564F"/>
    <w:multiLevelType w:val="hybridMultilevel"/>
    <w:lvl w:ilvl="0">
      <w:lvlJc w:val="left"/>
      <w:lvlText w:val="(%1)"/>
      <w:numFmt w:val="lowerLetter"/>
      <w:start w:val="1"/>
    </w:lvl>
  </w:abstractNum>
  <w:abstractNum w:abstractNumId="292">
    <w:nsid w:val="75509D76"/>
    <w:multiLevelType w:val="hybridMultilevel"/>
    <w:lvl w:ilvl="0">
      <w:lvlJc w:val="left"/>
      <w:lvlText w:val="(%1)"/>
      <w:numFmt w:val="lowerLetter"/>
      <w:start w:val="1"/>
    </w:lvl>
  </w:abstractNum>
  <w:abstractNum w:abstractNumId="293">
    <w:nsid w:val="1AF7F0EA"/>
    <w:multiLevelType w:val="hybridMultilevel"/>
    <w:lvl w:ilvl="0">
      <w:lvlJc w:val="left"/>
      <w:lvlText w:val="(%1)"/>
      <w:numFmt w:val="lowerLetter"/>
      <w:start w:val="2"/>
    </w:lvl>
  </w:abstractNum>
  <w:abstractNum w:abstractNumId="294">
    <w:nsid w:val="4DA32C7E"/>
    <w:multiLevelType w:val="hybridMultilevel"/>
    <w:lvl w:ilvl="0">
      <w:lvlJc w:val="left"/>
      <w:lvlText w:val="(%1)"/>
      <w:numFmt w:val="lowerLetter"/>
      <w:start w:val="1"/>
    </w:lvl>
  </w:abstractNum>
  <w:abstractNum w:abstractNumId="295">
    <w:nsid w:val="6EC68664"/>
    <w:multiLevelType w:val="hybridMultilevel"/>
    <w:lvl w:ilvl="0">
      <w:lvlJc w:val="left"/>
      <w:lvlText w:val="(%1)"/>
      <w:numFmt w:val="lowerLetter"/>
      <w:start w:val="3"/>
    </w:lvl>
  </w:abstractNum>
  <w:abstractNum w:abstractNumId="296">
    <w:nsid w:val="E0D31FF"/>
    <w:multiLevelType w:val="hybridMultilevel"/>
    <w:lvl w:ilvl="0">
      <w:lvlJc w:val="left"/>
      <w:lvlText w:val="(%1)"/>
      <w:numFmt w:val="lowerLetter"/>
      <w:start w:val="1"/>
    </w:lvl>
  </w:abstractNum>
  <w:abstractNum w:abstractNumId="297">
    <w:nsid w:val="2FD0AD81"/>
    <w:multiLevelType w:val="hybridMultilevel"/>
    <w:lvl w:ilvl="0">
      <w:lvlJc w:val="left"/>
      <w:lvlText w:val="(%1)"/>
      <w:numFmt w:val="lowerLetter"/>
      <w:start w:val="5"/>
    </w:lvl>
  </w:abstractNum>
  <w:abstractNum w:abstractNumId="298">
    <w:nsid w:val="1978EBEB"/>
    <w:multiLevelType w:val="hybridMultilevel"/>
    <w:lvl w:ilvl="0">
      <w:lvlJc w:val="left"/>
      <w:lvlText w:val="(%1)"/>
      <w:numFmt w:val="lowerLetter"/>
      <w:start w:val="1"/>
    </w:lvl>
  </w:abstractNum>
  <w:abstractNum w:abstractNumId="299">
    <w:nsid w:val="52C12C61"/>
    <w:multiLevelType w:val="hybridMultilevel"/>
    <w:lvl w:ilvl="0">
      <w:lvlJc w:val="left"/>
      <w:lvlText w:val="(%1)"/>
      <w:numFmt w:val="lowerLetter"/>
      <w:start w:val="5"/>
    </w:lvl>
  </w:abstractNum>
  <w:abstractNum w:abstractNumId="300">
    <w:nsid w:val="4BDD53FD"/>
    <w:multiLevelType w:val="hybridMultilevel"/>
    <w:lvl w:ilvl="0">
      <w:lvlJc w:val="left"/>
      <w:lvlText w:val="%1."/>
      <w:numFmt w:val="decimal"/>
      <w:start w:val="15"/>
    </w:lvl>
  </w:abstractNum>
  <w:abstractNum w:abstractNumId="301">
    <w:nsid w:val="569951FE"/>
    <w:multiLevelType w:val="hybridMultilevel"/>
    <w:lvl w:ilvl="0">
      <w:lvlJc w:val="left"/>
      <w:lvlText w:val="(%1)"/>
      <w:numFmt w:val="lowerLetter"/>
      <w:start w:val="1"/>
    </w:lvl>
  </w:abstractNum>
  <w:abstractNum w:abstractNumId="302">
    <w:nsid w:val="4C54E2C3"/>
    <w:multiLevelType w:val="hybridMultilevel"/>
    <w:lvl w:ilvl="0">
      <w:lvlJc w:val="left"/>
      <w:lvlText w:val="(%1)"/>
      <w:numFmt w:val="lowerLetter"/>
      <w:start w:val="2"/>
    </w:lvl>
  </w:abstractNum>
  <w:abstractNum w:abstractNumId="303">
    <w:nsid w:val="788BD9B"/>
    <w:multiLevelType w:val="hybridMultilevel"/>
    <w:lvl w:ilvl="0">
      <w:lvlJc w:val="left"/>
      <w:lvlText w:val="%1"/>
      <w:numFmt w:val="lowerLetter"/>
      <w:start w:val="1"/>
    </w:lvl>
    <w:lvl w:ilvl="1">
      <w:lvlJc w:val="left"/>
      <w:lvlText w:val="(%2)"/>
      <w:numFmt w:val="lowerLetter"/>
      <w:start w:val="6"/>
    </w:lvl>
  </w:abstractNum>
  <w:abstractNum w:abstractNumId="304">
    <w:nsid w:val="47CAA567"/>
    <w:multiLevelType w:val="hybridMultilevel"/>
    <w:lvl w:ilvl="0">
      <w:lvlJc w:val="left"/>
      <w:lvlText w:val="(%1)"/>
      <w:numFmt w:val="lowerLetter"/>
      <w:start w:val="35"/>
    </w:lvl>
    <w:lvl w:ilvl="1">
      <w:lvlJc w:val="left"/>
      <w:lvlText w:val="%2"/>
      <w:numFmt w:val="lowerLetter"/>
      <w:start w:val="1"/>
    </w:lvl>
  </w:abstractNum>
  <w:abstractNum w:abstractNumId="305">
    <w:nsid w:val="48249DBF"/>
    <w:multiLevelType w:val="hybridMultilevel"/>
    <w:lvl w:ilvl="0">
      <w:lvlJc w:val="left"/>
      <w:lvlText w:val="%1."/>
      <w:numFmt w:val="decimal"/>
      <w:start w:val="17"/>
    </w:lvl>
  </w:abstractNum>
  <w:abstractNum w:abstractNumId="306">
    <w:nsid w:val="1F0E5D0D"/>
    <w:multiLevelType w:val="hybridMultilevel"/>
    <w:lvl w:ilvl="0">
      <w:lvlJc w:val="left"/>
      <w:lvlText w:val="(%1)"/>
      <w:numFmt w:val="lowerLetter"/>
      <w:start w:val="1"/>
    </w:lvl>
  </w:abstractNum>
  <w:abstractNum w:abstractNumId="307">
    <w:nsid w:val="26BAAE9"/>
    <w:multiLevelType w:val="hybridMultilevel"/>
    <w:lvl w:ilvl="0">
      <w:lvlJc w:val="left"/>
      <w:lvlText w:val="(%1)"/>
      <w:numFmt w:val="lowerLetter"/>
      <w:start w:val="3"/>
    </w:lvl>
  </w:abstractNum>
  <w:abstractNum w:abstractNumId="308">
    <w:nsid w:val="2C02FE8C"/>
    <w:multiLevelType w:val="hybridMultilevel"/>
    <w:lvl w:ilvl="0">
      <w:lvlJc w:val="left"/>
      <w:lvlText w:val="%1."/>
      <w:numFmt w:val="decimal"/>
      <w:start w:val="20"/>
    </w:lvl>
  </w:abstractNum>
  <w:abstractNum w:abstractNumId="309">
    <w:nsid w:val="129517E"/>
    <w:multiLevelType w:val="hybridMultilevel"/>
    <w:lvl w:ilvl="0">
      <w:lvlJc w:val="left"/>
      <w:lvlText w:val="(%1)"/>
      <w:numFmt w:val="lowerLetter"/>
      <w:start w:val="1"/>
    </w:lvl>
  </w:abstractNum>
  <w:abstractNum w:abstractNumId="310">
    <w:nsid w:val="763B8C4E"/>
    <w:multiLevelType w:val="hybridMultilevel"/>
    <w:lvl w:ilvl="0">
      <w:lvlJc w:val="left"/>
      <w:lvlText w:val="%1"/>
      <w:numFmt w:val="lowerLetter"/>
      <w:start w:val="1"/>
    </w:lvl>
    <w:lvl w:ilvl="1">
      <w:lvlJc w:val="left"/>
      <w:lvlText w:val="%2"/>
      <w:numFmt w:val="decimal"/>
      <w:start w:val="1"/>
    </w:lvl>
    <w:lvl w:ilvl="2">
      <w:lvlJc w:val="left"/>
      <w:lvlText w:val="%3."/>
      <w:numFmt w:val="decimal"/>
      <w:start w:val="22"/>
    </w:lvl>
  </w:abstractNum>
  <w:abstractNum w:abstractNumId="311">
    <w:nsid w:val="4CFB8D32"/>
    <w:multiLevelType w:val="hybridMultilevel"/>
    <w:lvl w:ilvl="0">
      <w:lvlJc w:val="left"/>
      <w:lvlText w:val="(%1)"/>
      <w:numFmt w:val="lowerLetter"/>
      <w:start w:val="3"/>
    </w:lvl>
    <w:lvl w:ilvl="1">
      <w:lvlJc w:val="left"/>
      <w:lvlText w:val="%2."/>
      <w:numFmt w:val="decimal"/>
      <w:start w:val="23"/>
    </w:lvl>
    <w:lvl w:ilvl="2">
      <w:lvlJc w:val="left"/>
      <w:lvlText w:val="%3"/>
      <w:numFmt w:val="decimal"/>
      <w:start w:val="1"/>
    </w:lvl>
  </w:abstractNum>
  <w:abstractNum w:abstractNumId="312">
    <w:nsid w:val="62A5D5BD"/>
    <w:multiLevelType w:val="hybridMultilevel"/>
    <w:lvl w:ilvl="0">
      <w:lvlJc w:val="left"/>
      <w:lvlText w:val="%1."/>
      <w:numFmt w:val="decimal"/>
      <w:start w:val="27"/>
    </w:lvl>
  </w:abstractNum>
  <w:abstractNum w:abstractNumId="313">
    <w:nsid w:val="718FABF9"/>
    <w:multiLevelType w:val="hybridMultilevel"/>
    <w:lvl w:ilvl="0">
      <w:lvlJc w:val="left"/>
      <w:lvlText w:val="(%1)"/>
      <w:numFmt w:val="decimal"/>
      <w:start w:val="1"/>
    </w:lvl>
    <w:lvl w:ilvl="1">
      <w:lvlJc w:val="left"/>
      <w:lvlText w:val="(%2)"/>
      <w:numFmt w:val="lowerLetter"/>
      <w:start w:val="1"/>
    </w:lvl>
  </w:abstractNum>
  <w:abstractNum w:abstractNumId="314">
    <w:nsid w:val="7775797C"/>
    <w:multiLevelType w:val="hybridMultilevel"/>
    <w:lvl w:ilvl="0">
      <w:lvlJc w:val="left"/>
      <w:lvlText w:val="%1"/>
      <w:numFmt w:val="decimal"/>
      <w:start w:val="1"/>
    </w:lvl>
    <w:lvl w:ilvl="1">
      <w:lvlJc w:val="left"/>
      <w:lvlText w:val="(%2)"/>
      <w:numFmt w:val="lowerLetter"/>
      <w:start w:val="5"/>
    </w:lvl>
  </w:abstractNum>
  <w:abstractNum w:abstractNumId="315">
    <w:nsid w:val="1626FB8C"/>
    <w:multiLevelType w:val="hybridMultilevel"/>
    <w:lvl w:ilvl="0">
      <w:lvlJc w:val="left"/>
      <w:lvlText w:val="(%1)"/>
      <w:numFmt w:val="decimal"/>
      <w:start w:val="1"/>
    </w:lvl>
    <w:lvl w:ilvl="1">
      <w:lvlJc w:val="left"/>
      <w:lvlText w:val="(%2)"/>
      <w:numFmt w:val="lowerLetter"/>
      <w:start w:val="1"/>
    </w:lvl>
  </w:abstractNum>
  <w:abstractNum w:abstractNumId="316">
    <w:nsid w:val="3957756A"/>
    <w:multiLevelType w:val="hybridMultilevel"/>
    <w:lvl w:ilvl="0">
      <w:lvlJc w:val="left"/>
      <w:lvlText w:val="%1"/>
      <w:numFmt w:val="decimal"/>
      <w:start w:val="1"/>
    </w:lvl>
    <w:lvl w:ilvl="1">
      <w:lvlJc w:val="left"/>
      <w:lvlText w:val="(%2)"/>
      <w:numFmt w:val="lowerLetter"/>
      <w:start w:val="5"/>
    </w:lvl>
  </w:abstractNum>
  <w:abstractNum w:abstractNumId="317">
    <w:nsid w:val="3E6DA1C7"/>
    <w:multiLevelType w:val="hybridMultilevel"/>
    <w:lvl w:ilvl="0">
      <w:lvlJc w:val="left"/>
      <w:lvlText w:val="%1."/>
      <w:numFmt w:val="decimal"/>
      <w:start w:val="1"/>
    </w:lvl>
  </w:abstractNum>
  <w:abstractNum w:abstractNumId="318">
    <w:nsid w:val="65CA23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100" Type="http://schemas.openxmlformats.org/officeDocument/2006/relationships/image" Target="media/image78.png"/><Relationship Id="rId102" Type="http://schemas.openxmlformats.org/officeDocument/2006/relationships/image" Target="media/image79.png"/><Relationship Id="rId104"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77" Type="http://schemas.openxmlformats.org/officeDocument/2006/relationships/hyperlink" Target="http://www.sec.gov/Archives/edgar/data/1818331/000121390021008253/ea135116ex2-1_cmlife.htm" TargetMode="External"/><Relationship Id="rId78" Type="http://schemas.openxmlformats.org/officeDocument/2006/relationships/hyperlink" Target="http://www.sec.gov/Archives/edgar/data/1818331/000121390020025454/ea126481ex3-1_cmlife.htm" TargetMode="External"/><Relationship Id="rId79" Type="http://schemas.openxmlformats.org/officeDocument/2006/relationships/hyperlink" Target="http://www.sec.gov/Archives/edgar/data/1818331/000121390020023383/fs12020a1ex3-3_cmlifesci.htm" TargetMode="External"/><Relationship Id="rId80" Type="http://schemas.openxmlformats.org/officeDocument/2006/relationships/hyperlink" Target="http://www.sec.gov/Archives/edgar/data/1818331/000121390020025454/ea126481ex10-1_cmlife.htm" TargetMode="External"/><Relationship Id="rId81" Type="http://schemas.openxmlformats.org/officeDocument/2006/relationships/hyperlink" Target="http://www.sec.gov/Archives/edgar/data/1818331/000121390020023383/fs12020a1ex4-1_cmlifesci.htm" TargetMode="External"/><Relationship Id="rId82" Type="http://schemas.openxmlformats.org/officeDocument/2006/relationships/hyperlink" Target="http://www.sec.gov/Archives/edgar/data/1818331/000121390020023383/fs12020a1ex4-2_cmlifesci.htm" TargetMode="External"/><Relationship Id="rId83" Type="http://schemas.openxmlformats.org/officeDocument/2006/relationships/hyperlink" Target="http://www.sec.gov/Archives/edgar/data/1818331/000121390020023383/fs12020a1ex4-3_cmlifesci.htm" TargetMode="External"/><Relationship Id="rId84" Type="http://schemas.openxmlformats.org/officeDocument/2006/relationships/hyperlink" Target="http://www.sec.gov/Archives/edgar/data/1818331/000121390020023383/fs12020a1ex10-6_cmlifesci.htm" TargetMode="External"/><Relationship Id="rId85" Type="http://schemas.openxmlformats.org/officeDocument/2006/relationships/hyperlink" Target="http://www.sec.gov/Archives/edgar/data/1818331/000121390020023383/fs12020a1ex10-7_cmlifesci.htm" TargetMode="External"/><Relationship Id="rId86" Type="http://schemas.openxmlformats.org/officeDocument/2006/relationships/hyperlink" Target="http://www.sec.gov/Archives/edgar/data/1818331/000121390020025454/ea126481ex10-5_cmlife.htm" TargetMode="External"/><Relationship Id="rId87" Type="http://schemas.openxmlformats.org/officeDocument/2006/relationships/hyperlink" Target="http://www.sec.gov/Archives/edgar/data/1818331/000121390020025454/ea126481ex10-2_cmlife.htm" TargetMode="External"/><Relationship Id="rId88" Type="http://schemas.openxmlformats.org/officeDocument/2006/relationships/hyperlink" Target="http://www.sec.gov/Archives/edgar/data/1818331/000121390020025454/ea126481ex10-3_cmlife.htm" TargetMode="External"/><Relationship Id="rId89" Type="http://schemas.openxmlformats.org/officeDocument/2006/relationships/hyperlink" Target="http://www.sec.gov/Archives/edgar/data/1818331/000121390020025454/ea126481ex10-6_cmlife.htm" TargetMode="External"/><Relationship Id="rId90" Type="http://schemas.openxmlformats.org/officeDocument/2006/relationships/hyperlink" Target="http://www.sec.gov/Archives/edgar/data/1818331/000121390020025454/ea126481ex10-7_cmlife.htm" TargetMode="External"/><Relationship Id="rId99" Type="http://schemas.openxmlformats.org/officeDocument/2006/relationships/hyperlink" Target="http://www.sec.gov/Archives/edgar/data/1818331/000121390021008253/ea135116ex10-1_cmlife.htm" TargetMode="External"/><Relationship Id="rId101" Type="http://schemas.openxmlformats.org/officeDocument/2006/relationships/hyperlink" Target="http://www.sec.gov/Archives/edgar/data/1818331/000121390021008253/ea135116ex10-3_cmlife.htm" TargetMode="External"/><Relationship Id="rId103" Type="http://schemas.openxmlformats.org/officeDocument/2006/relationships/hyperlink" Target="http://www.sec.gov/Archives/edgar/data/1818331/000121390021008253/ea135116ex10-4_cmlife.htm" TargetMode="External"/><Relationship Id="rId105" Type="http://schemas.openxmlformats.org/officeDocument/2006/relationships/hyperlink" Target="http://www.sec.gov/Archives/edgar/data/1818331/000121390020023383/fs12020a1ex14_cmlifesc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2021-03-30T16:41:20Z</dcterms:created>
  <dcterms:modified xsi:type="dcterms:W3CDTF">2021-03-30T16:41:20Z</dcterms:modified>
</cp:coreProperties>
</file>