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February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CM LIFE SCIENCES, INC.</w:t>
      </w:r>
    </w:p>
    <w:p>
      <w:pPr>
        <w:spacing w:after="0" w:line="3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5"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0" w:type="dxa"/>
            <w:vAlign w:val="bottom"/>
            <w:gridSpan w:val="3"/>
          </w:tcPr>
          <w:p>
            <w:pPr>
              <w:jc w:val="center"/>
              <w:ind w:left="720"/>
              <w:spacing w:after="0"/>
              <w:rPr>
                <w:sz w:val="20"/>
                <w:szCs w:val="20"/>
                <w:color w:val="auto"/>
              </w:rPr>
            </w:pPr>
            <w:r>
              <w:rPr>
                <w:rFonts w:ascii="Times New Roman" w:cs="Times New Roman" w:eastAsia="Times New Roman" w:hAnsi="Times New Roman"/>
                <w:sz w:val="16"/>
                <w:szCs w:val="16"/>
                <w:b w:val="1"/>
                <w:bCs w:val="1"/>
                <w:color w:val="auto"/>
                <w:w w:val="98"/>
              </w:rPr>
              <w:t>001-39482</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85-1966622</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w:t>
            </w: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600"/>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304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color w:val="auto"/>
                <w:w w:val="99"/>
              </w:rPr>
              <w:t>File Number)</w:t>
            </w:r>
          </w:p>
        </w:tc>
        <w:tc>
          <w:tcPr>
            <w:tcW w:w="2940" w:type="dxa"/>
            <w:vAlign w:val="bottom"/>
          </w:tcPr>
          <w:p>
            <w:pPr>
              <w:jc w:val="center"/>
              <w:ind w:right="60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4"/>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c/o Corvex Management LP</w:t>
            </w:r>
          </w:p>
        </w:tc>
        <w:tc>
          <w:tcPr>
            <w:tcW w:w="294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667 Madison Avenue</w:t>
            </w:r>
          </w:p>
        </w:tc>
        <w:tc>
          <w:tcPr>
            <w:tcW w:w="2940" w:type="dxa"/>
            <w:vAlign w:val="bottom"/>
          </w:tcPr>
          <w:p>
            <w:pPr>
              <w:spacing w:after="0"/>
              <w:rPr>
                <w:sz w:val="16"/>
                <w:szCs w:val="16"/>
                <w:color w:val="auto"/>
              </w:rPr>
            </w:pPr>
          </w:p>
        </w:tc>
      </w:tr>
      <w:tr>
        <w:trPr>
          <w:trHeight w:val="193"/>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294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gridSpan w:val="4"/>
          </w:tcPr>
          <w:p>
            <w:pPr>
              <w:jc w:val="center"/>
              <w:ind w:right="660"/>
              <w:spacing w:after="0"/>
              <w:rPr>
                <w:sz w:val="20"/>
                <w:szCs w:val="20"/>
                <w:color w:val="auto"/>
              </w:rPr>
            </w:pPr>
            <w:r>
              <w:rPr>
                <w:rFonts w:ascii="Times New Roman" w:cs="Times New Roman" w:eastAsia="Times New Roman" w:hAnsi="Times New Roman"/>
                <w:sz w:val="16"/>
                <w:szCs w:val="16"/>
                <w:color w:val="auto"/>
                <w:w w:val="99"/>
              </w:rPr>
              <w:t>(Address of principal executive offices, including zip code)</w:t>
            </w:r>
          </w:p>
        </w:tc>
        <w:tc>
          <w:tcPr>
            <w:tcW w:w="294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28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(212) 474-6745</w:t>
            </w:r>
          </w:p>
        </w:tc>
        <w:tc>
          <w:tcPr>
            <w:tcW w:w="294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c>
          <w:tcPr>
            <w:tcW w:w="294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20" w:type="dxa"/>
            <w:vAlign w:val="bottom"/>
            <w:gridSpan w:val="4"/>
          </w:tcPr>
          <w:p>
            <w:pPr>
              <w:jc w:val="center"/>
              <w:ind w:right="680"/>
              <w:spacing w:after="0"/>
              <w:rPr>
                <w:sz w:val="20"/>
                <w:szCs w:val="20"/>
                <w:color w:val="auto"/>
              </w:rPr>
            </w:pPr>
            <w:r>
              <w:rPr>
                <w:rFonts w:ascii="Times New Roman" w:cs="Times New Roman" w:eastAsia="Times New Roman" w:hAnsi="Times New Roman"/>
                <w:sz w:val="16"/>
                <w:szCs w:val="16"/>
                <w:color w:val="auto"/>
                <w:w w:val="99"/>
              </w:rPr>
              <w:t>(Former name or former address, if changed since last report)</w:t>
            </w:r>
          </w:p>
        </w:tc>
        <w:tc>
          <w:tcPr>
            <w:tcW w:w="29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ind w:left="4" w:right="700" w:firstLine="574"/>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sz w:val="24"/>
          <w:szCs w:val="24"/>
          <w:color w:val="auto"/>
        </w:rPr>
      </w:pPr>
    </w:p>
    <w:p>
      <w:pPr>
        <w:ind w:left="4"/>
        <w:spacing w:after="0"/>
        <w:rPr>
          <w:sz w:val="24"/>
          <w:szCs w:val="24"/>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8" w:lineRule="exact"/>
        <w:rPr>
          <w:sz w:val="24"/>
          <w:szCs w:val="24"/>
          <w:color w:val="auto"/>
        </w:rPr>
      </w:pPr>
    </w:p>
    <w:p>
      <w:pPr>
        <w:ind w:left="4"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98" w:lineRule="exact"/>
        <w:rPr>
          <w:sz w:val="24"/>
          <w:szCs w:val="24"/>
          <w:color w:val="auto"/>
        </w:rPr>
      </w:pPr>
    </w:p>
    <w:p>
      <w:pPr>
        <w:ind w:left="4" w:right="20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714819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528955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4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On February 10, 2021, CM Life Sciences, Inc. (the “Company”) issued a press release announcing that it has executed an Agreement and Plan of Merger (the “Merger Agreement”), by and among the Company, Mount Sinai Genomics, Inc., a Delaware corporation, d/b/a Sema4 (“Sema4”) and S-IV Sub, Inc., a Delaware corporation and a direct, wholly-owned subsidiary of the Company (“Merger Sub”) (the transactions contemplated by the Merger Agreement, the “Business Combination”). A copy of the press release is furnished hereto as Exhibit 99.1.</w:t>
      </w:r>
    </w:p>
    <w:p>
      <w:pPr>
        <w:spacing w:after="0" w:line="16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Furnished as Exhibit 99.2 hereto is an investor presentation, dated February 9, 2021, that will be used by the Company on a pre-recorded investor presentation regarding the Business Combination.</w:t>
      </w:r>
    </w:p>
    <w:p>
      <w:pPr>
        <w:spacing w:after="0" w:line="14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The information in this Item 7.01 and Exhibits 99.1 and 99.2 attached hereto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(the “Securities Act”) or the Exchange Act, regardless of any general incorporation language in such filings.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 Looking Statements</w:t>
      </w:r>
    </w:p>
    <w:p>
      <w:pPr>
        <w:spacing w:after="0" w:line="2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This Current Report on Form 8-K contains certain forward-looking statements within the meaning of the federal securities laws with respect to the proposed transaction between Sema4 and the Company,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the Company’s securities, (ii) the risk that the transaction may not be completed by the Company’s business combination deadline and the potential failure to obtain an extension of the business combination deadline if sought by the Company, (iii) the failure to satisfy the conditions to the consummation of the transaction, including the adoption of the merger agreement by the shareholders of the Company, the satisfaction of the minimum trust account amount following redemptions by the Company’s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the Company related to the merger agreement or the transaction, (x) the ability to maintain the listing of the Company’s securities on a national securities exchange, (xi) the price of the Company’s securities may be volatile due to a variety of factors, including changes in the competitive and highly regulated industries in which the Company plans to operate or Sema4 operates, variations in operating performance across competitors, changes in laws and regulations affecting the Company’s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the Company’s registration on Form S-1 (File No. 333-246251), the proxy statement discussed above and other documents filed by the Company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the Company assume no obligation and do not intend to update or revise these forward-looking statements, whether as a result of new information, future events, or otherwise. Neither Sema4 nor the Company gives any assurance that either Sema4 or the Company or the combined company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 / Non-Solicitation</w:t>
      </w:r>
    </w:p>
    <w:p>
      <w:pPr>
        <w:spacing w:after="0" w:line="200"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5"/>
          <w:szCs w:val="15"/>
          <w:color w:val="auto"/>
        </w:rPr>
        <w:t>In connection with the proposed transaction, the Company intends to file a proxy statement with the SEC. The proxy statement will be sent to the stockholders of the Company. The Company and Sema4 also will file other documents regarding the proposed transaction with the SEC. Before making any voting decision, investors and security holders of the Company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the Company and Sema4 through the website maintained by the SEC at www.sec.gov.</w:t>
      </w:r>
    </w:p>
    <w:p>
      <w:pPr>
        <w:spacing w:after="0" w:line="148"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The documents filed by the Company with the SEC also may be obtained free of charge at the Company’s website at https://cmlifesciencesspac.com/ or upon written request to the Company, c/o Corvex Management, 667 Madison Ave, New York, NY 10065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These communications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20" w:type="dxa"/>
            <w:vAlign w:val="bottom"/>
            <w:tcBorders>
              <w:top w:val="single" w:sz="8" w:color="auto"/>
            </w:tcBorders>
            <w:shd w:val="clear" w:color="auto" w:fill="CCEEFF"/>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Press Release issued by the Company on February 10, 2021</w:t>
              </w:r>
            </w:hyperlink>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2"/>
          </w:tcPr>
          <w:p>
            <w:pPr>
              <w:ind w:left="120"/>
              <w:spacing w:after="0"/>
              <w:rPr>
                <w:rFonts w:ascii="Times New Roman" w:cs="Times New Roman" w:eastAsia="Times New Roman" w:hAnsi="Times New Roman"/>
                <w:sz w:val="16"/>
                <w:szCs w:val="16"/>
                <w:u w:val="single" w:color="auto"/>
                <w:color w:val="0000EE"/>
              </w:rPr>
            </w:pPr>
            <w:hyperlink w:anchor="page10">
              <w:r>
                <w:rPr>
                  <w:rFonts w:ascii="Times New Roman" w:cs="Times New Roman" w:eastAsia="Times New Roman" w:hAnsi="Times New Roman"/>
                  <w:sz w:val="16"/>
                  <w:szCs w:val="16"/>
                  <w:u w:val="single" w:color="auto"/>
                  <w:color w:val="0000EE"/>
                </w:rPr>
                <w:t>Investor Presentation of the Company on February 9, 2021</w:t>
              </w:r>
            </w:hyperlink>
          </w:p>
        </w:tc>
      </w:tr>
      <w:tr>
        <w:trPr>
          <w:trHeight w:val="58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b w:val="1"/>
          <w:bCs w:val="1"/>
          <w:color w:val="auto"/>
        </w:rPr>
        <w:t>CM LIFE SCIENCES, INC.</w:t>
      </w:r>
    </w:p>
    <w:p>
      <w:pPr>
        <w:spacing w:after="0" w:line="200" w:lineRule="exact"/>
        <w:rPr>
          <w:sz w:val="20"/>
          <w:szCs w:val="20"/>
          <w:color w:val="auto"/>
        </w:rPr>
      </w:pPr>
    </w:p>
    <w:p>
      <w:pPr>
        <w:ind w:left="7100"/>
        <w:spacing w:after="0"/>
        <w:tabs>
          <w:tab w:leader="none" w:pos="7520" w:val="left"/>
        </w:tabs>
        <w:rPr>
          <w:sz w:val="20"/>
          <w:szCs w:val="20"/>
          <w:color w:val="auto"/>
        </w:rPr>
      </w:pPr>
      <w:r>
        <w:rPr>
          <w:rFonts w:ascii="Times New Roman" w:cs="Times New Roman" w:eastAsia="Times New Roman" w:hAnsi="Times New Roman"/>
          <w:sz w:val="16"/>
          <w:szCs w:val="16"/>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22860</wp:posOffset>
            </wp:positionV>
            <wp:extent cx="235204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2040" cy="15240"/>
                    </a:xfrm>
                    <a:prstGeom prst="rect">
                      <a:avLst/>
                    </a:prstGeom>
                    <a:noFill/>
                  </pic:spPr>
                </pic:pic>
              </a:graphicData>
            </a:graphic>
          </wp:anchor>
        </w:drawing>
      </w:r>
    </w:p>
    <w:p>
      <w:pPr>
        <w:spacing w:after="0" w:line="2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color w:val="auto"/>
        </w:rPr>
        <w:t>Name: Eli Casdin</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379095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152390" cy="561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52390" cy="56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Sema4, a Disruptive AI-driven Genomic &amp; Clinical Data Platform Company, to Combine with CM Life Sciences to Accelerate Growth</w:t>
      </w:r>
    </w:p>
    <w:p>
      <w:pPr>
        <w:spacing w:after="0" w:line="198" w:lineRule="exact"/>
        <w:rPr>
          <w:sz w:val="20"/>
          <w:szCs w:val="20"/>
          <w:color w:val="auto"/>
        </w:rPr>
      </w:pPr>
    </w:p>
    <w:p>
      <w:pPr>
        <w:ind w:left="560" w:right="240" w:hanging="278"/>
        <w:spacing w:after="0" w:line="283"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 combines Sema4’s leading AI- and machine learning-powered integrated genomic and clinical open-architecture data platform, with CM Life Sciences, the leading life science- focused SPAC, led by institutional investors Casdin Capital and Corvex Management.</w:t>
      </w:r>
    </w:p>
    <w:p>
      <w:pPr>
        <w:spacing w:after="0" w:line="139" w:lineRule="exact"/>
        <w:rPr>
          <w:rFonts w:ascii="Times New Roman" w:cs="Times New Roman" w:eastAsia="Times New Roman" w:hAnsi="Times New Roman"/>
          <w:sz w:val="16"/>
          <w:szCs w:val="16"/>
          <w:color w:val="auto"/>
        </w:rPr>
      </w:pPr>
    </w:p>
    <w:p>
      <w:pPr>
        <w:ind w:left="560" w:right="520" w:hanging="278"/>
        <w:spacing w:after="0" w:line="283"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Combination is expected to provide up to $793 million in cash proceeds to shareholders and Sema4, accelerating organic and inorganic growth and fueling the company’s mission to transform health outcomes and decision making.</w:t>
      </w:r>
    </w:p>
    <w:p>
      <w:pPr>
        <w:spacing w:after="0" w:line="139" w:lineRule="exact"/>
        <w:rPr>
          <w:rFonts w:ascii="Times New Roman" w:cs="Times New Roman" w:eastAsia="Times New Roman" w:hAnsi="Times New Roman"/>
          <w:sz w:val="16"/>
          <w:szCs w:val="16"/>
          <w:color w:val="auto"/>
        </w:rPr>
      </w:pPr>
    </w:p>
    <w:p>
      <w:pPr>
        <w:ind w:left="560" w:right="160" w:hanging="278"/>
        <w:spacing w:after="0" w:line="26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Financing includes a fully committed PIPE of $350 million from leading growth and life science investors including Casdin Capital, Corvex Management, Fidelity Management &amp; Research Company LLC, Counterpoint Global (Morgan Stanley), Perceptive Advisors, SB Management, a subsidiary of SoftBank Group Corp, funds and accounts advised by T. Rowe Price Associates Inc and Viking Global Investors, and existing investors including fund and accounts managed by Blackrock and Deerfield Management.</w:t>
      </w:r>
    </w:p>
    <w:p>
      <w:pPr>
        <w:spacing w:after="0" w:line="158" w:lineRule="exact"/>
        <w:rPr>
          <w:rFonts w:ascii="Times New Roman" w:cs="Times New Roman" w:eastAsia="Times New Roman" w:hAnsi="Times New Roman"/>
          <w:sz w:val="16"/>
          <w:szCs w:val="16"/>
          <w:color w:val="auto"/>
        </w:rPr>
      </w:pPr>
    </w:p>
    <w:p>
      <w:pPr>
        <w:ind w:left="560" w:right="180" w:hanging="278"/>
        <w:spacing w:after="0" w:line="283"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Sema4 board at closing to include Nat Turner Co-Founder of Flatiron Health (a Roche Company), Emily Leproust CEO of Twist Biosciences (NASDAQ: TWST) and Eli Casdin, CIO of Casdin Capital.</w:t>
      </w:r>
    </w:p>
    <w:p>
      <w:pPr>
        <w:spacing w:after="0" w:line="14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NEW YORK, NY &amp; STAMFORD, CT — February 10, 2021 — </w:t>
      </w:r>
      <w:r>
        <w:rPr>
          <w:rFonts w:ascii="Times New Roman" w:cs="Times New Roman" w:eastAsia="Times New Roman" w:hAnsi="Times New Roman"/>
          <w:sz w:val="16"/>
          <w:szCs w:val="16"/>
          <w:color w:val="auto"/>
        </w:rPr>
        <w:t>Sema4, an AI- and machine learning- driven patient-centered genomic and clinical data intelligence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and CM Life Sciences (Nasdaq: CMLF), a special purpose acquisition company, or SPAC, sponsored by affiliates of Casdin Capital, LLC and Corvex Management LP, today announced they have entered into a definitive business combination agreement. Upon closing of the transaction, CM Life Sciences will be renamed and its common stock will be listed on the Nasdaq Global Market under a name and a ticker symbol to be announced at a later date.</w:t>
      </w:r>
    </w:p>
    <w:p>
      <w:pPr>
        <w:spacing w:after="0" w:line="16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“This transaction is a significant milestone for Sema4,” said Eric Schadt, Ph.D., Founder and CEO of Sema4. “The additional resources will allow us to greatly accelerate our business plans organically and inorganically, developing and bringing in more cutting-edge precision model solutions across multiple disease areas. This is the most exciting time in the history of our industry and I look forward to working closely with Eli, Keith, and their teams, to deliver on the massive potential to transform clinical and life sciences through better leveraging of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Sema4 Overview</w:t>
      </w:r>
    </w:p>
    <w:p>
      <w:pPr>
        <w:spacing w:after="0" w:line="20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6"/>
          <w:szCs w:val="16"/>
          <w:color w:val="auto"/>
        </w:rPr>
        <w:t>Sema4 is a purpose built and rapidly growing, patient-centered genomic and clinical data insight platform company. Leveraging world leading data scientists using artificial intelligence and machine learning, the company is powering remarkable and unique insights that transform the practice of medicine and how disease is diagnosed, treated, and prevented.</w:t>
      </w:r>
    </w:p>
    <w:p>
      <w:pPr>
        <w:spacing w:after="0" w:line="155" w:lineRule="exact"/>
        <w:rPr>
          <w:sz w:val="20"/>
          <w:szCs w:val="20"/>
          <w:color w:val="auto"/>
        </w:rPr>
      </w:pPr>
    </w:p>
    <w:p>
      <w:pPr>
        <w:ind w:right="740"/>
        <w:spacing w:after="0" w:line="280" w:lineRule="auto"/>
        <w:rPr>
          <w:sz w:val="20"/>
          <w:szCs w:val="20"/>
          <w:color w:val="auto"/>
        </w:rPr>
      </w:pPr>
      <w:r>
        <w:rPr>
          <w:rFonts w:ascii="Times New Roman" w:cs="Times New Roman" w:eastAsia="Times New Roman" w:hAnsi="Times New Roman"/>
          <w:sz w:val="16"/>
          <w:szCs w:val="16"/>
          <w:color w:val="auto"/>
        </w:rPr>
        <w:t>Sema4 today has established the largest, most comprehensive, and fastest growing integrated genomic &amp; clinical data platform. Sema4 has established its platform in partnership with patients, healthcare providers and a far-reaching ecosystem of life science industry contributors.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ind w:right="220"/>
        <w:spacing w:after="0" w:line="265" w:lineRule="auto"/>
        <w:rPr>
          <w:sz w:val="20"/>
          <w:szCs w:val="20"/>
          <w:color w:val="auto"/>
        </w:rPr>
      </w:pPr>
      <w:r>
        <w:rPr>
          <w:rFonts w:ascii="Times New Roman" w:cs="Times New Roman" w:eastAsia="Times New Roman" w:hAnsi="Times New Roman"/>
          <w:sz w:val="16"/>
          <w:szCs w:val="16"/>
          <w:color w:val="auto"/>
        </w:rPr>
        <w:t>Sema4’s database includes more than 10 million patient genomic profiles and de-identified clinical records, integrated and delivered in a way that enables physicians to proactively diagnose and manage disease. The virtuous cycle of data helps improve decision making but also accelerates the development of next generation diagnostic tools and therapeutics.</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exist in a remarkable period of time as the life sciences and broad healthcare industries undergo a technology-driven data revolution,” said Eli Casdin, founder and CIO of Casdin Capital. “The disruptive promise in combining these genomic and clinical data sets, at the patient level, is profound but takes a team of experts, the right business model, and lots of growth capital. We therefore could not be more excited to lend our partnership and fill the balance sheet for the foremost leader in the field, Eric Schadt and the expert team he’s assembled at Sema4. With an early start, unique business strategy and more than 150 leading data scientists, this is the premier company in one of the biggest, winner-take-most markets in life sciences.”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In addition to the approximately $443 million of cash held in CM Life Sciences’ trust account, a group of leading institutional investors has committed to participate in the transaction through a common stock PIPE of $350 million including funds advised by Casdin Capital and Corvex Management, new investors Fidelity Management &amp; Research Company LLC, Counterpoint Global (Morgan Stanley), Perceptive Advisors, SB Management, a subsidiary of SoftBank Group Corp, funds and accounts advised by T. Rowe Price Associates Inc and Viking Global Investors, and existing investors including funds and accounts managed by Blackrock and Deerfield Management, among other top-tier healthcare investors.</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combined company is expected to receive proceeds of up to approximately $793 million at the closing of the transaction, up to $343 million of which will be paid to Sema4 stockholders and the remainder of which will be utilized by Sema4 in its business and will continue to operate under the Sema4 management team, led by Eric Schadt, Ph.D., Founder and CEO. The transaction, which values Sema4 at an enterprise value of approximately $2 billion, is expected to close during the second quarter of 2021, and will provide Sema4 with significant additional capital to further build and scale upon its dedication to advancing healthcare through data-driven insights.</w:t>
      </w:r>
    </w:p>
    <w:p>
      <w:pPr>
        <w:spacing w:after="0" w:line="16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Proceeds will be used to both fuel organic operating needs and to drive other targeted growth opportunities, helping the company deliver its solutions to a larger number of healthcare providers and patients and to improve clinical outcomes across a higher volume of diseases.</w:t>
      </w:r>
    </w:p>
    <w:p>
      <w:pPr>
        <w:spacing w:after="0" w:line="1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5"/>
          <w:szCs w:val="15"/>
          <w:color w:val="auto"/>
        </w:rPr>
        <w:t>“Eric has built a truly unique business at Sema4 with a combination of scale, growth and innovation that we rarely see. Revenues are projected to grow from $200 million to $500 million and gross margins to double from today to 2023, while Sema4 leverages its existing platform in women’s health and oncology to quickly grow into high margin relationships and partnerships across health systems and biopharma partners,” said Keith Meister, Chairman of the Board CM Life Sciences. “This transaction affords investors the unique opportunity to benefit from Sema4’s rapid growth, business transformation and the multiple expansion opportunities that we believe this growth will drive.”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Overview</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On February 9, 2021, CM Life Sciences entered into a definitive agreement to combine with Sema4. The transaction is expected to deliver up to $793 million of gross proceeds, including the contribution of up to $443 million of cash held in CM Life Sciences’ trust account from its initial public offering in September 2020 (assuming no redemptions from the trust account) and $350 million from committed equity PIPE funding from a group of institutional and life sciences investors. In the transaction, Sema4 shareholders will receive common stock of CM Life Sciences and, at their election, up to $343 million in cash in exchange for shares of Sema4. Upon completion of the transaction, Sema4 expects to have up to $500 million in cash available from the transaction ($450 million from the transaction plus existing cash on its balance sheet at closing) to fund operations and support new and existing business initiatives.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6" w:name="page7"/>
    <w:bookmarkEnd w:id="6"/>
    <w:p>
      <w:pPr>
        <w:ind w:right="600"/>
        <w:spacing w:after="0" w:line="280" w:lineRule="auto"/>
        <w:rPr>
          <w:sz w:val="20"/>
          <w:szCs w:val="20"/>
          <w:color w:val="auto"/>
        </w:rPr>
      </w:pPr>
      <w:r>
        <w:rPr>
          <w:rFonts w:ascii="Times New Roman" w:cs="Times New Roman" w:eastAsia="Times New Roman" w:hAnsi="Times New Roman"/>
          <w:sz w:val="16"/>
          <w:szCs w:val="16"/>
          <w:color w:val="auto"/>
        </w:rPr>
        <w:t>The transaction has been unanimously approved by each of CM Life Sciences’ and Sema4’s Board of Directors and substantially all of the shareholders of Sema4. The transaction is subject to the approval of the CM Life Sciences shareholders and other customary conditions, and is expected to close in the second quarter.</w:t>
      </w: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Additional information about the proposed transaction, including a copy of the Merger Agreement and an investor presentation, will be provided in a Current Report on Form 8-K to be filed today with the Securities and Exchange Commission (“SEC”) and available at www.sec.gov.</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Advisors</w:t>
      </w:r>
    </w:p>
    <w:p>
      <w:pPr>
        <w:spacing w:after="0" w:line="20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6"/>
          <w:szCs w:val="16"/>
          <w:color w:val="auto"/>
        </w:rPr>
        <w:t>Jefferies LLC is acting as sole financial advisor, lead capital markets advisor, and sole placement agent, with Cowen and Company, LLC also acting as a capital markets advisor, and White &amp; Case LLP is serving as legal advisor to CM Life Sciences. Goldman Sachs &amp; Co. LLC and J.P. Morgan Securities LLC are serving as financial advisors, and Fenwick &amp; West LLP is serving as legal advisor to Sema4.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Webcast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webcast of the conference call and associated presentation materials is available on Deal Roadshow: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Deal Roadshow Investor Login Details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URL: https://dealroadshow.com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Entry Code: CM226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 Link: https://dealroadshow.com/e/CM226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CM Life Sciences</w:t>
      </w:r>
    </w:p>
    <w:p>
      <w:pPr>
        <w:spacing w:after="0" w:line="20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CM Life Sciences was founded to take advantage of a dynamic life science sector buoyed by innovation yet fragmented, where many companies are under-resourced and under-scaled. Significant and under-appreciated opportunities for consolidation are ready for engagement by a team versed in the trends and themes, and who can bring together the strongest of the new companies and management teams to capitalize on near- and far-term opportunities. For more information, please visit: https://cmlifesciencesspac.com/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Sema4</w:t>
      </w:r>
    </w:p>
    <w:p>
      <w:pPr>
        <w:spacing w:after="0" w:line="2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Sema4 is an AI-driven patient-centered genomic and clinical data insight platform company founded on the idea that more information, deeper analysis, and increased engagement will improve the diagnosis, treatment, and prevention of disease. Sema4 is dedicated to transforming healthcare by building dynamic models of human health and defining optimal, individualized health trajectories, starting in the areas of reproductive health and oncology.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For more information, please visit sema4.com and connect with Sema4 on Twitter, LinkedIn, Facebook and YouTube.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 Looking Statements</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This press release contains certain forward-looking statements within the meaning of the federal securities laws with respect to the proposed transaction between Sema4 and CM Life Sciences,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CM Life Sciences’ securities, (ii) the risk that the transaction may not be completed by CM Life Sciences’ business combination deadline and the potential failure to obtain an extension of the business combination deadline if sought by CM Life Sciences, (iii) the failure to satisfy the conditions to the consummation of the transaction, including the adoption of the merger agreement by the shareholders of CM Life Sciences, the satisfaction of the minimum trust account amount following redemptions by CM Life Sciences’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CM Life Sciences related to the merger agreement or the transaction, (x) the ability to maintain the listing of CM Life Sciences’ securities on a national securities exchange, (xi) the price of CM Life Sciences’ securities may be volatile due to a variety of factors, including changes in the competitive and highly regulated industries in which CM Life Sciences plans to operate or Sema4 operates, variations in operating performance across competitors, changes in laws and regulations affecting CM Life Sciences’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CM Life Sciences’ registration on Form S-1 (File No. 333-246251), the proxy statement discussed above and other documents filed by CM Life Sciences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CM Life Sciences assume no obligation and do not intend to update or revise these forward-looking statements, whether as a result of new information, future events, or otherwise. Neither Sema4 nor CM Life Sciences gives any assurance that either Sema4 or CM Life Sciences or the combined company will achieve its expectations.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 / Non-Solicitation</w:t>
      </w:r>
    </w:p>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connection with the proposed transaction, CM Life Sciences intends to file a proxy statement with the U.S. Securities and Exchange Commission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The proxy statement will be sent to the stockholders of CM Life Sciences. CM Life Sciences and Sema4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and Sema4 through the website maintained by the SEC at www.sec.gov.</w:t>
      </w:r>
    </w:p>
    <w:p>
      <w:pPr>
        <w:spacing w:after="0" w:line="16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documents filed by CM Life Sciences with the SEC also may be obtained free of charge at CM Life Sciences’ website at https://cmlifesciencesspac.com/ or upon written request to CM Life Sciences, c/o Corvex Management, 667 Madison Ave, New York, NY 10065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Solicitation</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printed in CM Life Sciences’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These communications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CM Life Sciences 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Alexandria Fisk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afisk@casdincapital.com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Sema4 Media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Radley Moss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radley.moss@sema4.com</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9" w:name="page10"/>
    <w:bookmarkEnd w:id="9"/>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446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4960620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446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446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34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2021-02-10T06:22:18Z</dcterms:created>
  <dcterms:modified xsi:type="dcterms:W3CDTF">2021-02-10T06:22:18Z</dcterms:modified>
</cp:coreProperties>
</file>