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Fuchs Thomas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00" w:type="dxa"/>
            <w:vAlign w:val="bottom"/>
            <w:tcBorders>
              <w:top w:val="single" w:sz="8" w:color="0000EE"/>
              <w:bottom w:val="single" w:sz="8" w:color="9A9A9A"/>
            </w:tcBorders>
          </w:tcPr>
          <w:p>
            <w:pPr>
              <w:spacing w:after="0"/>
              <w:rPr>
                <w:sz w:val="16"/>
                <w:szCs w:val="16"/>
                <w:color w:val="auto"/>
              </w:rPr>
            </w:pPr>
          </w:p>
        </w:tc>
        <w:tc>
          <w:tcPr>
            <w:tcW w:w="16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GeneDx Holdings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WGS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GENEDX HOLDINGS CORP.</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STAMFORD CT</w:t>
            </w:r>
          </w:p>
        </w:tc>
        <w:tc>
          <w:tcPr>
            <w:tcW w:w="130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06902</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Bridget Brown,</w:t>
            </w:r>
          </w:p>
        </w:tc>
        <w:tc>
          <w:tcPr>
            <w:tcW w:w="7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09/19/2025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LIMITED POWER OF ATTORNEY</w:t>
      </w:r>
    </w:p>
    <w:p>
      <w:pPr>
        <w:spacing w:after="0" w:line="277" w:lineRule="exact"/>
        <w:rPr>
          <w:sz w:val="20"/>
          <w:szCs w:val="20"/>
          <w:color w:val="auto"/>
        </w:rPr>
      </w:pPr>
    </w:p>
    <w:p>
      <w:pPr>
        <w:jc w:val="both"/>
        <w:ind w:right="20" w:firstLine="702"/>
        <w:spacing w:after="0" w:line="257" w:lineRule="auto"/>
        <w:rPr>
          <w:sz w:val="20"/>
          <w:szCs w:val="20"/>
          <w:color w:val="auto"/>
        </w:rPr>
      </w:pPr>
      <w:r>
        <w:rPr>
          <w:rFonts w:ascii="Times New Roman" w:cs="Times New Roman" w:eastAsia="Times New Roman" w:hAnsi="Times New Roman"/>
          <w:sz w:val="22"/>
          <w:szCs w:val="22"/>
          <w:color w:val="auto"/>
        </w:rPr>
        <w:t>The undersigned hereby constitutes and appoints Daniel Fine, Samantha McWatters and Bridget Brown, as long as they are providing services to GeneDx Holdings Corp.,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or either of them, acting individually, as the undersigned’s true and lawful attorney-in-fact to:</w:t>
      </w:r>
    </w:p>
    <w:p>
      <w:pPr>
        <w:spacing w:after="0" w:line="223" w:lineRule="exact"/>
        <w:rPr>
          <w:sz w:val="20"/>
          <w:szCs w:val="20"/>
          <w:color w:val="auto"/>
        </w:rPr>
      </w:pPr>
    </w:p>
    <w:p>
      <w:pPr>
        <w:jc w:val="both"/>
        <w:ind w:left="1500" w:right="20" w:hanging="694"/>
        <w:spacing w:after="0" w:line="245" w:lineRule="auto"/>
        <w:tabs>
          <w:tab w:leader="none" w:pos="1470" w:val="left"/>
        </w:tabs>
        <w:numPr>
          <w:ilvl w:val="0"/>
          <w:numId w:val="4"/>
        </w:numPr>
        <w:rPr>
          <w:rFonts w:ascii="Arial" w:cs="Arial" w:eastAsia="Arial" w:hAnsi="Arial"/>
          <w:sz w:val="24"/>
          <w:szCs w:val="24"/>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the Company, Forms 3, 4, and 5, and any amendments thereto, in accordance with Section 16(a) of the Securities Exchange Act of 1934 (as amended, the “</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and the rules and regulations thereunder;</w:t>
      </w:r>
    </w:p>
    <w:p>
      <w:pPr>
        <w:spacing w:after="0" w:line="234" w:lineRule="exact"/>
        <w:rPr>
          <w:rFonts w:ascii="Arial" w:cs="Arial" w:eastAsia="Arial" w:hAnsi="Arial"/>
          <w:sz w:val="24"/>
          <w:szCs w:val="24"/>
          <w:color w:val="auto"/>
        </w:rPr>
      </w:pPr>
    </w:p>
    <w:p>
      <w:pPr>
        <w:jc w:val="both"/>
        <w:ind w:left="1500" w:right="20" w:hanging="694"/>
        <w:spacing w:after="0" w:line="252" w:lineRule="auto"/>
        <w:tabs>
          <w:tab w:leader="none" w:pos="147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complete and execute any such Forms 3, 4, and 5, and any amendments thereto, and file such forms with the United States Securities and Exchange Commission and any stock exchange or similar authority, if required; and</w:t>
      </w:r>
    </w:p>
    <w:p>
      <w:pPr>
        <w:spacing w:after="0" w:line="227" w:lineRule="exact"/>
        <w:rPr>
          <w:rFonts w:ascii="Arial" w:cs="Arial" w:eastAsia="Arial" w:hAnsi="Arial"/>
          <w:sz w:val="22"/>
          <w:szCs w:val="22"/>
          <w:color w:val="auto"/>
        </w:rPr>
      </w:pPr>
    </w:p>
    <w:p>
      <w:pPr>
        <w:jc w:val="both"/>
        <w:ind w:left="1500" w:right="20" w:hanging="694"/>
        <w:spacing w:after="0" w:line="249" w:lineRule="auto"/>
        <w:tabs>
          <w:tab w:leader="none" w:pos="1470" w:val="left"/>
        </w:tabs>
        <w:numPr>
          <w:ilvl w:val="0"/>
          <w:numId w:val="4"/>
        </w:numPr>
        <w:rPr>
          <w:rFonts w:ascii="Arial" w:cs="Arial" w:eastAsia="Arial" w:hAnsi="Arial"/>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jc w:val="both"/>
        <w:ind w:left="100" w:firstLine="711"/>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spacing w:after="0" w:line="237" w:lineRule="exact"/>
        <w:rPr>
          <w:sz w:val="20"/>
          <w:szCs w:val="20"/>
          <w:color w:val="auto"/>
        </w:rPr>
      </w:pPr>
    </w:p>
    <w:p>
      <w:pPr>
        <w:jc w:val="both"/>
        <w:ind w:left="100" w:firstLine="674"/>
        <w:spacing w:after="0" w:line="246" w:lineRule="auto"/>
        <w:rPr>
          <w:sz w:val="20"/>
          <w:szCs w:val="20"/>
          <w:color w:val="auto"/>
        </w:rPr>
      </w:pPr>
      <w:r>
        <w:rPr>
          <w:rFonts w:ascii="Times New Roman" w:cs="Times New Roman" w:eastAsia="Times New Roman" w:hAnsi="Times New Roman"/>
          <w:sz w:val="22"/>
          <w:szCs w:val="22"/>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237" w:lineRule="exact"/>
        <w:rPr>
          <w:sz w:val="20"/>
          <w:szCs w:val="20"/>
          <w:color w:val="auto"/>
        </w:rPr>
      </w:pPr>
    </w:p>
    <w:p>
      <w:pPr>
        <w:jc w:val="both"/>
        <w:ind w:left="100" w:firstLine="674"/>
        <w:spacing w:after="0" w:line="252" w:lineRule="auto"/>
        <w:rPr>
          <w:sz w:val="20"/>
          <w:szCs w:val="20"/>
          <w:color w:val="auto"/>
        </w:rPr>
      </w:pPr>
      <w:r>
        <w:rPr>
          <w:rFonts w:ascii="Times New Roman" w:cs="Times New Roman" w:eastAsia="Times New Roman" w:hAnsi="Times New Roman"/>
          <w:sz w:val="22"/>
          <w:szCs w:val="22"/>
          <w:color w:val="auto"/>
        </w:rPr>
        <w:t>This Power of Attorney supersedes and replaces all prior Powers of Attorney submitted by the undersigned.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5" w:lineRule="exact"/>
        <w:rPr>
          <w:sz w:val="20"/>
          <w:szCs w:val="20"/>
          <w:color w:val="auto"/>
        </w:rPr>
      </w:pPr>
    </w:p>
    <w:p>
      <w:pPr>
        <w:jc w:val="both"/>
        <w:ind w:left="100" w:firstLine="674"/>
        <w:spacing w:after="0" w:line="213"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undersigned has caused this Power of Attorney to be executed as of this 19</w:t>
      </w:r>
      <w:r>
        <w:rPr>
          <w:rFonts w:ascii="Times New Roman" w:cs="Times New Roman" w:eastAsia="Times New Roman" w:hAnsi="Times New Roman"/>
          <w:sz w:val="36"/>
          <w:szCs w:val="36"/>
          <w:color w:val="auto"/>
          <w:vertAlign w:val="superscript"/>
        </w:rPr>
        <w:t>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day of August 2025.</w:t>
      </w:r>
    </w:p>
    <w:p>
      <w:pPr>
        <w:spacing w:after="0" w:line="242" w:lineRule="exact"/>
        <w:rPr>
          <w:sz w:val="20"/>
          <w:szCs w:val="20"/>
          <w:color w:val="auto"/>
        </w:rPr>
      </w:pPr>
    </w:p>
    <w:p>
      <w:pPr>
        <w:ind w:left="4220"/>
        <w:spacing w:after="0"/>
        <w:tabs>
          <w:tab w:leader="none" w:pos="49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Thomas Fuchs</w:t>
      </w:r>
    </w:p>
    <w:p>
      <w:pPr>
        <w:spacing w:after="0" w:line="2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 Thomas Fuchs</w:t>
      </w:r>
    </w:p>
    <w:sectPr>
      <w:pgSz w:w="11900" w:h="16838" w:orient="portrait"/>
      <w:cols w:equalWidth="0" w:num="1">
        <w:col w:w="10460"/>
      </w:cols>
      <w:pgMar w:left="580" w:top="11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83937"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2025-09-19T15:16:25Z</dcterms:created>
  <dcterms:modified xsi:type="dcterms:W3CDTF">2025-09-19T15:16:25Z</dcterms:modified>
</cp:coreProperties>
</file>