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Pursuant to Section 13 OR 15(d) of The Securities Exchange Act of 1934</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February 14, 2023</w:t>
      </w: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GeneDx Holdings Corp.</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196" w:lineRule="exact"/>
        <w:rPr>
          <w:sz w:val="24"/>
          <w:szCs w:val="24"/>
          <w:color w:val="auto"/>
        </w:rPr>
      </w:pPr>
    </w:p>
    <w:tbl>
      <w:tblPr>
        <w:tblLayout w:type="fixed"/>
        <w:tblInd w:w="20" w:type="dxa"/>
        <w:tblCellMar>
          <w:top w:w="0" w:type="dxa"/>
          <w:left w:w="0" w:type="dxa"/>
          <w:bottom w:w="0" w:type="dxa"/>
          <w:right w:w="0" w:type="dxa"/>
        </w:tblCellMar>
      </w:tblPr>
      <w:tr>
        <w:trPr>
          <w:trHeight w:val="248"/>
        </w:trPr>
        <w:tc>
          <w:tcPr>
            <w:tcW w:w="422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2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001-39482</w:t>
            </w:r>
          </w:p>
        </w:tc>
        <w:tc>
          <w:tcPr>
            <w:tcW w:w="100" w:type="dxa"/>
            <w:vAlign w:val="bottom"/>
          </w:tcPr>
          <w:p>
            <w:pPr>
              <w:spacing w:after="0"/>
              <w:rPr>
                <w:sz w:val="21"/>
                <w:szCs w:val="21"/>
                <w:color w:val="auto"/>
              </w:rPr>
            </w:pPr>
          </w:p>
        </w:tc>
        <w:tc>
          <w:tcPr>
            <w:tcW w:w="4180" w:type="dxa"/>
            <w:vAlign w:val="bottom"/>
          </w:tcPr>
          <w:p>
            <w:pPr>
              <w:jc w:val="right"/>
              <w:ind w:right="1570"/>
              <w:spacing w:after="0"/>
              <w:rPr>
                <w:sz w:val="20"/>
                <w:szCs w:val="20"/>
                <w:color w:val="auto"/>
              </w:rPr>
            </w:pPr>
            <w:r>
              <w:rPr>
                <w:rFonts w:ascii="Arial" w:cs="Arial" w:eastAsia="Arial" w:hAnsi="Arial"/>
                <w:sz w:val="18"/>
                <w:szCs w:val="18"/>
                <w:b w:val="1"/>
                <w:bCs w:val="1"/>
                <w:color w:val="auto"/>
              </w:rPr>
              <w:t>85-1966622</w:t>
            </w:r>
          </w:p>
        </w:tc>
      </w:tr>
      <w:tr>
        <w:trPr>
          <w:trHeight w:val="27"/>
        </w:trPr>
        <w:tc>
          <w:tcPr>
            <w:tcW w:w="4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r>
      <w:tr>
        <w:trPr>
          <w:trHeight w:val="169"/>
        </w:trPr>
        <w:tc>
          <w:tcPr>
            <w:tcW w:w="4220" w:type="dxa"/>
            <w:vAlign w:val="bottom"/>
          </w:tcPr>
          <w:p>
            <w:pPr>
              <w:jc w:val="center"/>
              <w:spacing w:after="0" w:line="169" w:lineRule="exact"/>
              <w:rPr>
                <w:sz w:val="20"/>
                <w:szCs w:val="20"/>
                <w:color w:val="auto"/>
              </w:rPr>
            </w:pPr>
            <w:r>
              <w:rPr>
                <w:rFonts w:ascii="Arial" w:cs="Arial" w:eastAsia="Arial" w:hAnsi="Arial"/>
                <w:sz w:val="18"/>
                <w:szCs w:val="18"/>
                <w:color w:val="auto"/>
                <w:w w:val="92"/>
              </w:rPr>
              <w:t>(State or other jurisdiction of incorporation or</w:t>
            </w:r>
          </w:p>
        </w:tc>
        <w:tc>
          <w:tcPr>
            <w:tcW w:w="80" w:type="dxa"/>
            <w:vAlign w:val="bottom"/>
          </w:tcPr>
          <w:p>
            <w:pPr>
              <w:spacing w:after="0"/>
              <w:rPr>
                <w:sz w:val="14"/>
                <w:szCs w:val="14"/>
                <w:color w:val="auto"/>
              </w:rPr>
            </w:pPr>
          </w:p>
        </w:tc>
        <w:tc>
          <w:tcPr>
            <w:tcW w:w="2620" w:type="dxa"/>
            <w:vAlign w:val="bottom"/>
          </w:tcPr>
          <w:p>
            <w:pPr>
              <w:jc w:val="center"/>
              <w:spacing w:after="0" w:line="169" w:lineRule="exact"/>
              <w:rPr>
                <w:sz w:val="20"/>
                <w:szCs w:val="20"/>
                <w:color w:val="auto"/>
              </w:rPr>
            </w:pPr>
            <w:r>
              <w:rPr>
                <w:rFonts w:ascii="Arial" w:cs="Arial" w:eastAsia="Arial" w:hAnsi="Arial"/>
                <w:sz w:val="18"/>
                <w:szCs w:val="18"/>
                <w:color w:val="auto"/>
                <w:w w:val="93"/>
              </w:rPr>
              <w:t>(Commission File Number)</w:t>
            </w:r>
          </w:p>
        </w:tc>
        <w:tc>
          <w:tcPr>
            <w:tcW w:w="100" w:type="dxa"/>
            <w:vAlign w:val="bottom"/>
          </w:tcPr>
          <w:p>
            <w:pPr>
              <w:spacing w:after="0"/>
              <w:rPr>
                <w:sz w:val="14"/>
                <w:szCs w:val="14"/>
                <w:color w:val="auto"/>
              </w:rPr>
            </w:pPr>
          </w:p>
        </w:tc>
        <w:tc>
          <w:tcPr>
            <w:tcW w:w="4180" w:type="dxa"/>
            <w:vAlign w:val="bottom"/>
          </w:tcPr>
          <w:p>
            <w:pPr>
              <w:jc w:val="center"/>
              <w:spacing w:after="0" w:line="169"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4220" w:type="dxa"/>
            <w:vAlign w:val="bottom"/>
          </w:tcPr>
          <w:p>
            <w:pPr>
              <w:jc w:val="center"/>
              <w:spacing w:after="0"/>
              <w:rPr>
                <w:sz w:val="20"/>
                <w:szCs w:val="20"/>
                <w:color w:val="auto"/>
              </w:rPr>
            </w:pPr>
            <w:r>
              <w:rPr>
                <w:rFonts w:ascii="Arial" w:cs="Arial" w:eastAsia="Arial" w:hAnsi="Arial"/>
                <w:sz w:val="18"/>
                <w:szCs w:val="18"/>
                <w:color w:val="auto"/>
                <w:w w:val="92"/>
              </w:rPr>
              <w:t>organization)</w:t>
            </w:r>
          </w:p>
        </w:tc>
        <w:tc>
          <w:tcPr>
            <w:tcW w:w="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tcPr>
          <w:p>
            <w:pPr>
              <w:spacing w:after="0"/>
              <w:rPr>
                <w:sz w:val="20"/>
                <w:szCs w:val="20"/>
                <w:color w:val="auto"/>
              </w:rPr>
            </w:pPr>
          </w:p>
        </w:tc>
      </w:tr>
      <w:tr>
        <w:trPr>
          <w:trHeight w:val="310"/>
        </w:trPr>
        <w:tc>
          <w:tcPr>
            <w:tcW w:w="4220" w:type="dxa"/>
            <w:vAlign w:val="bottom"/>
          </w:tcPr>
          <w:p>
            <w:pPr>
              <w:jc w:val="center"/>
              <w:spacing w:after="0"/>
              <w:rPr>
                <w:sz w:val="20"/>
                <w:szCs w:val="20"/>
                <w:color w:val="auto"/>
              </w:rPr>
            </w:pPr>
            <w:r>
              <w:rPr>
                <w:rFonts w:ascii="Arial" w:cs="Arial" w:eastAsia="Arial" w:hAnsi="Arial"/>
                <w:sz w:val="18"/>
                <w:szCs w:val="18"/>
                <w:b w:val="1"/>
                <w:bCs w:val="1"/>
                <w:color w:val="auto"/>
                <w:w w:val="91"/>
              </w:rPr>
              <w:t>333 Ludlow Street, North Tower, 8th Floor</w:t>
            </w:r>
          </w:p>
        </w:tc>
        <w:tc>
          <w:tcPr>
            <w:tcW w:w="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283"/>
        </w:trPr>
        <w:tc>
          <w:tcPr>
            <w:tcW w:w="4220" w:type="dxa"/>
            <w:vAlign w:val="bottom"/>
            <w:tcBorders>
              <w:bottom w:val="single" w:sz="8" w:color="auto"/>
            </w:tcBorders>
          </w:tcPr>
          <w:p>
            <w:pPr>
              <w:ind w:left="1300"/>
              <w:spacing w:after="0"/>
              <w:rPr>
                <w:sz w:val="20"/>
                <w:szCs w:val="20"/>
                <w:color w:val="auto"/>
              </w:rPr>
            </w:pPr>
            <w:r>
              <w:rPr>
                <w:rFonts w:ascii="Arial" w:cs="Arial" w:eastAsia="Arial" w:hAnsi="Arial"/>
                <w:sz w:val="18"/>
                <w:szCs w:val="18"/>
                <w:b w:val="1"/>
                <w:bCs w:val="1"/>
                <w:color w:val="auto"/>
              </w:rPr>
              <w:t>Stamford, Connecticut</w:t>
            </w:r>
          </w:p>
        </w:tc>
        <w:tc>
          <w:tcPr>
            <w:tcW w:w="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80" w:type="dxa"/>
            <w:vAlign w:val="bottom"/>
            <w:tcBorders>
              <w:bottom w:val="single" w:sz="8" w:color="auto"/>
            </w:tcBorders>
          </w:tcPr>
          <w:p>
            <w:pPr>
              <w:jc w:val="right"/>
              <w:ind w:right="1770"/>
              <w:spacing w:after="0"/>
              <w:rPr>
                <w:sz w:val="20"/>
                <w:szCs w:val="20"/>
                <w:color w:val="auto"/>
              </w:rPr>
            </w:pPr>
            <w:r>
              <w:rPr>
                <w:rFonts w:ascii="Arial" w:cs="Arial" w:eastAsia="Arial" w:hAnsi="Arial"/>
                <w:sz w:val="18"/>
                <w:szCs w:val="18"/>
                <w:b w:val="1"/>
                <w:bCs w:val="1"/>
                <w:color w:val="auto"/>
              </w:rPr>
              <w:t>06902</w:t>
            </w:r>
          </w:p>
        </w:tc>
      </w:tr>
      <w:tr>
        <w:trPr>
          <w:trHeight w:val="224"/>
        </w:trPr>
        <w:tc>
          <w:tcPr>
            <w:tcW w:w="422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80" w:type="dxa"/>
            <w:vAlign w:val="bottom"/>
          </w:tcPr>
          <w:p>
            <w:pPr>
              <w:jc w:val="center"/>
              <w:spacing w:after="0"/>
              <w:rPr>
                <w:sz w:val="20"/>
                <w:szCs w:val="20"/>
                <w:color w:val="auto"/>
              </w:rPr>
            </w:pPr>
            <w:r>
              <w:rPr>
                <w:rFonts w:ascii="Arial" w:cs="Arial" w:eastAsia="Arial" w:hAnsi="Arial"/>
                <w:sz w:val="18"/>
                <w:szCs w:val="18"/>
                <w:color w:val="auto"/>
                <w:w w:val="94"/>
              </w:rPr>
              <w:t>(Zip Code)</w:t>
            </w:r>
          </w:p>
        </w:tc>
      </w:tr>
      <w:tr>
        <w:trPr>
          <w:trHeight w:val="350"/>
        </w:trPr>
        <w:tc>
          <w:tcPr>
            <w:tcW w:w="4220" w:type="dxa"/>
            <w:vAlign w:val="bottom"/>
          </w:tcPr>
          <w:p>
            <w:pPr>
              <w:spacing w:after="0"/>
              <w:rPr>
                <w:sz w:val="24"/>
                <w:szCs w:val="24"/>
                <w:color w:val="auto"/>
              </w:rPr>
            </w:pPr>
          </w:p>
        </w:tc>
        <w:tc>
          <w:tcPr>
            <w:tcW w:w="2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(800) 298-6470</w:t>
            </w:r>
          </w:p>
        </w:tc>
        <w:tc>
          <w:tcPr>
            <w:tcW w:w="100" w:type="dxa"/>
            <w:vAlign w:val="bottom"/>
          </w:tcPr>
          <w:p>
            <w:pPr>
              <w:spacing w:after="0"/>
              <w:rPr>
                <w:sz w:val="24"/>
                <w:szCs w:val="24"/>
                <w:color w:val="auto"/>
              </w:rPr>
            </w:pPr>
          </w:p>
        </w:tc>
        <w:tc>
          <w:tcPr>
            <w:tcW w:w="4180" w:type="dxa"/>
            <w:vAlign w:val="bottom"/>
          </w:tcPr>
          <w:p>
            <w:pPr>
              <w:spacing w:after="0"/>
              <w:rPr>
                <w:sz w:val="24"/>
                <w:szCs w:val="24"/>
                <w:color w:val="auto"/>
              </w:rPr>
            </w:pPr>
          </w:p>
        </w:tc>
      </w:tr>
    </w:tbl>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8"/>
          <w:szCs w:val="18"/>
          <w:color w:val="231F20"/>
        </w:rPr>
        <w:t>(Former name or former address, if changed since last report.)</w:t>
      </w:r>
    </w:p>
    <w:p>
      <w:pPr>
        <w:spacing w:after="0" w:line="236"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13e-4(c) under the Exchange Act (17 CFR 240.13e-4(c))</w:t>
      </w:r>
    </w:p>
    <w:p>
      <w:pPr>
        <w:spacing w:after="0" w:line="26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86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8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Title of each class</w:t>
            </w:r>
          </w:p>
        </w:tc>
        <w:tc>
          <w:tcPr>
            <w:tcW w:w="21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Trading Symbol(s)</w:t>
            </w:r>
          </w:p>
        </w:tc>
        <w:tc>
          <w:tcPr>
            <w:tcW w:w="428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c>
          <w:tcPr>
            <w:tcW w:w="0" w:type="dxa"/>
            <w:vAlign w:val="bottom"/>
          </w:tcPr>
          <w:p>
            <w:pPr>
              <w:spacing w:after="0"/>
              <w:rPr>
                <w:sz w:val="1"/>
                <w:szCs w:val="1"/>
                <w:color w:val="auto"/>
              </w:rPr>
            </w:pPr>
          </w:p>
        </w:tc>
      </w:tr>
      <w:tr>
        <w:trPr>
          <w:trHeight w:val="223"/>
        </w:trPr>
        <w:tc>
          <w:tcPr>
            <w:tcW w:w="4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Class A common stock, par value $0.0001 per share</w:t>
            </w:r>
          </w:p>
        </w:tc>
        <w:tc>
          <w:tcPr>
            <w:tcW w:w="8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WGS</w:t>
            </w:r>
          </w:p>
        </w:tc>
        <w:tc>
          <w:tcPr>
            <w:tcW w:w="100" w:type="dxa"/>
            <w:vAlign w:val="bottom"/>
            <w:tcBorders>
              <w:top w:val="single" w:sz="8" w:color="CCEEFF"/>
            </w:tcBorders>
            <w:shd w:val="clear" w:color="auto" w:fill="CCEEFF"/>
          </w:tcPr>
          <w:p>
            <w:pPr>
              <w:spacing w:after="0"/>
              <w:rPr>
                <w:sz w:val="19"/>
                <w:szCs w:val="19"/>
                <w:color w:val="auto"/>
              </w:rPr>
            </w:pPr>
          </w:p>
        </w:tc>
        <w:tc>
          <w:tcPr>
            <w:tcW w:w="4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The Nasdaq Global Select Market</w:t>
            </w:r>
          </w:p>
        </w:tc>
        <w:tc>
          <w:tcPr>
            <w:tcW w:w="0" w:type="dxa"/>
            <w:vAlign w:val="bottom"/>
          </w:tcPr>
          <w:p>
            <w:pPr>
              <w:spacing w:after="0"/>
              <w:rPr>
                <w:sz w:val="1"/>
                <w:szCs w:val="1"/>
                <w:color w:val="auto"/>
              </w:rPr>
            </w:pPr>
          </w:p>
        </w:tc>
      </w:tr>
      <w:tr>
        <w:trPr>
          <w:trHeight w:val="175"/>
        </w:trPr>
        <w:tc>
          <w:tcPr>
            <w:tcW w:w="486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89"/>
              </w:rPr>
              <w:t>Warrants to purchase one share of Class A common stock, each</w:t>
            </w:r>
          </w:p>
        </w:tc>
        <w:tc>
          <w:tcPr>
            <w:tcW w:w="210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6"/>
              </w:rPr>
              <w:t>WGSWW</w:t>
            </w:r>
          </w:p>
        </w:tc>
        <w:tc>
          <w:tcPr>
            <w:tcW w:w="4280" w:type="dxa"/>
            <w:vAlign w:val="bottom"/>
            <w:vMerge w:val="restart"/>
          </w:tcPr>
          <w:p>
            <w:pPr>
              <w:jc w:val="center"/>
              <w:spacing w:after="0"/>
              <w:rPr>
                <w:sz w:val="20"/>
                <w:szCs w:val="20"/>
                <w:color w:val="auto"/>
              </w:rPr>
            </w:pPr>
            <w:r>
              <w:rPr>
                <w:rFonts w:ascii="Arial" w:cs="Arial" w:eastAsia="Arial" w:hAnsi="Arial"/>
                <w:sz w:val="18"/>
                <w:szCs w:val="18"/>
                <w:color w:val="auto"/>
                <w:w w:val="90"/>
              </w:rPr>
              <w:t>The Nasdaq Global Select Market</w:t>
            </w:r>
          </w:p>
        </w:tc>
        <w:tc>
          <w:tcPr>
            <w:tcW w:w="0" w:type="dxa"/>
            <w:vAlign w:val="bottom"/>
          </w:tcPr>
          <w:p>
            <w:pPr>
              <w:spacing w:after="0"/>
              <w:rPr>
                <w:sz w:val="1"/>
                <w:szCs w:val="1"/>
                <w:color w:val="auto"/>
              </w:rPr>
            </w:pPr>
          </w:p>
        </w:tc>
      </w:tr>
      <w:tr>
        <w:trPr>
          <w:trHeight w:val="149"/>
        </w:trPr>
        <w:tc>
          <w:tcPr>
            <w:tcW w:w="486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88"/>
              </w:rPr>
              <w:t>at an exercise price of $11.50 per share</w:t>
            </w:r>
          </w:p>
        </w:tc>
        <w:tc>
          <w:tcPr>
            <w:tcW w:w="2100" w:type="dxa"/>
            <w:vAlign w:val="bottom"/>
            <w:gridSpan w:val="2"/>
            <w:vMerge w:val="continue"/>
          </w:tcPr>
          <w:p>
            <w:pPr>
              <w:spacing w:after="0"/>
              <w:rPr>
                <w:sz w:val="12"/>
                <w:szCs w:val="12"/>
                <w:color w:val="auto"/>
              </w:rPr>
            </w:pPr>
          </w:p>
        </w:tc>
        <w:tc>
          <w:tcPr>
            <w:tcW w:w="4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4860" w:type="dxa"/>
            <w:vAlign w:val="bottom"/>
            <w:gridSpan w:val="2"/>
            <w:vMerge w:val="continue"/>
          </w:tcPr>
          <w:p>
            <w:pPr>
              <w:spacing w:after="0"/>
              <w:rPr>
                <w:sz w:val="7"/>
                <w:szCs w:val="7"/>
                <w:color w:val="auto"/>
              </w:rPr>
            </w:pPr>
          </w:p>
        </w:tc>
        <w:tc>
          <w:tcPr>
            <w:tcW w:w="2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9"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231F20"/>
        </w:rPr>
        <w:t xml:space="preserve">Emerging growth company </w:t>
      </w:r>
      <w:r>
        <w:rPr>
          <w:rFonts w:ascii="MS PGothic" w:cs="MS PGothic" w:eastAsia="MS PGothic" w:hAnsi="MS PGothic"/>
          <w:sz w:val="18"/>
          <w:szCs w:val="18"/>
          <w:color w:val="000000"/>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686435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1" w:name="page2"/>
    <w:bookmarkEnd w:id="1"/>
    <w:p>
      <w:pPr>
        <w:ind w:right="200"/>
        <w:spacing w:after="0" w:line="309" w:lineRule="auto"/>
        <w:rPr>
          <w:sz w:val="20"/>
          <w:szCs w:val="20"/>
          <w:color w:val="auto"/>
        </w:rPr>
      </w:pPr>
      <w:r>
        <w:rPr>
          <w:rFonts w:ascii="Arial" w:cs="Arial" w:eastAsia="Arial" w:hAnsi="Arial"/>
          <w:sz w:val="20"/>
          <w:szCs w:val="20"/>
          <w:b w:val="1"/>
          <w:bCs w:val="1"/>
          <w:color w:val="auto"/>
        </w:rPr>
        <w:t>Item 5.02 Departure of Directors or Certain Officers; Election of Directors; Appointment of Certain Officers; Compensatory Arrangements of Certain Officers.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 Resignation of Director</w:t>
      </w:r>
    </w:p>
    <w:p>
      <w:pPr>
        <w:spacing w:after="0" w:line="243" w:lineRule="exact"/>
        <w:rPr>
          <w:sz w:val="20"/>
          <w:szCs w:val="20"/>
          <w:color w:val="auto"/>
        </w:rPr>
      </w:pPr>
    </w:p>
    <w:p>
      <w:pPr>
        <w:ind w:right="20" w:firstLine="648"/>
        <w:spacing w:after="0" w:line="253" w:lineRule="auto"/>
        <w:rPr>
          <w:sz w:val="20"/>
          <w:szCs w:val="20"/>
          <w:color w:val="auto"/>
        </w:rPr>
      </w:pPr>
      <w:r>
        <w:rPr>
          <w:rFonts w:ascii="Arial" w:cs="Arial" w:eastAsia="Arial" w:hAnsi="Arial"/>
          <w:sz w:val="19"/>
          <w:szCs w:val="19"/>
          <w:color w:val="auto"/>
        </w:rPr>
        <w:t>On February 14, 2023, Dr. Michael Pellini notified GeneDx Holdings Corp. (“GeneDx”) that he is stepping down from the Board of Directors (the “Board”), effective immediately, to allocate additional time to his role as Managing Partner of Section 32, LLC ("Section 32"). GeneDx thanks Dr. Pellini for his many contributions and his partnership in repositioning the business for future profitability and growth, and thanks Section 32 for its continued support and participation in the recent $150 million equity financing in January 2023. Dr. Pellini’s resignation did not result from any disagreements with GeneDx’s management or the Board.</w:t>
      </w:r>
    </w:p>
    <w:p>
      <w:pPr>
        <w:spacing w:after="0" w:line="198" w:lineRule="exact"/>
        <w:rPr>
          <w:sz w:val="20"/>
          <w:szCs w:val="20"/>
          <w:color w:val="auto"/>
        </w:rPr>
      </w:pPr>
    </w:p>
    <w:p>
      <w:pPr>
        <w:ind w:right="400" w:firstLine="648"/>
        <w:spacing w:after="0" w:line="243" w:lineRule="auto"/>
        <w:rPr>
          <w:sz w:val="20"/>
          <w:szCs w:val="20"/>
          <w:color w:val="auto"/>
        </w:rPr>
      </w:pPr>
      <w:r>
        <w:rPr>
          <w:rFonts w:ascii="Arial" w:cs="Arial" w:eastAsia="Arial" w:hAnsi="Arial"/>
          <w:sz w:val="20"/>
          <w:szCs w:val="20"/>
          <w:color w:val="auto"/>
        </w:rPr>
        <w:t>Dr. Pellini has served as a member of the Board since July 2021 and previously served as a member of the board of directors of Mount Sinai Genomics, Inc. dba Sema4 from August 2019 to July 2021. GeneDx will evaluate whether to fill the vacancy created by Dr. Pellini’s resignation or reduce the size of the Board.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33" w:lineRule="exact"/>
        <w:rPr>
          <w:sz w:val="20"/>
          <w:szCs w:val="20"/>
          <w:color w:val="auto"/>
        </w:rPr>
      </w:pPr>
    </w:p>
    <w:p>
      <w:pPr>
        <w:ind w:firstLine="324"/>
        <w:spacing w:after="0" w:line="317"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169" w:lineRule="exact"/>
        <w:rPr>
          <w:sz w:val="20"/>
          <w:szCs w:val="20"/>
          <w:color w:val="auto"/>
        </w:rPr>
      </w:pPr>
    </w:p>
    <w:tbl>
      <w:tblPr>
        <w:tblLayout w:type="fixed"/>
        <w:tblInd w:w="320" w:type="dxa"/>
        <w:tblCellMar>
          <w:top w:w="0" w:type="dxa"/>
          <w:left w:w="0" w:type="dxa"/>
          <w:bottom w:w="0" w:type="dxa"/>
          <w:right w:w="0" w:type="dxa"/>
        </w:tblCellMar>
      </w:tblPr>
      <w:tr>
        <w:trPr>
          <w:trHeight w:val="256"/>
        </w:trPr>
        <w:tc>
          <w:tcPr>
            <w:tcW w:w="64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6880" w:type="dxa"/>
            <w:vAlign w:val="bottom"/>
            <w:gridSpan w:val="2"/>
          </w:tcPr>
          <w:p>
            <w:pPr>
              <w:ind w:left="1320"/>
              <w:spacing w:after="0"/>
              <w:rPr>
                <w:sz w:val="20"/>
                <w:szCs w:val="20"/>
                <w:color w:val="auto"/>
              </w:rPr>
            </w:pPr>
            <w:r>
              <w:rPr>
                <w:rFonts w:ascii="Arial" w:cs="Arial" w:eastAsia="Arial" w:hAnsi="Arial"/>
                <w:sz w:val="20"/>
                <w:szCs w:val="20"/>
                <w:b w:val="1"/>
                <w:bCs w:val="1"/>
                <w:color w:val="auto"/>
              </w:rPr>
              <w:t>GeneDx Holdings Corp.</w:t>
            </w:r>
          </w:p>
        </w:tc>
      </w:tr>
      <w:tr>
        <w:trPr>
          <w:trHeight w:val="624"/>
        </w:trPr>
        <w:tc>
          <w:tcPr>
            <w:tcW w:w="640" w:type="dxa"/>
            <w:vAlign w:val="bottom"/>
          </w:tcPr>
          <w:p>
            <w:pPr>
              <w:spacing w:after="0"/>
              <w:rPr>
                <w:sz w:val="20"/>
                <w:szCs w:val="20"/>
                <w:color w:val="auto"/>
              </w:rPr>
            </w:pPr>
            <w:r>
              <w:rPr>
                <w:rFonts w:ascii="Arial" w:cs="Arial" w:eastAsia="Arial" w:hAnsi="Arial"/>
                <w:sz w:val="20"/>
                <w:szCs w:val="20"/>
                <w:color w:val="auto"/>
              </w:rPr>
              <w:t>Date:</w:t>
            </w:r>
          </w:p>
        </w:tc>
        <w:tc>
          <w:tcPr>
            <w:tcW w:w="2940" w:type="dxa"/>
            <w:vAlign w:val="bottom"/>
          </w:tcPr>
          <w:p>
            <w:pPr>
              <w:ind w:left="180"/>
              <w:spacing w:after="0"/>
              <w:rPr>
                <w:sz w:val="20"/>
                <w:szCs w:val="20"/>
                <w:color w:val="auto"/>
              </w:rPr>
            </w:pPr>
            <w:r>
              <w:rPr>
                <w:rFonts w:ascii="Arial" w:cs="Arial" w:eastAsia="Arial" w:hAnsi="Arial"/>
                <w:sz w:val="20"/>
                <w:szCs w:val="20"/>
                <w:color w:val="auto"/>
              </w:rPr>
              <w:t>February 14, 2023</w:t>
            </w:r>
          </w:p>
        </w:tc>
        <w:tc>
          <w:tcPr>
            <w:tcW w:w="2200" w:type="dxa"/>
            <w:vAlign w:val="bottom"/>
          </w:tcPr>
          <w:p>
            <w:pPr>
              <w:ind w:left="1320"/>
              <w:spacing w:after="0"/>
              <w:rPr>
                <w:sz w:val="20"/>
                <w:szCs w:val="20"/>
                <w:color w:val="auto"/>
              </w:rPr>
            </w:pPr>
            <w:r>
              <w:rPr>
                <w:rFonts w:ascii="Arial" w:cs="Arial" w:eastAsia="Arial" w:hAnsi="Arial"/>
                <w:sz w:val="20"/>
                <w:szCs w:val="20"/>
                <w:color w:val="auto"/>
              </w:rPr>
              <w:t>By:</w:t>
            </w:r>
          </w:p>
        </w:tc>
        <w:tc>
          <w:tcPr>
            <w:tcW w:w="468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/s/ Katherine Stueland</w:t>
            </w:r>
          </w:p>
        </w:tc>
      </w:tr>
      <w:tr>
        <w:trPr>
          <w:trHeight w:val="250"/>
        </w:trPr>
        <w:tc>
          <w:tcPr>
            <w:tcW w:w="64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2200" w:type="dxa"/>
            <w:vAlign w:val="bottom"/>
          </w:tcPr>
          <w:p>
            <w:pPr>
              <w:ind w:left="1320"/>
              <w:spacing w:after="0"/>
              <w:rPr>
                <w:sz w:val="20"/>
                <w:szCs w:val="20"/>
                <w:color w:val="auto"/>
              </w:rPr>
            </w:pPr>
            <w:r>
              <w:rPr>
                <w:rFonts w:ascii="Arial" w:cs="Arial" w:eastAsia="Arial" w:hAnsi="Arial"/>
                <w:sz w:val="20"/>
                <w:szCs w:val="20"/>
                <w:color w:val="auto"/>
              </w:rPr>
              <w:t>Name:</w:t>
            </w:r>
          </w:p>
        </w:tc>
        <w:tc>
          <w:tcPr>
            <w:tcW w:w="4680" w:type="dxa"/>
            <w:vAlign w:val="bottom"/>
          </w:tcPr>
          <w:p>
            <w:pPr>
              <w:ind w:left="40"/>
              <w:spacing w:after="0"/>
              <w:rPr>
                <w:sz w:val="20"/>
                <w:szCs w:val="20"/>
                <w:color w:val="auto"/>
              </w:rPr>
            </w:pPr>
            <w:r>
              <w:rPr>
                <w:rFonts w:ascii="Arial" w:cs="Arial" w:eastAsia="Arial" w:hAnsi="Arial"/>
                <w:sz w:val="20"/>
                <w:szCs w:val="20"/>
                <w:color w:val="auto"/>
              </w:rPr>
              <w:t>Katherine Stueland</w:t>
            </w:r>
          </w:p>
        </w:tc>
      </w:tr>
      <w:tr>
        <w:trPr>
          <w:trHeight w:val="253"/>
        </w:trPr>
        <w:tc>
          <w:tcPr>
            <w:tcW w:w="64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2200" w:type="dxa"/>
            <w:vAlign w:val="bottom"/>
          </w:tcPr>
          <w:p>
            <w:pPr>
              <w:ind w:left="1320"/>
              <w:spacing w:after="0"/>
              <w:rPr>
                <w:sz w:val="20"/>
                <w:szCs w:val="20"/>
                <w:color w:val="auto"/>
              </w:rPr>
            </w:pPr>
            <w:r>
              <w:rPr>
                <w:rFonts w:ascii="Arial" w:cs="Arial" w:eastAsia="Arial" w:hAnsi="Arial"/>
                <w:sz w:val="20"/>
                <w:szCs w:val="20"/>
                <w:color w:val="auto"/>
              </w:rPr>
              <w:t>Title:</w:t>
            </w:r>
          </w:p>
        </w:tc>
        <w:tc>
          <w:tcPr>
            <w:tcW w:w="4680" w:type="dxa"/>
            <w:vAlign w:val="bottom"/>
          </w:tcPr>
          <w:p>
            <w:pPr>
              <w:ind w:left="40"/>
              <w:spacing w:after="0"/>
              <w:rPr>
                <w:sz w:val="20"/>
                <w:szCs w:val="20"/>
                <w:color w:val="auto"/>
              </w:rPr>
            </w:pPr>
            <w:r>
              <w:rPr>
                <w:rFonts w:ascii="Arial" w:cs="Arial" w:eastAsia="Arial" w:hAnsi="Arial"/>
                <w:sz w:val="20"/>
                <w:szCs w:val="20"/>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9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2023-02-14T17:12:13Z</dcterms:created>
  <dcterms:modified xsi:type="dcterms:W3CDTF">2023-02-14T17:12:13Z</dcterms:modified>
</cp:coreProperties>
</file>